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206E4">
      <w:pPr>
        <w:spacing w:before="156" w:after="156" w:line="560" w:lineRule="exact"/>
        <w:ind w:firstLine="0" w:firstLineChars="0"/>
        <w:jc w:val="center"/>
        <w:rPr>
          <w:rFonts w:ascii="方正小标宋简体" w:hAnsi="Times New Roman" w:eastAsia="方正小标宋简体" w:cs="Times New Roman"/>
          <w:b/>
          <w:bCs/>
          <w:color w:val="auto"/>
          <w:sz w:val="44"/>
          <w:szCs w:val="32"/>
        </w:rPr>
      </w:pPr>
      <w:r>
        <w:rPr>
          <w:rFonts w:hint="eastAsia" w:ascii="方正小标宋简体" w:hAnsi="Times New Roman" w:eastAsia="方正小标宋简体" w:cs="Times New Roman"/>
          <w:b/>
          <w:bCs/>
          <w:color w:val="auto"/>
          <w:sz w:val="44"/>
          <w:szCs w:val="32"/>
        </w:rPr>
        <w:t xml:space="preserve">  </w:t>
      </w:r>
    </w:p>
    <w:p w14:paraId="10BF4B3F">
      <w:pPr>
        <w:spacing w:before="156" w:after="156" w:line="560" w:lineRule="exact"/>
        <w:ind w:firstLine="0" w:firstLineChars="0"/>
        <w:jc w:val="center"/>
        <w:rPr>
          <w:rFonts w:ascii="方正小标宋简体" w:hAnsi="Times New Roman" w:eastAsia="方正小标宋简体" w:cs="Times New Roman"/>
          <w:b/>
          <w:bCs/>
          <w:color w:val="auto"/>
          <w:sz w:val="44"/>
          <w:szCs w:val="32"/>
        </w:rPr>
      </w:pPr>
    </w:p>
    <w:p w14:paraId="15B67161">
      <w:pPr>
        <w:spacing w:before="156" w:after="156" w:line="560" w:lineRule="exact"/>
        <w:ind w:firstLine="0" w:firstLineChars="0"/>
        <w:jc w:val="center"/>
        <w:rPr>
          <w:rFonts w:ascii="方正小标宋简体" w:hAnsi="Times New Roman" w:eastAsia="方正小标宋简体" w:cs="Times New Roman"/>
          <w:b/>
          <w:bCs/>
          <w:color w:val="auto"/>
          <w:sz w:val="44"/>
          <w:szCs w:val="32"/>
        </w:rPr>
      </w:pPr>
    </w:p>
    <w:p w14:paraId="13284047">
      <w:pPr>
        <w:spacing w:before="156" w:after="156" w:line="560" w:lineRule="exact"/>
        <w:ind w:firstLine="0" w:firstLineChars="0"/>
        <w:jc w:val="center"/>
        <w:rPr>
          <w:rFonts w:ascii="方正小标宋简体" w:hAnsi="Times New Roman" w:eastAsia="方正小标宋简体" w:cs="Times New Roman"/>
          <w:b/>
          <w:bCs/>
          <w:color w:val="auto"/>
          <w:sz w:val="44"/>
          <w:szCs w:val="32"/>
        </w:rPr>
      </w:pPr>
    </w:p>
    <w:p w14:paraId="0A369373">
      <w:pPr>
        <w:spacing w:before="156" w:after="156" w:line="560" w:lineRule="exact"/>
        <w:ind w:firstLine="0" w:firstLineChars="0"/>
        <w:jc w:val="center"/>
        <w:rPr>
          <w:rFonts w:ascii="方正小标宋简体" w:hAnsi="Times New Roman" w:eastAsia="方正小标宋简体" w:cs="Times New Roman"/>
          <w:b/>
          <w:bCs/>
          <w:color w:val="auto"/>
          <w:sz w:val="44"/>
          <w:szCs w:val="32"/>
        </w:rPr>
      </w:pPr>
    </w:p>
    <w:p w14:paraId="6AC36A55">
      <w:pPr>
        <w:spacing w:before="156" w:after="156" w:line="600" w:lineRule="exact"/>
        <w:ind w:firstLine="0" w:firstLineChars="0"/>
        <w:jc w:val="center"/>
        <w:rPr>
          <w:rFonts w:ascii="方正小标宋简体" w:hAnsi="Times New Roman" w:eastAsia="方正小标宋简体" w:cs="Times New Roman"/>
          <w:color w:val="auto"/>
          <w:sz w:val="48"/>
          <w:szCs w:val="36"/>
        </w:rPr>
      </w:pPr>
    </w:p>
    <w:p w14:paraId="65D32AA0">
      <w:pPr>
        <w:spacing w:before="240" w:after="240" w:line="680" w:lineRule="exact"/>
        <w:ind w:firstLine="0" w:firstLineChars="0"/>
        <w:jc w:val="center"/>
        <w:rPr>
          <w:rFonts w:ascii="Times New Roman" w:hAnsi="Times New Roman" w:eastAsia="仿宋_GB2312" w:cs="Times New Roman"/>
          <w:color w:val="auto"/>
          <w:sz w:val="32"/>
          <w:szCs w:val="28"/>
        </w:rPr>
      </w:pPr>
      <w:r>
        <w:rPr>
          <w:rFonts w:hint="eastAsia" w:ascii="方正小标宋简体" w:hAnsi="Times New Roman" w:eastAsia="方正小标宋简体" w:cs="Times New Roman"/>
          <w:color w:val="auto"/>
          <w:sz w:val="48"/>
          <w:szCs w:val="36"/>
        </w:rPr>
        <w:t>烟台高新技术产业开发区国民经济和社会发展第十五个五年规划纲要</w:t>
      </w:r>
    </w:p>
    <w:p w14:paraId="1ED7A937">
      <w:pPr>
        <w:spacing w:before="156" w:after="156" w:line="560" w:lineRule="exact"/>
        <w:ind w:firstLine="640" w:firstLineChars="200"/>
        <w:rPr>
          <w:rFonts w:ascii="Times New Roman" w:hAnsi="Times New Roman" w:eastAsia="仿宋_GB2312" w:cs="Times New Roman"/>
          <w:color w:val="auto"/>
          <w:sz w:val="32"/>
          <w:szCs w:val="28"/>
        </w:rPr>
      </w:pPr>
    </w:p>
    <w:p w14:paraId="528357A7">
      <w:pPr>
        <w:spacing w:before="156" w:after="156" w:line="560" w:lineRule="exact"/>
        <w:ind w:firstLine="640" w:firstLineChars="200"/>
        <w:rPr>
          <w:rFonts w:ascii="Times New Roman" w:hAnsi="Times New Roman" w:eastAsia="仿宋_GB2312" w:cs="Times New Roman"/>
          <w:color w:val="auto"/>
          <w:sz w:val="32"/>
          <w:szCs w:val="28"/>
        </w:rPr>
      </w:pPr>
    </w:p>
    <w:p w14:paraId="13C6961C">
      <w:pPr>
        <w:spacing w:before="156" w:after="156" w:line="560" w:lineRule="exact"/>
        <w:ind w:firstLine="640" w:firstLineChars="200"/>
        <w:rPr>
          <w:rFonts w:ascii="Times New Roman" w:hAnsi="Times New Roman" w:eastAsia="仿宋_GB2312" w:cs="Times New Roman"/>
          <w:color w:val="auto"/>
          <w:sz w:val="32"/>
          <w:szCs w:val="28"/>
        </w:rPr>
      </w:pPr>
    </w:p>
    <w:p w14:paraId="44796DFD">
      <w:pPr>
        <w:spacing w:before="156" w:after="156" w:line="560" w:lineRule="exact"/>
        <w:ind w:firstLine="643" w:firstLineChars="200"/>
        <w:rPr>
          <w:rFonts w:ascii="Times New Roman" w:hAnsi="Times New Roman" w:eastAsia="仿宋_GB2312" w:cs="Times New Roman"/>
          <w:b/>
          <w:bCs/>
          <w:color w:val="auto"/>
          <w:sz w:val="32"/>
          <w:szCs w:val="28"/>
        </w:rPr>
      </w:pPr>
    </w:p>
    <w:p w14:paraId="017D5722">
      <w:pPr>
        <w:spacing w:before="156" w:after="156" w:line="560" w:lineRule="exact"/>
        <w:ind w:firstLine="640" w:firstLineChars="200"/>
        <w:rPr>
          <w:rFonts w:ascii="Times New Roman" w:hAnsi="Times New Roman" w:eastAsia="仿宋_GB2312" w:cs="Times New Roman"/>
          <w:color w:val="auto"/>
          <w:sz w:val="32"/>
          <w:szCs w:val="28"/>
        </w:rPr>
      </w:pPr>
    </w:p>
    <w:p w14:paraId="40846D1F">
      <w:pPr>
        <w:spacing w:before="156" w:after="156" w:line="560" w:lineRule="exact"/>
        <w:ind w:firstLine="640" w:firstLineChars="200"/>
        <w:rPr>
          <w:rFonts w:ascii="Times New Roman" w:hAnsi="Times New Roman" w:eastAsia="仿宋_GB2312" w:cs="Times New Roman"/>
          <w:color w:val="auto"/>
          <w:sz w:val="32"/>
          <w:szCs w:val="28"/>
        </w:rPr>
      </w:pPr>
    </w:p>
    <w:p w14:paraId="335B19D4">
      <w:pPr>
        <w:spacing w:before="156" w:after="156" w:line="560" w:lineRule="exact"/>
        <w:ind w:firstLine="640" w:firstLineChars="200"/>
        <w:rPr>
          <w:rFonts w:ascii="Times New Roman" w:hAnsi="Times New Roman" w:eastAsia="仿宋_GB2312" w:cs="Times New Roman"/>
          <w:color w:val="auto"/>
          <w:sz w:val="32"/>
          <w:szCs w:val="28"/>
        </w:rPr>
      </w:pPr>
    </w:p>
    <w:p w14:paraId="48FA979B">
      <w:pPr>
        <w:spacing w:before="156" w:after="156"/>
        <w:ind w:firstLine="0" w:firstLineChars="0"/>
        <w:jc w:val="center"/>
        <w:rPr>
          <w:rFonts w:ascii="方正小标宋简体" w:eastAsia="方正小标宋简体"/>
          <w:color w:val="auto"/>
          <w:sz w:val="28"/>
          <w:szCs w:val="21"/>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5" w:left="1588" w:header="851" w:footer="992" w:gutter="0"/>
          <w:pgNumType w:fmt="upperRoman" w:start="1"/>
          <w:cols w:space="425" w:num="1"/>
          <w:docGrid w:type="lines" w:linePitch="312" w:charSpace="0"/>
        </w:sectPr>
      </w:pPr>
      <w:r>
        <w:rPr>
          <w:rFonts w:hint="eastAsia" w:ascii="方正小标宋简体" w:hAnsi="Times New Roman" w:eastAsia="方正小标宋简体" w:cs="Times New Roman"/>
          <w:color w:val="auto"/>
          <w:sz w:val="28"/>
          <w:szCs w:val="21"/>
        </w:rPr>
        <w:t>二</w:t>
      </w:r>
      <w:r>
        <w:rPr>
          <w:rFonts w:hint="eastAsia" w:ascii="宋体" w:hAnsi="宋体" w:eastAsia="宋体" w:cs="宋体"/>
          <w:color w:val="auto"/>
          <w:sz w:val="28"/>
          <w:szCs w:val="21"/>
        </w:rPr>
        <w:t>〇</w:t>
      </w:r>
      <w:r>
        <w:rPr>
          <w:rFonts w:hint="eastAsia" w:ascii="方正小标宋简体" w:hAnsi="Times New Roman" w:eastAsia="方正小标宋简体" w:cs="Times New Roman"/>
          <w:color w:val="auto"/>
          <w:sz w:val="28"/>
          <w:szCs w:val="21"/>
        </w:rPr>
        <w:t>二六年</w:t>
      </w:r>
      <w:r>
        <w:rPr>
          <w:rFonts w:hint="eastAsia" w:ascii="方正小标宋简体" w:hAnsi="Times New Roman" w:eastAsia="方正小标宋简体" w:cs="Times New Roman"/>
          <w:color w:val="auto"/>
          <w:sz w:val="28"/>
          <w:szCs w:val="21"/>
          <w:lang w:val="en-US" w:eastAsia="zh-CN"/>
        </w:rPr>
        <w:t>七</w:t>
      </w:r>
      <w:r>
        <w:rPr>
          <w:rFonts w:hint="eastAsia" w:ascii="方正小标宋简体" w:hAnsi="Times New Roman" w:eastAsia="方正小标宋简体" w:cs="Times New Roman"/>
          <w:color w:val="auto"/>
          <w:sz w:val="28"/>
          <w:szCs w:val="21"/>
        </w:rPr>
        <w:t>月</w:t>
      </w:r>
    </w:p>
    <w:sdt>
      <w:sdtPr>
        <w:rPr>
          <w:rFonts w:ascii="Times New Roman" w:hAnsi="Times New Roman" w:eastAsia="仿宋_GB2312" w:cs="Times New Roman"/>
          <w:b/>
          <w:bCs/>
          <w:color w:val="auto"/>
          <w:kern w:val="2"/>
          <w:sz w:val="28"/>
          <w:szCs w:val="24"/>
          <w:lang w:val="zh-CN" w:eastAsia="zh-CN" w:bidi="ar-SA"/>
        </w:rPr>
        <w:id w:val="-1127542998"/>
        <w:docPartObj>
          <w:docPartGallery w:val="Table of Contents"/>
          <w:docPartUnique/>
        </w:docPartObj>
      </w:sdtPr>
      <w:sdtEndPr>
        <w:rPr>
          <w:rFonts w:ascii="方正小标宋简体" w:hAnsi="方正小标宋简体" w:eastAsia="方正小标宋简体" w:cs="方正小标宋简体"/>
          <w:b w:val="0"/>
          <w:bCs w:val="0"/>
          <w:color w:val="auto"/>
          <w:kern w:val="2"/>
          <w:sz w:val="28"/>
          <w:szCs w:val="21"/>
          <w:lang w:val="zh-CN" w:eastAsia="zh-CN" w:bidi="ar-SA"/>
        </w:rPr>
      </w:sdtEndPr>
      <w:sdtContent>
        <w:p w14:paraId="5096FAFC">
          <w:pPr>
            <w:keepNext/>
            <w:keepLines/>
            <w:pageBreakBefore w:val="0"/>
            <w:widowControl/>
            <w:kinsoku/>
            <w:wordWrap/>
            <w:overflowPunct/>
            <w:topLinePunct w:val="0"/>
            <w:autoSpaceDE/>
            <w:autoSpaceDN/>
            <w:bidi w:val="0"/>
            <w:adjustRightInd/>
            <w:snapToGrid/>
            <w:spacing w:before="156" w:after="156" w:line="480" w:lineRule="exact"/>
            <w:ind w:firstLine="0" w:firstLineChars="0"/>
            <w:jc w:val="center"/>
            <w:textAlignment w:val="auto"/>
            <w:outlineLvl w:val="9"/>
            <w:rPr>
              <w:rFonts w:hint="eastAsia" w:ascii="方正小标宋简体" w:hAnsi="方正小标宋简体" w:eastAsia="方正小标宋简体" w:cs="方正小标宋简体"/>
              <w:b/>
              <w:bCs/>
              <w:color w:val="auto"/>
              <w:kern w:val="0"/>
              <w:sz w:val="32"/>
              <w:szCs w:val="32"/>
              <w:lang w:val="en-US" w:eastAsia="zh-CN" w:bidi="ar-SA"/>
            </w:rPr>
          </w:pPr>
          <w:r>
            <w:rPr>
              <w:rFonts w:hint="eastAsia" w:ascii="方正小标宋简体" w:hAnsi="方正小标宋简体" w:eastAsia="方正小标宋简体" w:cs="方正小标宋简体"/>
              <w:b/>
              <w:bCs/>
              <w:color w:val="auto"/>
              <w:kern w:val="0"/>
              <w:sz w:val="32"/>
              <w:szCs w:val="32"/>
              <w:lang w:val="zh-CN" w:eastAsia="zh-CN" w:bidi="ar-SA"/>
            </w:rPr>
            <w:t>目  录</w:t>
          </w:r>
        </w:p>
        <w:p w14:paraId="666F5644">
          <w:pPr>
            <w:widowControl w:val="0"/>
            <w:tabs>
              <w:tab w:val="right" w:leader="dot" w:pos="8844"/>
            </w:tabs>
            <w:spacing w:line="520" w:lineRule="exact"/>
            <w:ind w:firstLine="0" w:firstLineChars="0"/>
            <w:jc w:val="both"/>
            <w:rPr>
              <w:rFonts w:ascii="方正小标宋简体" w:hAnsi="方正小标宋简体" w:eastAsia="方正小标宋简体" w:cs="方正小标宋简体"/>
              <w:color w:val="auto"/>
              <w:kern w:val="2"/>
              <w:sz w:val="28"/>
              <w:szCs w:val="21"/>
              <w:lang w:val="en-US" w:eastAsia="zh-CN" w:bidi="ar-SA"/>
            </w:rPr>
          </w:pPr>
          <w:r>
            <w:rPr>
              <w:rFonts w:ascii="方正小标宋简体" w:hAnsi="方正小标宋简体" w:eastAsia="方正小标宋简体" w:cs="方正小标宋简体"/>
              <w:color w:val="auto"/>
              <w:kern w:val="2"/>
              <w:sz w:val="28"/>
              <w:szCs w:val="21"/>
              <w:lang w:val="en-US" w:eastAsia="zh-CN" w:bidi="ar-SA"/>
            </w:rPr>
            <w:fldChar w:fldCharType="begin"/>
          </w:r>
          <w:r>
            <w:rPr>
              <w:rFonts w:ascii="方正小标宋简体" w:hAnsi="方正小标宋简体" w:eastAsia="方正小标宋简体" w:cs="方正小标宋简体"/>
              <w:color w:val="auto"/>
              <w:kern w:val="2"/>
              <w:sz w:val="28"/>
              <w:szCs w:val="21"/>
              <w:lang w:val="en-US" w:eastAsia="zh-CN" w:bidi="ar-SA"/>
            </w:rPr>
            <w:instrText xml:space="preserve"> TOC \o "1-3" \h \z \u </w:instrText>
          </w:r>
          <w:r>
            <w:rPr>
              <w:rFonts w:ascii="方正小标宋简体" w:hAnsi="方正小标宋简体" w:eastAsia="方正小标宋简体" w:cs="方正小标宋简体"/>
              <w:color w:val="auto"/>
              <w:kern w:val="2"/>
              <w:sz w:val="28"/>
              <w:szCs w:val="21"/>
              <w:lang w:val="en-US" w:eastAsia="zh-CN" w:bidi="ar-SA"/>
            </w:rPr>
            <w:fldChar w:fldCharType="separate"/>
          </w:r>
          <w:r>
            <w:rPr>
              <w:rFonts w:ascii="方正小标宋简体" w:hAnsi="方正小标宋简体" w:eastAsia="方正小标宋简体" w:cs="方正小标宋简体"/>
              <w:color w:val="auto"/>
              <w:kern w:val="2"/>
              <w:sz w:val="28"/>
              <w:szCs w:val="21"/>
              <w:lang w:val="zh-CN" w:eastAsia="zh-CN" w:bidi="ar-SA"/>
            </w:rPr>
            <w:fldChar w:fldCharType="begin"/>
          </w:r>
          <w:r>
            <w:rPr>
              <w:rFonts w:ascii="方正小标宋简体" w:hAnsi="方正小标宋简体" w:eastAsia="方正小标宋简体" w:cs="方正小标宋简体"/>
              <w:color w:val="auto"/>
              <w:kern w:val="2"/>
              <w:sz w:val="28"/>
              <w:szCs w:val="21"/>
              <w:lang w:val="zh-CN" w:eastAsia="zh-CN" w:bidi="ar-SA"/>
            </w:rPr>
            <w:instrText xml:space="preserve"> HYPERLINK \l _Toc28444 </w:instrText>
          </w:r>
          <w:r>
            <w:rPr>
              <w:rFonts w:ascii="方正小标宋简体" w:hAnsi="方正小标宋简体" w:eastAsia="方正小标宋简体" w:cs="方正小标宋简体"/>
              <w:color w:val="auto"/>
              <w:kern w:val="2"/>
              <w:sz w:val="28"/>
              <w:szCs w:val="21"/>
              <w:lang w:val="zh-CN" w:eastAsia="zh-CN" w:bidi="ar-SA"/>
            </w:rPr>
            <w:fldChar w:fldCharType="separate"/>
          </w:r>
          <w:r>
            <w:rPr>
              <w:rFonts w:hint="eastAsia" w:ascii="方正小标宋简体" w:hAnsi="方正小标宋简体" w:eastAsia="方正小标宋简体" w:cs="方正小标宋简体"/>
              <w:color w:val="auto"/>
              <w:kern w:val="2"/>
              <w:sz w:val="28"/>
              <w:szCs w:val="48"/>
              <w:lang w:val="en-US" w:eastAsia="zh-CN" w:bidi="ar-SA"/>
            </w:rPr>
            <w:t>第一章 坚守全市科技引擎和创新高地使命，开启跨越发展新征程</w:t>
          </w:r>
          <w:r>
            <w:rPr>
              <w:rFonts w:ascii="方正小标宋简体" w:hAnsi="方正小标宋简体" w:eastAsia="方正小标宋简体" w:cs="方正小标宋简体"/>
              <w:color w:val="auto"/>
              <w:kern w:val="2"/>
              <w:sz w:val="28"/>
              <w:szCs w:val="21"/>
              <w:lang w:val="en-US" w:eastAsia="zh-CN" w:bidi="ar-SA"/>
            </w:rPr>
            <w:tab/>
          </w:r>
          <w:r>
            <w:rPr>
              <w:rFonts w:ascii="方正小标宋简体" w:hAnsi="方正小标宋简体" w:eastAsia="方正小标宋简体" w:cs="方正小标宋简体"/>
              <w:color w:val="auto"/>
              <w:kern w:val="2"/>
              <w:sz w:val="28"/>
              <w:szCs w:val="21"/>
              <w:lang w:val="en-US" w:eastAsia="zh-CN" w:bidi="ar-SA"/>
            </w:rPr>
            <w:fldChar w:fldCharType="begin"/>
          </w:r>
          <w:r>
            <w:rPr>
              <w:rFonts w:ascii="方正小标宋简体" w:hAnsi="方正小标宋简体" w:eastAsia="方正小标宋简体" w:cs="方正小标宋简体"/>
              <w:color w:val="auto"/>
              <w:kern w:val="2"/>
              <w:sz w:val="28"/>
              <w:szCs w:val="21"/>
              <w:lang w:val="en-US" w:eastAsia="zh-CN" w:bidi="ar-SA"/>
            </w:rPr>
            <w:instrText xml:space="preserve"> PAGEREF _Toc28444 \h </w:instrText>
          </w:r>
          <w:r>
            <w:rPr>
              <w:rFonts w:ascii="方正小标宋简体" w:hAnsi="方正小标宋简体" w:eastAsia="方正小标宋简体" w:cs="方正小标宋简体"/>
              <w:color w:val="auto"/>
              <w:kern w:val="2"/>
              <w:sz w:val="28"/>
              <w:szCs w:val="21"/>
              <w:lang w:val="en-US" w:eastAsia="zh-CN" w:bidi="ar-SA"/>
            </w:rPr>
            <w:fldChar w:fldCharType="separate"/>
          </w:r>
          <w:r>
            <w:rPr>
              <w:rFonts w:ascii="方正小标宋简体" w:hAnsi="方正小标宋简体" w:eastAsia="方正小标宋简体" w:cs="方正小标宋简体"/>
              <w:color w:val="auto"/>
              <w:kern w:val="2"/>
              <w:sz w:val="28"/>
              <w:szCs w:val="21"/>
              <w:lang w:val="en-US" w:eastAsia="zh-CN" w:bidi="ar-SA"/>
            </w:rPr>
            <w:t>1</w:t>
          </w:r>
          <w:r>
            <w:rPr>
              <w:rFonts w:ascii="方正小标宋简体" w:hAnsi="方正小标宋简体" w:eastAsia="方正小标宋简体" w:cs="方正小标宋简体"/>
              <w:color w:val="auto"/>
              <w:kern w:val="2"/>
              <w:sz w:val="28"/>
              <w:szCs w:val="21"/>
              <w:lang w:val="en-US" w:eastAsia="zh-CN" w:bidi="ar-SA"/>
            </w:rPr>
            <w:fldChar w:fldCharType="end"/>
          </w:r>
          <w:r>
            <w:rPr>
              <w:rFonts w:ascii="方正小标宋简体" w:hAnsi="方正小标宋简体" w:eastAsia="方正小标宋简体" w:cs="方正小标宋简体"/>
              <w:color w:val="auto"/>
              <w:kern w:val="2"/>
              <w:sz w:val="28"/>
              <w:szCs w:val="21"/>
              <w:lang w:val="zh-CN" w:eastAsia="zh-CN" w:bidi="ar-SA"/>
            </w:rPr>
            <w:fldChar w:fldCharType="end"/>
          </w:r>
        </w:p>
        <w:p w14:paraId="57E7EDBD">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_Toc19550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第一节  “十四五”时期经济社会发展成就显著</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_Toc19550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2</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716D8056">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_Toc20806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第二节  “十五五”时期内外环境发生深刻变化</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_Toc20806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9</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45687B39">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_Toc1275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第三节  “十五五”时期经济社会发展指导思想与发展定位</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_Toc1275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10</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40F39F24">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_Toc6464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第四节  “十五五”时期经济社会发展基本原则</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_Toc6464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12</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3D79607D">
          <w:pPr>
            <w:widowControl w:val="0"/>
            <w:tabs>
              <w:tab w:val="right" w:leader="dot" w:pos="8844"/>
            </w:tabs>
            <w:spacing w:line="560" w:lineRule="exact"/>
            <w:ind w:firstLine="280" w:firstLineChars="100"/>
            <w:jc w:val="both"/>
            <w:rPr>
              <w:rFonts w:ascii="Times New Roman" w:hAnsi="Times New Roman" w:eastAsia="仿宋_GB2312" w:cs="Times New Roman"/>
              <w:b/>
              <w:bCs/>
              <w:color w:val="auto"/>
              <w:kern w:val="2"/>
              <w:sz w:val="28"/>
              <w:szCs w:val="21"/>
              <w:lang w:val="en-US"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_Toc10799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第五节  “十五五”时期经济社会发展主要目标</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_Toc10799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13</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13290A29">
          <w:pPr>
            <w:widowControl w:val="0"/>
            <w:tabs>
              <w:tab w:val="right" w:leader="dot" w:pos="8844"/>
            </w:tabs>
            <w:spacing w:line="520" w:lineRule="exact"/>
            <w:ind w:firstLine="0" w:firstLineChars="0"/>
            <w:jc w:val="both"/>
            <w:rPr>
              <w:rFonts w:ascii="方正小标宋简体" w:hAnsi="方正小标宋简体" w:eastAsia="方正小标宋简体" w:cs="方正小标宋简体"/>
              <w:color w:val="auto"/>
              <w:kern w:val="2"/>
              <w:sz w:val="28"/>
              <w:szCs w:val="21"/>
              <w:lang w:val="en-US" w:eastAsia="zh-CN" w:bidi="ar-SA"/>
            </w:rPr>
          </w:pPr>
          <w:r>
            <w:rPr>
              <w:rFonts w:ascii="方正小标宋简体" w:hAnsi="方正小标宋简体" w:eastAsia="方正小标宋简体" w:cs="方正小标宋简体"/>
              <w:color w:val="auto"/>
              <w:kern w:val="2"/>
              <w:sz w:val="28"/>
              <w:szCs w:val="21"/>
              <w:lang w:val="zh-CN" w:eastAsia="zh-CN" w:bidi="ar-SA"/>
            </w:rPr>
            <w:fldChar w:fldCharType="begin"/>
          </w:r>
          <w:r>
            <w:rPr>
              <w:rFonts w:ascii="方正小标宋简体" w:hAnsi="方正小标宋简体" w:eastAsia="方正小标宋简体" w:cs="方正小标宋简体"/>
              <w:color w:val="auto"/>
              <w:kern w:val="2"/>
              <w:sz w:val="28"/>
              <w:szCs w:val="21"/>
              <w:lang w:val="zh-CN" w:eastAsia="zh-CN" w:bidi="ar-SA"/>
            </w:rPr>
            <w:instrText xml:space="preserve"> HYPERLINK \l _Toc14939 </w:instrText>
          </w:r>
          <w:r>
            <w:rPr>
              <w:rFonts w:ascii="方正小标宋简体" w:hAnsi="方正小标宋简体" w:eastAsia="方正小标宋简体" w:cs="方正小标宋简体"/>
              <w:color w:val="auto"/>
              <w:kern w:val="2"/>
              <w:sz w:val="28"/>
              <w:szCs w:val="21"/>
              <w:lang w:val="zh-CN" w:eastAsia="zh-CN" w:bidi="ar-SA"/>
            </w:rPr>
            <w:fldChar w:fldCharType="separate"/>
          </w:r>
          <w:r>
            <w:rPr>
              <w:rFonts w:hint="eastAsia" w:ascii="方正小标宋简体" w:hAnsi="方正小标宋简体" w:eastAsia="方正小标宋简体" w:cs="方正小标宋简体"/>
              <w:color w:val="auto"/>
              <w:kern w:val="2"/>
              <w:sz w:val="28"/>
              <w:szCs w:val="48"/>
              <w:lang w:val="en-US" w:eastAsia="zh-CN" w:bidi="ar-SA"/>
            </w:rPr>
            <w:t>第二章 构建现代化产业体系，打造新兴产业集聚区</w:t>
          </w:r>
          <w:r>
            <w:rPr>
              <w:rFonts w:ascii="方正小标宋简体" w:hAnsi="方正小标宋简体" w:eastAsia="方正小标宋简体" w:cs="方正小标宋简体"/>
              <w:color w:val="auto"/>
              <w:kern w:val="2"/>
              <w:sz w:val="28"/>
              <w:szCs w:val="21"/>
              <w:lang w:val="en-US" w:eastAsia="zh-CN" w:bidi="ar-SA"/>
            </w:rPr>
            <w:tab/>
          </w:r>
          <w:r>
            <w:rPr>
              <w:rFonts w:ascii="方正小标宋简体" w:hAnsi="方正小标宋简体" w:eastAsia="方正小标宋简体" w:cs="方正小标宋简体"/>
              <w:color w:val="auto"/>
              <w:kern w:val="2"/>
              <w:sz w:val="28"/>
              <w:szCs w:val="21"/>
              <w:lang w:val="en-US" w:eastAsia="zh-CN" w:bidi="ar-SA"/>
            </w:rPr>
            <w:fldChar w:fldCharType="begin"/>
          </w:r>
          <w:r>
            <w:rPr>
              <w:rFonts w:ascii="方正小标宋简体" w:hAnsi="方正小标宋简体" w:eastAsia="方正小标宋简体" w:cs="方正小标宋简体"/>
              <w:color w:val="auto"/>
              <w:kern w:val="2"/>
              <w:sz w:val="28"/>
              <w:szCs w:val="21"/>
              <w:lang w:val="en-US" w:eastAsia="zh-CN" w:bidi="ar-SA"/>
            </w:rPr>
            <w:instrText xml:space="preserve"> PAGEREF _Toc14939 \h </w:instrText>
          </w:r>
          <w:r>
            <w:rPr>
              <w:rFonts w:ascii="方正小标宋简体" w:hAnsi="方正小标宋简体" w:eastAsia="方正小标宋简体" w:cs="方正小标宋简体"/>
              <w:color w:val="auto"/>
              <w:kern w:val="2"/>
              <w:sz w:val="28"/>
              <w:szCs w:val="21"/>
              <w:lang w:val="en-US" w:eastAsia="zh-CN" w:bidi="ar-SA"/>
            </w:rPr>
            <w:fldChar w:fldCharType="separate"/>
          </w:r>
          <w:r>
            <w:rPr>
              <w:rFonts w:ascii="方正小标宋简体" w:hAnsi="方正小标宋简体" w:eastAsia="方正小标宋简体" w:cs="方正小标宋简体"/>
              <w:color w:val="auto"/>
              <w:kern w:val="2"/>
              <w:sz w:val="28"/>
              <w:szCs w:val="21"/>
              <w:lang w:val="en-US" w:eastAsia="zh-CN" w:bidi="ar-SA"/>
            </w:rPr>
            <w:t>16</w:t>
          </w:r>
          <w:r>
            <w:rPr>
              <w:rFonts w:ascii="方正小标宋简体" w:hAnsi="方正小标宋简体" w:eastAsia="方正小标宋简体" w:cs="方正小标宋简体"/>
              <w:color w:val="auto"/>
              <w:kern w:val="2"/>
              <w:sz w:val="28"/>
              <w:szCs w:val="21"/>
              <w:lang w:val="en-US" w:eastAsia="zh-CN" w:bidi="ar-SA"/>
            </w:rPr>
            <w:fldChar w:fldCharType="end"/>
          </w:r>
          <w:r>
            <w:rPr>
              <w:rFonts w:ascii="方正小标宋简体" w:hAnsi="方正小标宋简体" w:eastAsia="方正小标宋简体" w:cs="方正小标宋简体"/>
              <w:color w:val="auto"/>
              <w:kern w:val="2"/>
              <w:sz w:val="28"/>
              <w:szCs w:val="21"/>
              <w:lang w:val="zh-CN" w:eastAsia="zh-CN" w:bidi="ar-SA"/>
            </w:rPr>
            <w:fldChar w:fldCharType="end"/>
          </w:r>
        </w:p>
        <w:p w14:paraId="7C46BC30">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_Toc31839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第一节  做强生物医药产业</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_Toc31839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16</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7D043779">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_Toc27755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第二节  做优航空航天产业</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_Toc27755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18</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760336E5">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_Toc4332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第三节  做大海洋工程产业</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_Toc4332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20</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73400C37">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_Toc16553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第四节  繁荣发展现代服务业</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_Toc16553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22</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0A9507E2">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_Toc10272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第五节  前瞻布局未来产业</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_Toc10272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27</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0357948A">
          <w:pPr>
            <w:widowControl w:val="0"/>
            <w:tabs>
              <w:tab w:val="right" w:leader="dot" w:pos="8844"/>
            </w:tabs>
            <w:spacing w:line="560" w:lineRule="exact"/>
            <w:ind w:firstLine="280" w:firstLineChars="100"/>
            <w:jc w:val="both"/>
            <w:rPr>
              <w:rFonts w:ascii="Times New Roman" w:hAnsi="Times New Roman" w:eastAsia="仿宋_GB2312" w:cs="Times New Roman"/>
              <w:b/>
              <w:bCs/>
              <w:color w:val="auto"/>
              <w:kern w:val="2"/>
              <w:sz w:val="28"/>
              <w:szCs w:val="21"/>
              <w:lang w:val="en-US"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_Toc25189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第六节  提升产业链供应链现代化水平</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_Toc25189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30</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7CE8C85C">
          <w:pPr>
            <w:widowControl w:val="0"/>
            <w:tabs>
              <w:tab w:val="right" w:leader="dot" w:pos="8844"/>
            </w:tabs>
            <w:spacing w:line="520" w:lineRule="exact"/>
            <w:ind w:firstLine="0" w:firstLineChars="0"/>
            <w:jc w:val="both"/>
            <w:rPr>
              <w:rFonts w:ascii="方正小标宋简体" w:hAnsi="方正小标宋简体" w:eastAsia="方正小标宋简体" w:cs="方正小标宋简体"/>
              <w:color w:val="auto"/>
              <w:kern w:val="2"/>
              <w:sz w:val="28"/>
              <w:szCs w:val="21"/>
              <w:lang w:val="en-US" w:eastAsia="zh-CN" w:bidi="ar-SA"/>
            </w:rPr>
          </w:pPr>
          <w:r>
            <w:rPr>
              <w:rFonts w:ascii="方正小标宋简体" w:hAnsi="方正小标宋简体" w:eastAsia="方正小标宋简体" w:cs="方正小标宋简体"/>
              <w:color w:val="auto"/>
              <w:kern w:val="2"/>
              <w:sz w:val="28"/>
              <w:szCs w:val="21"/>
              <w:lang w:val="zh-CN" w:eastAsia="zh-CN" w:bidi="ar-SA"/>
            </w:rPr>
            <w:fldChar w:fldCharType="begin"/>
          </w:r>
          <w:r>
            <w:rPr>
              <w:rFonts w:ascii="方正小标宋简体" w:hAnsi="方正小标宋简体" w:eastAsia="方正小标宋简体" w:cs="方正小标宋简体"/>
              <w:color w:val="auto"/>
              <w:kern w:val="2"/>
              <w:sz w:val="28"/>
              <w:szCs w:val="21"/>
              <w:lang w:val="zh-CN" w:eastAsia="zh-CN" w:bidi="ar-SA"/>
            </w:rPr>
            <w:instrText xml:space="preserve"> HYPERLINK \l _Toc9102 </w:instrText>
          </w:r>
          <w:r>
            <w:rPr>
              <w:rFonts w:ascii="方正小标宋简体" w:hAnsi="方正小标宋简体" w:eastAsia="方正小标宋简体" w:cs="方正小标宋简体"/>
              <w:color w:val="auto"/>
              <w:kern w:val="2"/>
              <w:sz w:val="28"/>
              <w:szCs w:val="21"/>
              <w:lang w:val="zh-CN" w:eastAsia="zh-CN" w:bidi="ar-SA"/>
            </w:rPr>
            <w:fldChar w:fldCharType="separate"/>
          </w:r>
          <w:r>
            <w:rPr>
              <w:rFonts w:hint="eastAsia" w:ascii="方正小标宋简体" w:hAnsi="方正小标宋简体" w:eastAsia="方正小标宋简体" w:cs="方正小标宋简体"/>
              <w:color w:val="auto"/>
              <w:kern w:val="2"/>
              <w:sz w:val="28"/>
              <w:szCs w:val="48"/>
              <w:lang w:val="en-US" w:eastAsia="zh-CN" w:bidi="ar-SA"/>
            </w:rPr>
            <w:t>第三章 优化创新创业生态，建设创新发展示范区</w:t>
          </w:r>
          <w:r>
            <w:rPr>
              <w:rFonts w:ascii="方正小标宋简体" w:hAnsi="方正小标宋简体" w:eastAsia="方正小标宋简体" w:cs="方正小标宋简体"/>
              <w:color w:val="auto"/>
              <w:kern w:val="2"/>
              <w:sz w:val="28"/>
              <w:szCs w:val="21"/>
              <w:lang w:val="en-US" w:eastAsia="zh-CN" w:bidi="ar-SA"/>
            </w:rPr>
            <w:tab/>
          </w:r>
          <w:r>
            <w:rPr>
              <w:rFonts w:ascii="方正小标宋简体" w:hAnsi="方正小标宋简体" w:eastAsia="方正小标宋简体" w:cs="方正小标宋简体"/>
              <w:color w:val="auto"/>
              <w:kern w:val="2"/>
              <w:sz w:val="28"/>
              <w:szCs w:val="21"/>
              <w:lang w:val="en-US" w:eastAsia="zh-CN" w:bidi="ar-SA"/>
            </w:rPr>
            <w:fldChar w:fldCharType="begin"/>
          </w:r>
          <w:r>
            <w:rPr>
              <w:rFonts w:ascii="方正小标宋简体" w:hAnsi="方正小标宋简体" w:eastAsia="方正小标宋简体" w:cs="方正小标宋简体"/>
              <w:color w:val="auto"/>
              <w:kern w:val="2"/>
              <w:sz w:val="28"/>
              <w:szCs w:val="21"/>
              <w:lang w:val="en-US" w:eastAsia="zh-CN" w:bidi="ar-SA"/>
            </w:rPr>
            <w:instrText xml:space="preserve"> PAGEREF _Toc9102 \h </w:instrText>
          </w:r>
          <w:r>
            <w:rPr>
              <w:rFonts w:ascii="方正小标宋简体" w:hAnsi="方正小标宋简体" w:eastAsia="方正小标宋简体" w:cs="方正小标宋简体"/>
              <w:color w:val="auto"/>
              <w:kern w:val="2"/>
              <w:sz w:val="28"/>
              <w:szCs w:val="21"/>
              <w:lang w:val="en-US" w:eastAsia="zh-CN" w:bidi="ar-SA"/>
            </w:rPr>
            <w:fldChar w:fldCharType="separate"/>
          </w:r>
          <w:r>
            <w:rPr>
              <w:rFonts w:ascii="方正小标宋简体" w:hAnsi="方正小标宋简体" w:eastAsia="方正小标宋简体" w:cs="方正小标宋简体"/>
              <w:color w:val="auto"/>
              <w:kern w:val="2"/>
              <w:sz w:val="28"/>
              <w:szCs w:val="21"/>
              <w:lang w:val="en-US" w:eastAsia="zh-CN" w:bidi="ar-SA"/>
            </w:rPr>
            <w:t>31</w:t>
          </w:r>
          <w:r>
            <w:rPr>
              <w:rFonts w:ascii="方正小标宋简体" w:hAnsi="方正小标宋简体" w:eastAsia="方正小标宋简体" w:cs="方正小标宋简体"/>
              <w:color w:val="auto"/>
              <w:kern w:val="2"/>
              <w:sz w:val="28"/>
              <w:szCs w:val="21"/>
              <w:lang w:val="en-US" w:eastAsia="zh-CN" w:bidi="ar-SA"/>
            </w:rPr>
            <w:fldChar w:fldCharType="end"/>
          </w:r>
          <w:r>
            <w:rPr>
              <w:rFonts w:ascii="方正小标宋简体" w:hAnsi="方正小标宋简体" w:eastAsia="方正小标宋简体" w:cs="方正小标宋简体"/>
              <w:color w:val="auto"/>
              <w:kern w:val="2"/>
              <w:sz w:val="28"/>
              <w:szCs w:val="21"/>
              <w:lang w:val="zh-CN" w:eastAsia="zh-CN" w:bidi="ar-SA"/>
            </w:rPr>
            <w:fldChar w:fldCharType="end"/>
          </w:r>
        </w:p>
        <w:p w14:paraId="5EDDA457">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_Toc2648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第一节  增强高质量原创性成果供给</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_Toc2648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31</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0FF28B2C">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_Toc10393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第二节  打造科教产协同型人才队伍</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_Toc10393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34</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579DF6E8">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_Toc8615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第三节  深化校地企一体化融合发展</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_Toc8615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36</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532EEB39">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_Toc6134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第四节  构建多层次赋能型创业载体</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_Toc6134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37</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2F4A6A35">
          <w:pPr>
            <w:widowControl w:val="0"/>
            <w:tabs>
              <w:tab w:val="right" w:leader="dot" w:pos="8844"/>
            </w:tabs>
            <w:spacing w:line="560" w:lineRule="exact"/>
            <w:ind w:firstLine="280" w:firstLineChars="100"/>
            <w:jc w:val="both"/>
            <w:rPr>
              <w:rFonts w:ascii="Times New Roman" w:hAnsi="Times New Roman" w:eastAsia="仿宋_GB2312" w:cs="Times New Roman"/>
              <w:b/>
              <w:bCs/>
              <w:color w:val="auto"/>
              <w:kern w:val="2"/>
              <w:sz w:val="28"/>
              <w:szCs w:val="21"/>
              <w:lang w:val="en-US"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_Toc14801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第五节  搭建高质量科技型企业矩阵</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_Toc14801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38</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1732AEDE">
          <w:pPr>
            <w:widowControl w:val="0"/>
            <w:tabs>
              <w:tab w:val="right" w:leader="dot" w:pos="8844"/>
            </w:tabs>
            <w:spacing w:line="520" w:lineRule="exact"/>
            <w:ind w:firstLine="0" w:firstLineChars="0"/>
            <w:jc w:val="both"/>
            <w:rPr>
              <w:rFonts w:ascii="方正小标宋简体" w:hAnsi="方正小标宋简体" w:eastAsia="方正小标宋简体" w:cs="方正小标宋简体"/>
              <w:color w:val="auto"/>
              <w:kern w:val="2"/>
              <w:sz w:val="28"/>
              <w:szCs w:val="21"/>
              <w:lang w:val="en-US" w:eastAsia="zh-CN" w:bidi="ar-SA"/>
            </w:rPr>
          </w:pPr>
          <w:r>
            <w:rPr>
              <w:rFonts w:ascii="方正小标宋简体" w:hAnsi="方正小标宋简体" w:eastAsia="方正小标宋简体" w:cs="方正小标宋简体"/>
              <w:color w:val="auto"/>
              <w:kern w:val="2"/>
              <w:sz w:val="28"/>
              <w:szCs w:val="21"/>
              <w:lang w:val="zh-CN" w:eastAsia="zh-CN" w:bidi="ar-SA"/>
            </w:rPr>
            <w:fldChar w:fldCharType="begin"/>
          </w:r>
          <w:r>
            <w:rPr>
              <w:rFonts w:ascii="方正小标宋简体" w:hAnsi="方正小标宋简体" w:eastAsia="方正小标宋简体" w:cs="方正小标宋简体"/>
              <w:color w:val="auto"/>
              <w:kern w:val="2"/>
              <w:sz w:val="28"/>
              <w:szCs w:val="21"/>
              <w:lang w:val="zh-CN" w:eastAsia="zh-CN" w:bidi="ar-SA"/>
            </w:rPr>
            <w:instrText xml:space="preserve"> HYPERLINK \l _Toc2652 </w:instrText>
          </w:r>
          <w:r>
            <w:rPr>
              <w:rFonts w:ascii="方正小标宋简体" w:hAnsi="方正小标宋简体" w:eastAsia="方正小标宋简体" w:cs="方正小标宋简体"/>
              <w:color w:val="auto"/>
              <w:kern w:val="2"/>
              <w:sz w:val="28"/>
              <w:szCs w:val="21"/>
              <w:lang w:val="zh-CN" w:eastAsia="zh-CN" w:bidi="ar-SA"/>
            </w:rPr>
            <w:fldChar w:fldCharType="separate"/>
          </w:r>
          <w:r>
            <w:rPr>
              <w:rFonts w:hint="eastAsia" w:ascii="方正小标宋简体" w:hAnsi="方正小标宋简体" w:eastAsia="方正小标宋简体" w:cs="方正小标宋简体"/>
              <w:color w:val="auto"/>
              <w:kern w:val="2"/>
              <w:sz w:val="28"/>
              <w:szCs w:val="48"/>
              <w:lang w:val="en-US" w:eastAsia="zh-CN" w:bidi="ar-SA"/>
            </w:rPr>
            <w:t>第四章 全方位扩大内需，建设体验消费强劲内核</w:t>
          </w:r>
          <w:r>
            <w:rPr>
              <w:rFonts w:ascii="方正小标宋简体" w:hAnsi="方正小标宋简体" w:eastAsia="方正小标宋简体" w:cs="方正小标宋简体"/>
              <w:color w:val="auto"/>
              <w:kern w:val="2"/>
              <w:sz w:val="28"/>
              <w:szCs w:val="21"/>
              <w:lang w:val="en-US" w:eastAsia="zh-CN" w:bidi="ar-SA"/>
            </w:rPr>
            <w:tab/>
          </w:r>
          <w:r>
            <w:rPr>
              <w:rFonts w:ascii="方正小标宋简体" w:hAnsi="方正小标宋简体" w:eastAsia="方正小标宋简体" w:cs="方正小标宋简体"/>
              <w:color w:val="auto"/>
              <w:kern w:val="2"/>
              <w:sz w:val="28"/>
              <w:szCs w:val="21"/>
              <w:lang w:val="en-US" w:eastAsia="zh-CN" w:bidi="ar-SA"/>
            </w:rPr>
            <w:fldChar w:fldCharType="begin"/>
          </w:r>
          <w:r>
            <w:rPr>
              <w:rFonts w:ascii="方正小标宋简体" w:hAnsi="方正小标宋简体" w:eastAsia="方正小标宋简体" w:cs="方正小标宋简体"/>
              <w:color w:val="auto"/>
              <w:kern w:val="2"/>
              <w:sz w:val="28"/>
              <w:szCs w:val="21"/>
              <w:lang w:val="en-US" w:eastAsia="zh-CN" w:bidi="ar-SA"/>
            </w:rPr>
            <w:instrText xml:space="preserve"> PAGEREF _Toc2652 \h </w:instrText>
          </w:r>
          <w:r>
            <w:rPr>
              <w:rFonts w:ascii="方正小标宋简体" w:hAnsi="方正小标宋简体" w:eastAsia="方正小标宋简体" w:cs="方正小标宋简体"/>
              <w:color w:val="auto"/>
              <w:kern w:val="2"/>
              <w:sz w:val="28"/>
              <w:szCs w:val="21"/>
              <w:lang w:val="en-US" w:eastAsia="zh-CN" w:bidi="ar-SA"/>
            </w:rPr>
            <w:fldChar w:fldCharType="separate"/>
          </w:r>
          <w:r>
            <w:rPr>
              <w:rFonts w:ascii="方正小标宋简体" w:hAnsi="方正小标宋简体" w:eastAsia="方正小标宋简体" w:cs="方正小标宋简体"/>
              <w:color w:val="auto"/>
              <w:kern w:val="2"/>
              <w:sz w:val="28"/>
              <w:szCs w:val="21"/>
              <w:lang w:val="en-US" w:eastAsia="zh-CN" w:bidi="ar-SA"/>
            </w:rPr>
            <w:t>40</w:t>
          </w:r>
          <w:r>
            <w:rPr>
              <w:rFonts w:ascii="方正小标宋简体" w:hAnsi="方正小标宋简体" w:eastAsia="方正小标宋简体" w:cs="方正小标宋简体"/>
              <w:color w:val="auto"/>
              <w:kern w:val="2"/>
              <w:sz w:val="28"/>
              <w:szCs w:val="21"/>
              <w:lang w:val="en-US" w:eastAsia="zh-CN" w:bidi="ar-SA"/>
            </w:rPr>
            <w:fldChar w:fldCharType="end"/>
          </w:r>
          <w:r>
            <w:rPr>
              <w:rFonts w:ascii="方正小标宋简体" w:hAnsi="方正小标宋简体" w:eastAsia="方正小标宋简体" w:cs="方正小标宋简体"/>
              <w:color w:val="auto"/>
              <w:kern w:val="2"/>
              <w:sz w:val="28"/>
              <w:szCs w:val="21"/>
              <w:lang w:val="zh-CN" w:eastAsia="zh-CN" w:bidi="ar-SA"/>
            </w:rPr>
            <w:fldChar w:fldCharType="end"/>
          </w:r>
        </w:p>
        <w:p w14:paraId="46E9F0CB">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_Toc26899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第一节  全面释放消费潜能</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_Toc26899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40</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5D2810D3">
          <w:pPr>
            <w:widowControl w:val="0"/>
            <w:tabs>
              <w:tab w:val="right" w:leader="dot" w:pos="8844"/>
            </w:tabs>
            <w:spacing w:line="560" w:lineRule="exact"/>
            <w:ind w:firstLine="280" w:firstLineChars="100"/>
            <w:jc w:val="both"/>
            <w:rPr>
              <w:rFonts w:ascii="Times New Roman" w:hAnsi="Times New Roman" w:eastAsia="仿宋_GB2312" w:cs="Times New Roman"/>
              <w:b/>
              <w:bCs/>
              <w:color w:val="auto"/>
              <w:kern w:val="2"/>
              <w:sz w:val="28"/>
              <w:szCs w:val="21"/>
              <w:lang w:val="en-US"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_Toc17363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第二节  全面提高投资质效</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_Toc17363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42</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18C89079">
          <w:pPr>
            <w:widowControl w:val="0"/>
            <w:tabs>
              <w:tab w:val="right" w:leader="dot" w:pos="8844"/>
            </w:tabs>
            <w:spacing w:line="520" w:lineRule="exact"/>
            <w:ind w:firstLine="0" w:firstLineChars="0"/>
            <w:jc w:val="both"/>
            <w:rPr>
              <w:rFonts w:ascii="方正小标宋简体" w:hAnsi="方正小标宋简体" w:eastAsia="方正小标宋简体" w:cs="方正小标宋简体"/>
              <w:color w:val="auto"/>
              <w:kern w:val="2"/>
              <w:sz w:val="28"/>
              <w:szCs w:val="21"/>
              <w:lang w:val="en-US" w:eastAsia="zh-CN" w:bidi="ar-SA"/>
            </w:rPr>
          </w:pPr>
          <w:r>
            <w:rPr>
              <w:rFonts w:ascii="方正小标宋简体" w:hAnsi="方正小标宋简体" w:eastAsia="方正小标宋简体" w:cs="方正小标宋简体"/>
              <w:color w:val="auto"/>
              <w:kern w:val="2"/>
              <w:sz w:val="28"/>
              <w:szCs w:val="21"/>
              <w:lang w:val="zh-CN" w:eastAsia="zh-CN" w:bidi="ar-SA"/>
            </w:rPr>
            <w:fldChar w:fldCharType="begin"/>
          </w:r>
          <w:r>
            <w:rPr>
              <w:rFonts w:ascii="方正小标宋简体" w:hAnsi="方正小标宋简体" w:eastAsia="方正小标宋简体" w:cs="方正小标宋简体"/>
              <w:color w:val="auto"/>
              <w:kern w:val="2"/>
              <w:sz w:val="28"/>
              <w:szCs w:val="21"/>
              <w:lang w:val="zh-CN" w:eastAsia="zh-CN" w:bidi="ar-SA"/>
            </w:rPr>
            <w:instrText xml:space="preserve"> HYPERLINK \l _Toc22296 </w:instrText>
          </w:r>
          <w:r>
            <w:rPr>
              <w:rFonts w:ascii="方正小标宋简体" w:hAnsi="方正小标宋简体" w:eastAsia="方正小标宋简体" w:cs="方正小标宋简体"/>
              <w:color w:val="auto"/>
              <w:kern w:val="2"/>
              <w:sz w:val="28"/>
              <w:szCs w:val="21"/>
              <w:lang w:val="zh-CN" w:eastAsia="zh-CN" w:bidi="ar-SA"/>
            </w:rPr>
            <w:fldChar w:fldCharType="separate"/>
          </w:r>
          <w:r>
            <w:rPr>
              <w:rFonts w:hint="eastAsia" w:ascii="方正小标宋简体" w:hAnsi="方正小标宋简体" w:eastAsia="方正小标宋简体" w:cs="方正小标宋简体"/>
              <w:color w:val="auto"/>
              <w:kern w:val="2"/>
              <w:sz w:val="28"/>
              <w:szCs w:val="48"/>
              <w:highlight w:val="none"/>
              <w:lang w:val="en-US" w:eastAsia="zh-CN" w:bidi="ar-SA"/>
            </w:rPr>
            <w:t>第五章 推动改革开放融通发展，打造活力经济兴业沃土</w:t>
          </w:r>
          <w:r>
            <w:rPr>
              <w:rFonts w:ascii="方正小标宋简体" w:hAnsi="方正小标宋简体" w:eastAsia="方正小标宋简体" w:cs="方正小标宋简体"/>
              <w:color w:val="auto"/>
              <w:kern w:val="2"/>
              <w:sz w:val="28"/>
              <w:szCs w:val="21"/>
              <w:lang w:val="en-US" w:eastAsia="zh-CN" w:bidi="ar-SA"/>
            </w:rPr>
            <w:tab/>
          </w:r>
          <w:r>
            <w:rPr>
              <w:rFonts w:ascii="方正小标宋简体" w:hAnsi="方正小标宋简体" w:eastAsia="方正小标宋简体" w:cs="方正小标宋简体"/>
              <w:color w:val="auto"/>
              <w:kern w:val="2"/>
              <w:sz w:val="28"/>
              <w:szCs w:val="21"/>
              <w:lang w:val="en-US" w:eastAsia="zh-CN" w:bidi="ar-SA"/>
            </w:rPr>
            <w:fldChar w:fldCharType="begin"/>
          </w:r>
          <w:r>
            <w:rPr>
              <w:rFonts w:ascii="方正小标宋简体" w:hAnsi="方正小标宋简体" w:eastAsia="方正小标宋简体" w:cs="方正小标宋简体"/>
              <w:color w:val="auto"/>
              <w:kern w:val="2"/>
              <w:sz w:val="28"/>
              <w:szCs w:val="21"/>
              <w:lang w:val="en-US" w:eastAsia="zh-CN" w:bidi="ar-SA"/>
            </w:rPr>
            <w:instrText xml:space="preserve"> PAGEREF _Toc22296 \h </w:instrText>
          </w:r>
          <w:r>
            <w:rPr>
              <w:rFonts w:ascii="方正小标宋简体" w:hAnsi="方正小标宋简体" w:eastAsia="方正小标宋简体" w:cs="方正小标宋简体"/>
              <w:color w:val="auto"/>
              <w:kern w:val="2"/>
              <w:sz w:val="28"/>
              <w:szCs w:val="21"/>
              <w:lang w:val="en-US" w:eastAsia="zh-CN" w:bidi="ar-SA"/>
            </w:rPr>
            <w:fldChar w:fldCharType="separate"/>
          </w:r>
          <w:r>
            <w:rPr>
              <w:rFonts w:ascii="方正小标宋简体" w:hAnsi="方正小标宋简体" w:eastAsia="方正小标宋简体" w:cs="方正小标宋简体"/>
              <w:color w:val="auto"/>
              <w:kern w:val="2"/>
              <w:sz w:val="28"/>
              <w:szCs w:val="21"/>
              <w:lang w:val="en-US" w:eastAsia="zh-CN" w:bidi="ar-SA"/>
            </w:rPr>
            <w:t>43</w:t>
          </w:r>
          <w:r>
            <w:rPr>
              <w:rFonts w:ascii="方正小标宋简体" w:hAnsi="方正小标宋简体" w:eastAsia="方正小标宋简体" w:cs="方正小标宋简体"/>
              <w:color w:val="auto"/>
              <w:kern w:val="2"/>
              <w:sz w:val="28"/>
              <w:szCs w:val="21"/>
              <w:lang w:val="en-US" w:eastAsia="zh-CN" w:bidi="ar-SA"/>
            </w:rPr>
            <w:fldChar w:fldCharType="end"/>
          </w:r>
          <w:r>
            <w:rPr>
              <w:rFonts w:ascii="方正小标宋简体" w:hAnsi="方正小标宋简体" w:eastAsia="方正小标宋简体" w:cs="方正小标宋简体"/>
              <w:color w:val="auto"/>
              <w:kern w:val="2"/>
              <w:sz w:val="28"/>
              <w:szCs w:val="21"/>
              <w:lang w:val="zh-CN" w:eastAsia="zh-CN" w:bidi="ar-SA"/>
            </w:rPr>
            <w:fldChar w:fldCharType="end"/>
          </w:r>
        </w:p>
        <w:p w14:paraId="10EE7A15">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_Toc23088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第一节  深入推进市场化改革创新</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_Toc23088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43</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57FF7BC4">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_Toc25571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第二节  构建多层次区域联动网络</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_Toc25571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45</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15120941">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_Toc28869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第三节  开展宽领域对外经贸合作</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_Toc28869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46</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79852669">
          <w:pPr>
            <w:widowControl w:val="0"/>
            <w:tabs>
              <w:tab w:val="right" w:leader="dot" w:pos="8844"/>
            </w:tabs>
            <w:spacing w:line="560" w:lineRule="exact"/>
            <w:ind w:firstLine="280" w:firstLineChars="100"/>
            <w:jc w:val="both"/>
            <w:rPr>
              <w:rFonts w:ascii="Times New Roman" w:hAnsi="Times New Roman" w:eastAsia="仿宋_GB2312" w:cs="Times New Roman"/>
              <w:b/>
              <w:bCs/>
              <w:color w:val="auto"/>
              <w:kern w:val="2"/>
              <w:sz w:val="28"/>
              <w:szCs w:val="21"/>
              <w:lang w:val="en-US"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_Toc25435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第四节  持续优化营商环境</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_Toc25435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47</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44C73998">
          <w:pPr>
            <w:widowControl w:val="0"/>
            <w:tabs>
              <w:tab w:val="right" w:leader="dot" w:pos="8844"/>
            </w:tabs>
            <w:spacing w:line="520" w:lineRule="exact"/>
            <w:ind w:firstLine="0" w:firstLineChars="0"/>
            <w:jc w:val="both"/>
            <w:rPr>
              <w:rFonts w:ascii="方正小标宋简体" w:hAnsi="方正小标宋简体" w:eastAsia="方正小标宋简体" w:cs="方正小标宋简体"/>
              <w:color w:val="auto"/>
              <w:kern w:val="2"/>
              <w:sz w:val="28"/>
              <w:szCs w:val="21"/>
              <w:lang w:val="en-US" w:eastAsia="zh-CN" w:bidi="ar-SA"/>
            </w:rPr>
          </w:pPr>
          <w:r>
            <w:rPr>
              <w:rFonts w:ascii="方正小标宋简体" w:hAnsi="方正小标宋简体" w:eastAsia="方正小标宋简体" w:cs="方正小标宋简体"/>
              <w:color w:val="auto"/>
              <w:kern w:val="2"/>
              <w:sz w:val="28"/>
              <w:szCs w:val="21"/>
              <w:lang w:val="zh-CN" w:eastAsia="zh-CN" w:bidi="ar-SA"/>
            </w:rPr>
            <w:fldChar w:fldCharType="begin"/>
          </w:r>
          <w:r>
            <w:rPr>
              <w:rFonts w:ascii="方正小标宋简体" w:hAnsi="方正小标宋简体" w:eastAsia="方正小标宋简体" w:cs="方正小标宋简体"/>
              <w:color w:val="auto"/>
              <w:kern w:val="2"/>
              <w:sz w:val="28"/>
              <w:szCs w:val="21"/>
              <w:lang w:val="zh-CN" w:eastAsia="zh-CN" w:bidi="ar-SA"/>
            </w:rPr>
            <w:instrText xml:space="preserve"> HYPERLINK \l _Toc14934 </w:instrText>
          </w:r>
          <w:r>
            <w:rPr>
              <w:rFonts w:ascii="方正小标宋简体" w:hAnsi="方正小标宋简体" w:eastAsia="方正小标宋简体" w:cs="方正小标宋简体"/>
              <w:color w:val="auto"/>
              <w:kern w:val="2"/>
              <w:sz w:val="28"/>
              <w:szCs w:val="21"/>
              <w:lang w:val="zh-CN" w:eastAsia="zh-CN" w:bidi="ar-SA"/>
            </w:rPr>
            <w:fldChar w:fldCharType="separate"/>
          </w:r>
          <w:r>
            <w:rPr>
              <w:rFonts w:hint="eastAsia" w:ascii="方正小标宋简体" w:hAnsi="方正小标宋简体" w:eastAsia="方正小标宋简体" w:cs="方正小标宋简体"/>
              <w:color w:val="auto"/>
              <w:kern w:val="2"/>
              <w:sz w:val="28"/>
              <w:szCs w:val="48"/>
              <w:lang w:val="en-US" w:eastAsia="zh-CN" w:bidi="ar-SA"/>
            </w:rPr>
            <w:t>第六章 优化城市空间和功能布局，推进城市品质内涵提升</w:t>
          </w:r>
          <w:r>
            <w:rPr>
              <w:rFonts w:ascii="方正小标宋简体" w:hAnsi="方正小标宋简体" w:eastAsia="方正小标宋简体" w:cs="方正小标宋简体"/>
              <w:color w:val="auto"/>
              <w:kern w:val="2"/>
              <w:sz w:val="28"/>
              <w:szCs w:val="21"/>
              <w:lang w:val="en-US" w:eastAsia="zh-CN" w:bidi="ar-SA"/>
            </w:rPr>
            <w:tab/>
          </w:r>
          <w:r>
            <w:rPr>
              <w:rFonts w:ascii="方正小标宋简体" w:hAnsi="方正小标宋简体" w:eastAsia="方正小标宋简体" w:cs="方正小标宋简体"/>
              <w:color w:val="auto"/>
              <w:kern w:val="2"/>
              <w:sz w:val="28"/>
              <w:szCs w:val="21"/>
              <w:lang w:val="en-US" w:eastAsia="zh-CN" w:bidi="ar-SA"/>
            </w:rPr>
            <w:fldChar w:fldCharType="begin"/>
          </w:r>
          <w:r>
            <w:rPr>
              <w:rFonts w:ascii="方正小标宋简体" w:hAnsi="方正小标宋简体" w:eastAsia="方正小标宋简体" w:cs="方正小标宋简体"/>
              <w:color w:val="auto"/>
              <w:kern w:val="2"/>
              <w:sz w:val="28"/>
              <w:szCs w:val="21"/>
              <w:lang w:val="en-US" w:eastAsia="zh-CN" w:bidi="ar-SA"/>
            </w:rPr>
            <w:instrText xml:space="preserve"> PAGEREF _Toc14934 \h </w:instrText>
          </w:r>
          <w:r>
            <w:rPr>
              <w:rFonts w:ascii="方正小标宋简体" w:hAnsi="方正小标宋简体" w:eastAsia="方正小标宋简体" w:cs="方正小标宋简体"/>
              <w:color w:val="auto"/>
              <w:kern w:val="2"/>
              <w:sz w:val="28"/>
              <w:szCs w:val="21"/>
              <w:lang w:val="en-US" w:eastAsia="zh-CN" w:bidi="ar-SA"/>
            </w:rPr>
            <w:fldChar w:fldCharType="separate"/>
          </w:r>
          <w:r>
            <w:rPr>
              <w:rFonts w:ascii="方正小标宋简体" w:hAnsi="方正小标宋简体" w:eastAsia="方正小标宋简体" w:cs="方正小标宋简体"/>
              <w:color w:val="auto"/>
              <w:kern w:val="2"/>
              <w:sz w:val="28"/>
              <w:szCs w:val="21"/>
              <w:lang w:val="en-US" w:eastAsia="zh-CN" w:bidi="ar-SA"/>
            </w:rPr>
            <w:t>48</w:t>
          </w:r>
          <w:r>
            <w:rPr>
              <w:rFonts w:ascii="方正小标宋简体" w:hAnsi="方正小标宋简体" w:eastAsia="方正小标宋简体" w:cs="方正小标宋简体"/>
              <w:color w:val="auto"/>
              <w:kern w:val="2"/>
              <w:sz w:val="28"/>
              <w:szCs w:val="21"/>
              <w:lang w:val="en-US" w:eastAsia="zh-CN" w:bidi="ar-SA"/>
            </w:rPr>
            <w:fldChar w:fldCharType="end"/>
          </w:r>
          <w:r>
            <w:rPr>
              <w:rFonts w:ascii="方正小标宋简体" w:hAnsi="方正小标宋简体" w:eastAsia="方正小标宋简体" w:cs="方正小标宋简体"/>
              <w:color w:val="auto"/>
              <w:kern w:val="2"/>
              <w:sz w:val="28"/>
              <w:szCs w:val="21"/>
              <w:lang w:val="zh-CN" w:eastAsia="zh-CN" w:bidi="ar-SA"/>
            </w:rPr>
            <w:fldChar w:fldCharType="end"/>
          </w:r>
        </w:p>
        <w:p w14:paraId="150A8637">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_Toc31200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第一节  优化国土空间格局</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_Toc31200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48</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001D4DED">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_Toc15299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第二节  加快基础设施建设</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_Toc15299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51</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5C96D422">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_Toc19147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第三节  提升城市建设品质</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_Toc19147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52</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1BB12A87">
          <w:pPr>
            <w:widowControl w:val="0"/>
            <w:tabs>
              <w:tab w:val="right" w:leader="dot" w:pos="8844"/>
            </w:tabs>
            <w:spacing w:line="560" w:lineRule="exact"/>
            <w:ind w:firstLine="280" w:firstLineChars="100"/>
            <w:jc w:val="both"/>
            <w:rPr>
              <w:rFonts w:ascii="Times New Roman" w:hAnsi="Times New Roman" w:eastAsia="仿宋_GB2312" w:cs="Times New Roman"/>
              <w:b/>
              <w:bCs/>
              <w:color w:val="auto"/>
              <w:kern w:val="2"/>
              <w:sz w:val="28"/>
              <w:szCs w:val="21"/>
              <w:lang w:val="en-US"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_Toc23825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第四节  深化城市精细化治理</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_Toc23825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54</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3B94F14C">
          <w:pPr>
            <w:widowControl w:val="0"/>
            <w:tabs>
              <w:tab w:val="right" w:leader="dot" w:pos="8844"/>
            </w:tabs>
            <w:spacing w:line="520" w:lineRule="exact"/>
            <w:ind w:firstLine="0" w:firstLineChars="0"/>
            <w:jc w:val="both"/>
            <w:rPr>
              <w:rFonts w:ascii="方正小标宋简体" w:hAnsi="方正小标宋简体" w:eastAsia="方正小标宋简体" w:cs="方正小标宋简体"/>
              <w:color w:val="auto"/>
              <w:kern w:val="2"/>
              <w:sz w:val="28"/>
              <w:szCs w:val="21"/>
              <w:lang w:val="en-US" w:eastAsia="zh-CN" w:bidi="ar-SA"/>
            </w:rPr>
          </w:pPr>
          <w:r>
            <w:rPr>
              <w:rFonts w:ascii="方正小标宋简体" w:hAnsi="方正小标宋简体" w:eastAsia="方正小标宋简体" w:cs="方正小标宋简体"/>
              <w:color w:val="auto"/>
              <w:kern w:val="2"/>
              <w:sz w:val="28"/>
              <w:szCs w:val="21"/>
              <w:lang w:val="zh-CN" w:eastAsia="zh-CN" w:bidi="ar-SA"/>
            </w:rPr>
            <w:fldChar w:fldCharType="begin"/>
          </w:r>
          <w:r>
            <w:rPr>
              <w:rFonts w:ascii="方正小标宋简体" w:hAnsi="方正小标宋简体" w:eastAsia="方正小标宋简体" w:cs="方正小标宋简体"/>
              <w:color w:val="auto"/>
              <w:kern w:val="2"/>
              <w:sz w:val="28"/>
              <w:szCs w:val="21"/>
              <w:lang w:val="zh-CN" w:eastAsia="zh-CN" w:bidi="ar-SA"/>
            </w:rPr>
            <w:instrText xml:space="preserve"> HYPERLINK \l _Toc28628 </w:instrText>
          </w:r>
          <w:r>
            <w:rPr>
              <w:rFonts w:ascii="方正小标宋简体" w:hAnsi="方正小标宋简体" w:eastAsia="方正小标宋简体" w:cs="方正小标宋简体"/>
              <w:color w:val="auto"/>
              <w:kern w:val="2"/>
              <w:sz w:val="28"/>
              <w:szCs w:val="21"/>
              <w:lang w:val="zh-CN" w:eastAsia="zh-CN" w:bidi="ar-SA"/>
            </w:rPr>
            <w:fldChar w:fldCharType="separate"/>
          </w:r>
          <w:r>
            <w:rPr>
              <w:rFonts w:hint="eastAsia" w:ascii="方正小标宋简体" w:hAnsi="方正小标宋简体" w:eastAsia="方正小标宋简体" w:cs="方正小标宋简体"/>
              <w:color w:val="auto"/>
              <w:kern w:val="2"/>
              <w:sz w:val="28"/>
              <w:szCs w:val="48"/>
              <w:lang w:val="en-US" w:eastAsia="zh-CN" w:bidi="ar-SA"/>
            </w:rPr>
            <w:t>第七章 着力保障和改善民生，谱写幸福高新美好篇章</w:t>
          </w:r>
          <w:r>
            <w:rPr>
              <w:rFonts w:ascii="方正小标宋简体" w:hAnsi="方正小标宋简体" w:eastAsia="方正小标宋简体" w:cs="方正小标宋简体"/>
              <w:color w:val="auto"/>
              <w:kern w:val="2"/>
              <w:sz w:val="28"/>
              <w:szCs w:val="21"/>
              <w:lang w:val="en-US" w:eastAsia="zh-CN" w:bidi="ar-SA"/>
            </w:rPr>
            <w:tab/>
          </w:r>
          <w:r>
            <w:rPr>
              <w:rFonts w:ascii="方正小标宋简体" w:hAnsi="方正小标宋简体" w:eastAsia="方正小标宋简体" w:cs="方正小标宋简体"/>
              <w:color w:val="auto"/>
              <w:kern w:val="2"/>
              <w:sz w:val="28"/>
              <w:szCs w:val="21"/>
              <w:lang w:val="en-US" w:eastAsia="zh-CN" w:bidi="ar-SA"/>
            </w:rPr>
            <w:fldChar w:fldCharType="begin"/>
          </w:r>
          <w:r>
            <w:rPr>
              <w:rFonts w:ascii="方正小标宋简体" w:hAnsi="方正小标宋简体" w:eastAsia="方正小标宋简体" w:cs="方正小标宋简体"/>
              <w:color w:val="auto"/>
              <w:kern w:val="2"/>
              <w:sz w:val="28"/>
              <w:szCs w:val="21"/>
              <w:lang w:val="en-US" w:eastAsia="zh-CN" w:bidi="ar-SA"/>
            </w:rPr>
            <w:instrText xml:space="preserve"> PAGEREF _Toc28628 \h </w:instrText>
          </w:r>
          <w:r>
            <w:rPr>
              <w:rFonts w:ascii="方正小标宋简体" w:hAnsi="方正小标宋简体" w:eastAsia="方正小标宋简体" w:cs="方正小标宋简体"/>
              <w:color w:val="auto"/>
              <w:kern w:val="2"/>
              <w:sz w:val="28"/>
              <w:szCs w:val="21"/>
              <w:lang w:val="en-US" w:eastAsia="zh-CN" w:bidi="ar-SA"/>
            </w:rPr>
            <w:fldChar w:fldCharType="separate"/>
          </w:r>
          <w:r>
            <w:rPr>
              <w:rFonts w:ascii="方正小标宋简体" w:hAnsi="方正小标宋简体" w:eastAsia="方正小标宋简体" w:cs="方正小标宋简体"/>
              <w:color w:val="auto"/>
              <w:kern w:val="2"/>
              <w:sz w:val="28"/>
              <w:szCs w:val="21"/>
              <w:lang w:val="en-US" w:eastAsia="zh-CN" w:bidi="ar-SA"/>
            </w:rPr>
            <w:t>55</w:t>
          </w:r>
          <w:r>
            <w:rPr>
              <w:rFonts w:ascii="方正小标宋简体" w:hAnsi="方正小标宋简体" w:eastAsia="方正小标宋简体" w:cs="方正小标宋简体"/>
              <w:color w:val="auto"/>
              <w:kern w:val="2"/>
              <w:sz w:val="28"/>
              <w:szCs w:val="21"/>
              <w:lang w:val="en-US" w:eastAsia="zh-CN" w:bidi="ar-SA"/>
            </w:rPr>
            <w:fldChar w:fldCharType="end"/>
          </w:r>
          <w:r>
            <w:rPr>
              <w:rFonts w:ascii="方正小标宋简体" w:hAnsi="方正小标宋简体" w:eastAsia="方正小标宋简体" w:cs="方正小标宋简体"/>
              <w:color w:val="auto"/>
              <w:kern w:val="2"/>
              <w:sz w:val="28"/>
              <w:szCs w:val="21"/>
              <w:lang w:val="zh-CN" w:eastAsia="zh-CN" w:bidi="ar-SA"/>
            </w:rPr>
            <w:fldChar w:fldCharType="end"/>
          </w:r>
        </w:p>
        <w:p w14:paraId="39A6D7D4">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_Toc954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第一节  打造“优学在高新”教育品牌</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_Toc954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55</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06A89D27">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_Toc10410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第二节  构建高效医疗卫生服务体系</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_Toc10410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57</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7012C49C">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_Toc2149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第三节  完善多层次社会保障体系</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_Toc2149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58</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6D9BE515">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_Toc27713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第四节  塑造高新特色文化品牌</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_Toc27713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60</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3DE4DC4B">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_Toc11126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第五节  扎实推进乡村全面振兴</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_Toc11126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61</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04738B5D">
          <w:pPr>
            <w:widowControl w:val="0"/>
            <w:tabs>
              <w:tab w:val="right" w:leader="dot" w:pos="8844"/>
            </w:tabs>
            <w:spacing w:line="520" w:lineRule="exact"/>
            <w:ind w:firstLine="0" w:firstLineChars="0"/>
            <w:jc w:val="both"/>
            <w:rPr>
              <w:rFonts w:ascii="方正小标宋简体" w:hAnsi="方正小标宋简体" w:eastAsia="方正小标宋简体" w:cs="方正小标宋简体"/>
              <w:color w:val="auto"/>
              <w:kern w:val="2"/>
              <w:sz w:val="28"/>
              <w:szCs w:val="21"/>
              <w:lang w:val="en-US" w:eastAsia="zh-CN" w:bidi="ar-SA"/>
            </w:rPr>
          </w:pPr>
          <w:r>
            <w:rPr>
              <w:rFonts w:ascii="方正小标宋简体" w:hAnsi="方正小标宋简体" w:eastAsia="方正小标宋简体" w:cs="方正小标宋简体"/>
              <w:color w:val="auto"/>
              <w:kern w:val="2"/>
              <w:sz w:val="28"/>
              <w:szCs w:val="21"/>
              <w:lang w:val="zh-CN" w:eastAsia="zh-CN" w:bidi="ar-SA"/>
            </w:rPr>
            <w:fldChar w:fldCharType="begin"/>
          </w:r>
          <w:r>
            <w:rPr>
              <w:rFonts w:ascii="方正小标宋简体" w:hAnsi="方正小标宋简体" w:eastAsia="方正小标宋简体" w:cs="方正小标宋简体"/>
              <w:color w:val="auto"/>
              <w:kern w:val="2"/>
              <w:sz w:val="28"/>
              <w:szCs w:val="21"/>
              <w:lang w:val="zh-CN" w:eastAsia="zh-CN" w:bidi="ar-SA"/>
            </w:rPr>
            <w:instrText xml:space="preserve"> HYPERLINK \l _Toc4517 </w:instrText>
          </w:r>
          <w:r>
            <w:rPr>
              <w:rFonts w:ascii="方正小标宋简体" w:hAnsi="方正小标宋简体" w:eastAsia="方正小标宋简体" w:cs="方正小标宋简体"/>
              <w:color w:val="auto"/>
              <w:kern w:val="2"/>
              <w:sz w:val="28"/>
              <w:szCs w:val="21"/>
              <w:lang w:val="zh-CN" w:eastAsia="zh-CN" w:bidi="ar-SA"/>
            </w:rPr>
            <w:fldChar w:fldCharType="separate"/>
          </w:r>
          <w:r>
            <w:rPr>
              <w:rFonts w:hint="eastAsia" w:ascii="方正小标宋简体" w:hAnsi="方正小标宋简体" w:eastAsia="方正小标宋简体" w:cs="方正小标宋简体"/>
              <w:color w:val="auto"/>
              <w:kern w:val="2"/>
              <w:sz w:val="28"/>
              <w:szCs w:val="48"/>
              <w:lang w:val="en-US" w:eastAsia="zh-CN" w:bidi="ar-SA"/>
            </w:rPr>
            <w:t xml:space="preserve">第八章 </w:t>
          </w:r>
          <w:r>
            <w:rPr>
              <w:rFonts w:ascii="方正小标宋简体" w:hAnsi="方正小标宋简体" w:eastAsia="方正小标宋简体" w:cs="方正小标宋简体"/>
              <w:color w:val="auto"/>
              <w:kern w:val="2"/>
              <w:sz w:val="28"/>
              <w:szCs w:val="48"/>
              <w:lang w:val="en-US" w:eastAsia="zh-CN" w:bidi="ar-SA"/>
            </w:rPr>
            <w:t>全面</w:t>
          </w:r>
          <w:r>
            <w:rPr>
              <w:rFonts w:hint="eastAsia" w:ascii="方正小标宋简体" w:hAnsi="方正小标宋简体" w:eastAsia="方正小标宋简体" w:cs="方正小标宋简体"/>
              <w:color w:val="auto"/>
              <w:kern w:val="2"/>
              <w:sz w:val="28"/>
              <w:szCs w:val="48"/>
              <w:lang w:val="en-US" w:eastAsia="zh-CN" w:bidi="ar-SA"/>
            </w:rPr>
            <w:t>贯彻总体国家安全观，构筑平安高新发展屏障</w:t>
          </w:r>
          <w:r>
            <w:rPr>
              <w:rFonts w:ascii="方正小标宋简体" w:hAnsi="方正小标宋简体" w:eastAsia="方正小标宋简体" w:cs="方正小标宋简体"/>
              <w:color w:val="auto"/>
              <w:kern w:val="2"/>
              <w:sz w:val="28"/>
              <w:szCs w:val="21"/>
              <w:lang w:val="en-US" w:eastAsia="zh-CN" w:bidi="ar-SA"/>
            </w:rPr>
            <w:tab/>
          </w:r>
          <w:r>
            <w:rPr>
              <w:rFonts w:ascii="方正小标宋简体" w:hAnsi="方正小标宋简体" w:eastAsia="方正小标宋简体" w:cs="方正小标宋简体"/>
              <w:color w:val="auto"/>
              <w:kern w:val="2"/>
              <w:sz w:val="28"/>
              <w:szCs w:val="21"/>
              <w:lang w:val="en-US" w:eastAsia="zh-CN" w:bidi="ar-SA"/>
            </w:rPr>
            <w:fldChar w:fldCharType="begin"/>
          </w:r>
          <w:r>
            <w:rPr>
              <w:rFonts w:ascii="方正小标宋简体" w:hAnsi="方正小标宋简体" w:eastAsia="方正小标宋简体" w:cs="方正小标宋简体"/>
              <w:color w:val="auto"/>
              <w:kern w:val="2"/>
              <w:sz w:val="28"/>
              <w:szCs w:val="21"/>
              <w:lang w:val="en-US" w:eastAsia="zh-CN" w:bidi="ar-SA"/>
            </w:rPr>
            <w:instrText xml:space="preserve"> PAGEREF _Toc4517 \h </w:instrText>
          </w:r>
          <w:r>
            <w:rPr>
              <w:rFonts w:ascii="方正小标宋简体" w:hAnsi="方正小标宋简体" w:eastAsia="方正小标宋简体" w:cs="方正小标宋简体"/>
              <w:color w:val="auto"/>
              <w:kern w:val="2"/>
              <w:sz w:val="28"/>
              <w:szCs w:val="21"/>
              <w:lang w:val="en-US" w:eastAsia="zh-CN" w:bidi="ar-SA"/>
            </w:rPr>
            <w:fldChar w:fldCharType="separate"/>
          </w:r>
          <w:r>
            <w:rPr>
              <w:rFonts w:ascii="方正小标宋简体" w:hAnsi="方正小标宋简体" w:eastAsia="方正小标宋简体" w:cs="方正小标宋简体"/>
              <w:color w:val="auto"/>
              <w:kern w:val="2"/>
              <w:sz w:val="28"/>
              <w:szCs w:val="21"/>
              <w:lang w:val="en-US" w:eastAsia="zh-CN" w:bidi="ar-SA"/>
            </w:rPr>
            <w:t>62</w:t>
          </w:r>
          <w:r>
            <w:rPr>
              <w:rFonts w:ascii="方正小标宋简体" w:hAnsi="方正小标宋简体" w:eastAsia="方正小标宋简体" w:cs="方正小标宋简体"/>
              <w:color w:val="auto"/>
              <w:kern w:val="2"/>
              <w:sz w:val="28"/>
              <w:szCs w:val="21"/>
              <w:lang w:val="en-US" w:eastAsia="zh-CN" w:bidi="ar-SA"/>
            </w:rPr>
            <w:fldChar w:fldCharType="end"/>
          </w:r>
          <w:r>
            <w:rPr>
              <w:rFonts w:ascii="方正小标宋简体" w:hAnsi="方正小标宋简体" w:eastAsia="方正小标宋简体" w:cs="方正小标宋简体"/>
              <w:color w:val="auto"/>
              <w:kern w:val="2"/>
              <w:sz w:val="28"/>
              <w:szCs w:val="21"/>
              <w:lang w:val="zh-CN" w:eastAsia="zh-CN" w:bidi="ar-SA"/>
            </w:rPr>
            <w:fldChar w:fldCharType="end"/>
          </w:r>
        </w:p>
        <w:p w14:paraId="62FB2FC2">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_Toc1822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第一节  筑牢城市安全屏障</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_Toc1822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62</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5C32C696">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_Toc13395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第二节  全力维护社会稳定</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_Toc13395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64</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5CC97E98">
          <w:pPr>
            <w:widowControl w:val="0"/>
            <w:tabs>
              <w:tab w:val="right" w:leader="dot" w:pos="8844"/>
            </w:tabs>
            <w:spacing w:line="560" w:lineRule="exact"/>
            <w:ind w:firstLine="280" w:firstLineChars="100"/>
            <w:jc w:val="both"/>
            <w:rPr>
              <w:rFonts w:ascii="Times New Roman" w:hAnsi="Times New Roman" w:eastAsia="仿宋_GB2312" w:cs="Times New Roman"/>
              <w:b/>
              <w:bCs/>
              <w:color w:val="auto"/>
              <w:kern w:val="2"/>
              <w:sz w:val="28"/>
              <w:szCs w:val="21"/>
              <w:lang w:val="en-US"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_Toc12998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第三节  筑牢生态安全屏障</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_Toc12998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65</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0DA7B7B9">
          <w:pPr>
            <w:widowControl w:val="0"/>
            <w:tabs>
              <w:tab w:val="right" w:leader="dot" w:pos="8844"/>
            </w:tabs>
            <w:spacing w:line="520" w:lineRule="exact"/>
            <w:ind w:firstLine="0" w:firstLineChars="0"/>
            <w:jc w:val="both"/>
            <w:rPr>
              <w:rFonts w:ascii="方正小标宋简体" w:hAnsi="方正小标宋简体" w:eastAsia="方正小标宋简体" w:cs="方正小标宋简体"/>
              <w:color w:val="auto"/>
              <w:kern w:val="2"/>
              <w:sz w:val="28"/>
              <w:szCs w:val="21"/>
              <w:lang w:val="en-US" w:eastAsia="zh-CN" w:bidi="ar-SA"/>
            </w:rPr>
          </w:pPr>
          <w:r>
            <w:rPr>
              <w:rFonts w:ascii="方正小标宋简体" w:hAnsi="方正小标宋简体" w:eastAsia="方正小标宋简体" w:cs="方正小标宋简体"/>
              <w:color w:val="auto"/>
              <w:kern w:val="2"/>
              <w:sz w:val="28"/>
              <w:szCs w:val="21"/>
              <w:lang w:val="zh-CN" w:eastAsia="zh-CN" w:bidi="ar-SA"/>
            </w:rPr>
            <w:fldChar w:fldCharType="begin"/>
          </w:r>
          <w:r>
            <w:rPr>
              <w:rFonts w:ascii="方正小标宋简体" w:hAnsi="方正小标宋简体" w:eastAsia="方正小标宋简体" w:cs="方正小标宋简体"/>
              <w:color w:val="auto"/>
              <w:kern w:val="2"/>
              <w:sz w:val="28"/>
              <w:szCs w:val="21"/>
              <w:lang w:val="zh-CN" w:eastAsia="zh-CN" w:bidi="ar-SA"/>
            </w:rPr>
            <w:instrText xml:space="preserve"> HYPERLINK \l _Toc22629 </w:instrText>
          </w:r>
          <w:r>
            <w:rPr>
              <w:rFonts w:ascii="方正小标宋简体" w:hAnsi="方正小标宋简体" w:eastAsia="方正小标宋简体" w:cs="方正小标宋简体"/>
              <w:color w:val="auto"/>
              <w:kern w:val="2"/>
              <w:sz w:val="28"/>
              <w:szCs w:val="21"/>
              <w:lang w:val="zh-CN" w:eastAsia="zh-CN" w:bidi="ar-SA"/>
            </w:rPr>
            <w:fldChar w:fldCharType="separate"/>
          </w:r>
          <w:r>
            <w:rPr>
              <w:rFonts w:hint="eastAsia" w:ascii="方正小标宋简体" w:hAnsi="方正小标宋简体" w:eastAsia="方正小标宋简体" w:cs="方正小标宋简体"/>
              <w:color w:val="auto"/>
              <w:kern w:val="2"/>
              <w:sz w:val="28"/>
              <w:szCs w:val="48"/>
              <w:lang w:val="en-US" w:eastAsia="zh-CN" w:bidi="ar-SA"/>
            </w:rPr>
            <w:t>第九章 健全保障机制，确保规划蓝图全面实现</w:t>
          </w:r>
          <w:r>
            <w:rPr>
              <w:rFonts w:ascii="方正小标宋简体" w:hAnsi="方正小标宋简体" w:eastAsia="方正小标宋简体" w:cs="方正小标宋简体"/>
              <w:color w:val="auto"/>
              <w:kern w:val="2"/>
              <w:sz w:val="28"/>
              <w:szCs w:val="21"/>
              <w:lang w:val="en-US" w:eastAsia="zh-CN" w:bidi="ar-SA"/>
            </w:rPr>
            <w:tab/>
          </w:r>
          <w:r>
            <w:rPr>
              <w:rFonts w:ascii="方正小标宋简体" w:hAnsi="方正小标宋简体" w:eastAsia="方正小标宋简体" w:cs="方正小标宋简体"/>
              <w:color w:val="auto"/>
              <w:kern w:val="2"/>
              <w:sz w:val="28"/>
              <w:szCs w:val="21"/>
              <w:lang w:val="en-US" w:eastAsia="zh-CN" w:bidi="ar-SA"/>
            </w:rPr>
            <w:fldChar w:fldCharType="begin"/>
          </w:r>
          <w:r>
            <w:rPr>
              <w:rFonts w:ascii="方正小标宋简体" w:hAnsi="方正小标宋简体" w:eastAsia="方正小标宋简体" w:cs="方正小标宋简体"/>
              <w:color w:val="auto"/>
              <w:kern w:val="2"/>
              <w:sz w:val="28"/>
              <w:szCs w:val="21"/>
              <w:lang w:val="en-US" w:eastAsia="zh-CN" w:bidi="ar-SA"/>
            </w:rPr>
            <w:instrText xml:space="preserve"> PAGEREF _Toc22629 \h </w:instrText>
          </w:r>
          <w:r>
            <w:rPr>
              <w:rFonts w:ascii="方正小标宋简体" w:hAnsi="方正小标宋简体" w:eastAsia="方正小标宋简体" w:cs="方正小标宋简体"/>
              <w:color w:val="auto"/>
              <w:kern w:val="2"/>
              <w:sz w:val="28"/>
              <w:szCs w:val="21"/>
              <w:lang w:val="en-US" w:eastAsia="zh-CN" w:bidi="ar-SA"/>
            </w:rPr>
            <w:fldChar w:fldCharType="separate"/>
          </w:r>
          <w:r>
            <w:rPr>
              <w:rFonts w:ascii="方正小标宋简体" w:hAnsi="方正小标宋简体" w:eastAsia="方正小标宋简体" w:cs="方正小标宋简体"/>
              <w:color w:val="auto"/>
              <w:kern w:val="2"/>
              <w:sz w:val="28"/>
              <w:szCs w:val="21"/>
              <w:lang w:val="en-US" w:eastAsia="zh-CN" w:bidi="ar-SA"/>
            </w:rPr>
            <w:t>67</w:t>
          </w:r>
          <w:r>
            <w:rPr>
              <w:rFonts w:ascii="方正小标宋简体" w:hAnsi="方正小标宋简体" w:eastAsia="方正小标宋简体" w:cs="方正小标宋简体"/>
              <w:color w:val="auto"/>
              <w:kern w:val="2"/>
              <w:sz w:val="28"/>
              <w:szCs w:val="21"/>
              <w:lang w:val="en-US" w:eastAsia="zh-CN" w:bidi="ar-SA"/>
            </w:rPr>
            <w:fldChar w:fldCharType="end"/>
          </w:r>
          <w:r>
            <w:rPr>
              <w:rFonts w:ascii="方正小标宋简体" w:hAnsi="方正小标宋简体" w:eastAsia="方正小标宋简体" w:cs="方正小标宋简体"/>
              <w:color w:val="auto"/>
              <w:kern w:val="2"/>
              <w:sz w:val="28"/>
              <w:szCs w:val="21"/>
              <w:lang w:val="zh-CN" w:eastAsia="zh-CN" w:bidi="ar-SA"/>
            </w:rPr>
            <w:fldChar w:fldCharType="end"/>
          </w:r>
        </w:p>
        <w:p w14:paraId="21531095">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_Toc11028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第一节  建设统一规划体系</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_Toc11028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67</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5E56B160">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_Toc13588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第二节  完善规划要素保障</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_Toc13588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68</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1824A281">
          <w:pPr>
            <w:widowControl w:val="0"/>
            <w:tabs>
              <w:tab w:val="right" w:leader="dot" w:pos="8844"/>
            </w:tabs>
            <w:spacing w:line="560" w:lineRule="exact"/>
            <w:ind w:firstLine="280" w:firstLineChars="100"/>
            <w:jc w:val="both"/>
            <w:rPr>
              <w:rFonts w:hint="eastAsia" w:ascii="仿宋_GB2312" w:hAnsi="仿宋_GB2312" w:eastAsia="仿宋_GB2312" w:cs="仿宋_GB2312"/>
              <w:b w:val="0"/>
              <w:bCs/>
              <w:color w:val="auto"/>
              <w:kern w:val="2"/>
              <w:sz w:val="28"/>
              <w:szCs w:val="21"/>
              <w:lang w:val="zh-CN" w:eastAsia="zh-CN" w:bidi="ar-SA"/>
            </w:rPr>
          </w:pP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HYPERLINK \l _Toc27355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第三节  加强实施评估监测</w:t>
          </w:r>
          <w:r>
            <w:rPr>
              <w:rFonts w:hint="eastAsia" w:ascii="仿宋_GB2312" w:hAnsi="仿宋_GB2312" w:eastAsia="仿宋_GB2312" w:cs="仿宋_GB2312"/>
              <w:b w:val="0"/>
              <w:bCs/>
              <w:color w:val="auto"/>
              <w:kern w:val="2"/>
              <w:sz w:val="28"/>
              <w:szCs w:val="21"/>
              <w:lang w:val="zh-CN" w:eastAsia="zh-CN" w:bidi="ar-SA"/>
            </w:rPr>
            <w:tab/>
          </w:r>
          <w:r>
            <w:rPr>
              <w:rFonts w:hint="eastAsia" w:ascii="仿宋_GB2312" w:hAnsi="仿宋_GB2312" w:eastAsia="仿宋_GB2312" w:cs="仿宋_GB2312"/>
              <w:b w:val="0"/>
              <w:bCs/>
              <w:color w:val="auto"/>
              <w:kern w:val="2"/>
              <w:sz w:val="28"/>
              <w:szCs w:val="21"/>
              <w:lang w:val="zh-CN" w:eastAsia="zh-CN" w:bidi="ar-SA"/>
            </w:rPr>
            <w:fldChar w:fldCharType="begin"/>
          </w:r>
          <w:r>
            <w:rPr>
              <w:rFonts w:hint="eastAsia" w:ascii="仿宋_GB2312" w:hAnsi="仿宋_GB2312" w:eastAsia="仿宋_GB2312" w:cs="仿宋_GB2312"/>
              <w:b w:val="0"/>
              <w:bCs/>
              <w:color w:val="auto"/>
              <w:kern w:val="2"/>
              <w:sz w:val="28"/>
              <w:szCs w:val="21"/>
              <w:lang w:val="zh-CN" w:eastAsia="zh-CN" w:bidi="ar-SA"/>
            </w:rPr>
            <w:instrText xml:space="preserve"> PAGEREF _Toc27355 \h </w:instrText>
          </w:r>
          <w:r>
            <w:rPr>
              <w:rFonts w:hint="eastAsia" w:ascii="仿宋_GB2312" w:hAnsi="仿宋_GB2312" w:eastAsia="仿宋_GB2312" w:cs="仿宋_GB2312"/>
              <w:b w:val="0"/>
              <w:bCs/>
              <w:color w:val="auto"/>
              <w:kern w:val="2"/>
              <w:sz w:val="28"/>
              <w:szCs w:val="21"/>
              <w:lang w:val="zh-CN" w:eastAsia="zh-CN" w:bidi="ar-SA"/>
            </w:rPr>
            <w:fldChar w:fldCharType="separate"/>
          </w:r>
          <w:r>
            <w:rPr>
              <w:rFonts w:hint="eastAsia" w:ascii="仿宋_GB2312" w:hAnsi="仿宋_GB2312" w:eastAsia="仿宋_GB2312" w:cs="仿宋_GB2312"/>
              <w:b w:val="0"/>
              <w:bCs/>
              <w:color w:val="auto"/>
              <w:kern w:val="2"/>
              <w:sz w:val="28"/>
              <w:szCs w:val="21"/>
              <w:lang w:val="zh-CN" w:eastAsia="zh-CN" w:bidi="ar-SA"/>
            </w:rPr>
            <w:t>68</w:t>
          </w:r>
          <w:r>
            <w:rPr>
              <w:rFonts w:hint="eastAsia" w:ascii="仿宋_GB2312" w:hAnsi="仿宋_GB2312" w:eastAsia="仿宋_GB2312" w:cs="仿宋_GB2312"/>
              <w:b w:val="0"/>
              <w:bCs/>
              <w:color w:val="auto"/>
              <w:kern w:val="2"/>
              <w:sz w:val="28"/>
              <w:szCs w:val="21"/>
              <w:lang w:val="zh-CN" w:eastAsia="zh-CN" w:bidi="ar-SA"/>
            </w:rPr>
            <w:fldChar w:fldCharType="end"/>
          </w:r>
          <w:r>
            <w:rPr>
              <w:rFonts w:hint="eastAsia" w:ascii="仿宋_GB2312" w:hAnsi="仿宋_GB2312" w:eastAsia="仿宋_GB2312" w:cs="仿宋_GB2312"/>
              <w:b w:val="0"/>
              <w:bCs/>
              <w:color w:val="auto"/>
              <w:kern w:val="2"/>
              <w:sz w:val="28"/>
              <w:szCs w:val="21"/>
              <w:lang w:val="zh-CN" w:eastAsia="zh-CN" w:bidi="ar-SA"/>
            </w:rPr>
            <w:fldChar w:fldCharType="end"/>
          </w:r>
        </w:p>
        <w:p w14:paraId="21456082">
          <w:pPr>
            <w:pageBreakBefore w:val="0"/>
            <w:widowControl w:val="0"/>
            <w:tabs>
              <w:tab w:val="left" w:pos="1680"/>
              <w:tab w:val="right" w:leader="dot" w:pos="8296"/>
            </w:tabs>
            <w:kinsoku/>
            <w:wordWrap/>
            <w:overflowPunct/>
            <w:topLinePunct w:val="0"/>
            <w:autoSpaceDE/>
            <w:autoSpaceDN/>
            <w:bidi w:val="0"/>
            <w:adjustRightInd/>
            <w:snapToGrid/>
            <w:spacing w:line="480" w:lineRule="exact"/>
            <w:ind w:firstLine="0" w:firstLineChars="0"/>
            <w:jc w:val="both"/>
            <w:textAlignment w:val="auto"/>
            <w:rPr>
              <w:rFonts w:hint="eastAsia" w:ascii="方正小标宋简体" w:hAnsi="方正小标宋简体" w:eastAsia="方正小标宋简体" w:cs="方正小标宋简体"/>
              <w:color w:val="auto"/>
              <w:kern w:val="2"/>
              <w:sz w:val="28"/>
              <w:szCs w:val="21"/>
              <w:lang w:val="en-US" w:eastAsia="zh-CN" w:bidi="ar-SA"/>
            </w:rPr>
          </w:pPr>
          <w:r>
            <w:rPr>
              <w:rFonts w:ascii="方正小标宋简体" w:hAnsi="方正小标宋简体" w:eastAsia="方正小标宋简体" w:cs="方正小标宋简体"/>
              <w:color w:val="auto"/>
              <w:kern w:val="2"/>
              <w:sz w:val="28"/>
              <w:szCs w:val="21"/>
              <w:lang w:val="zh-CN" w:eastAsia="zh-CN" w:bidi="ar-SA"/>
            </w:rPr>
            <w:fldChar w:fldCharType="end"/>
          </w:r>
        </w:p>
      </w:sdtContent>
    </w:sdt>
    <w:p w14:paraId="7D9411B2">
      <w:pPr>
        <w:spacing w:line="560" w:lineRule="exact"/>
        <w:ind w:firstLine="640" w:firstLineChars="200"/>
        <w:rPr>
          <w:rFonts w:ascii="Times New Roman" w:hAnsi="Times New Roman" w:eastAsia="仿宋_GB2312" w:cs="Times New Roman"/>
          <w:color w:val="auto"/>
          <w:sz w:val="32"/>
          <w:szCs w:val="22"/>
        </w:rPr>
      </w:pPr>
    </w:p>
    <w:p w14:paraId="3477DBE4">
      <w:pPr>
        <w:ind w:firstLine="640"/>
        <w:rPr>
          <w:color w:val="auto"/>
        </w:rPr>
        <w:sectPr>
          <w:footerReference r:id="rId9" w:type="default"/>
          <w:pgSz w:w="11906" w:h="16838"/>
          <w:pgMar w:top="2098" w:right="1474" w:bottom="1985" w:left="1588" w:header="851" w:footer="992" w:gutter="0"/>
          <w:pgNumType w:fmt="upperRoman" w:start="1"/>
          <w:cols w:space="425" w:num="1"/>
          <w:docGrid w:type="lines" w:linePitch="312" w:charSpace="0"/>
        </w:sectPr>
      </w:pPr>
    </w:p>
    <w:p w14:paraId="753B87FA">
      <w:pPr>
        <w:tabs>
          <w:tab w:val="left" w:pos="2034"/>
        </w:tabs>
        <w:spacing w:line="56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烟台高新技术产业开发区国民经济和社会发展第十五个五年规划纲要，以习近平新时代中国特色社会主义思想为指导，深入贯彻党的二十届四中全会精神，</w:t>
      </w:r>
      <w:r>
        <w:rPr>
          <w:rFonts w:hint="eastAsia" w:ascii="Times New Roman" w:hAnsi="Times New Roman" w:eastAsia="仿宋_GB2312" w:cs="Times New Roman"/>
          <w:color w:val="auto"/>
          <w:sz w:val="32"/>
          <w:szCs w:val="22"/>
        </w:rPr>
        <w:t>依据国家、省市关于国民经济和社会发展规划的总体部署，根据烟台高新区发展实际</w:t>
      </w:r>
      <w:r>
        <w:rPr>
          <w:rFonts w:hint="eastAsia" w:ascii="仿宋_GB2312" w:hAnsi="宋体" w:eastAsia="仿宋_GB2312" w:cs="宋体"/>
          <w:color w:val="auto"/>
          <w:sz w:val="32"/>
          <w:szCs w:val="32"/>
        </w:rPr>
        <w:t>编制，主要阐明区委、区政府战略意图，擘画未来五年发展的宏伟蓝图，明确未来五年经济社会发展的总体思路、主要目标、重点任务和重大举措，是政府履行职责和引导市场主体行为的重要依据，是全区人民共同的行动纲领。</w:t>
      </w:r>
    </w:p>
    <w:p w14:paraId="07DC6CF9">
      <w:pPr>
        <w:keepNext/>
        <w:keepLines/>
        <w:widowControl w:val="0"/>
        <w:spacing w:before="217" w:beforeLines="50" w:after="217" w:afterLines="50" w:line="560" w:lineRule="exact"/>
        <w:ind w:firstLine="0" w:firstLineChars="0"/>
        <w:jc w:val="center"/>
        <w:outlineLvl w:val="0"/>
        <w:rPr>
          <w:rFonts w:hint="eastAsia" w:ascii="方正小标宋简体" w:hAnsi="方正小标宋简体" w:eastAsia="方正小标宋简体" w:cs="方正小标宋简体"/>
          <w:bCs/>
          <w:color w:val="auto"/>
          <w:kern w:val="44"/>
          <w:sz w:val="36"/>
          <w:szCs w:val="48"/>
          <w:lang w:val="en-US" w:eastAsia="zh-CN" w:bidi="ar-SA"/>
        </w:rPr>
      </w:pPr>
      <w:bookmarkStart w:id="0" w:name="_Toc230591529"/>
      <w:bookmarkStart w:id="1" w:name="_Toc24707"/>
      <w:bookmarkStart w:id="2" w:name="_Toc11845"/>
      <w:bookmarkStart w:id="3" w:name="_Toc230188689"/>
      <w:bookmarkStart w:id="4" w:name="_Toc15512"/>
      <w:bookmarkStart w:id="5" w:name="_Toc28444"/>
      <w:r>
        <w:rPr>
          <w:rFonts w:hint="eastAsia" w:ascii="方正小标宋简体" w:hAnsi="方正小标宋简体" w:eastAsia="方正小标宋简体" w:cs="方正小标宋简体"/>
          <w:bCs/>
          <w:color w:val="auto"/>
          <w:kern w:val="44"/>
          <w:sz w:val="36"/>
          <w:szCs w:val="48"/>
          <w:lang w:val="en-US" w:eastAsia="zh-CN" w:bidi="ar-SA"/>
        </w:rPr>
        <w:t>第一章 坚守全市科技引擎和创新高地</w:t>
      </w:r>
      <w:r>
        <w:rPr>
          <w:rFonts w:hint="eastAsia" w:ascii="方正小标宋简体" w:hAnsi="宋体" w:eastAsia="方正小标宋简体" w:cs="宋体"/>
          <w:bCs/>
          <w:color w:val="auto"/>
          <w:kern w:val="44"/>
          <w:sz w:val="36"/>
          <w:szCs w:val="48"/>
          <w:lang w:val="en-US" w:eastAsia="zh-CN" w:bidi="ar-SA"/>
        </w:rPr>
        <w:t>使命</w:t>
      </w:r>
      <w:r>
        <w:rPr>
          <w:rFonts w:hint="eastAsia" w:ascii="方正小标宋简体" w:hAnsi="方正小标宋简体" w:eastAsia="方正小标宋简体" w:cs="方正小标宋简体"/>
          <w:bCs/>
          <w:color w:val="auto"/>
          <w:kern w:val="44"/>
          <w:sz w:val="36"/>
          <w:szCs w:val="48"/>
          <w:lang w:val="en-US" w:eastAsia="zh-CN" w:bidi="ar-SA"/>
        </w:rPr>
        <w:t>，开启跨越发展新</w:t>
      </w:r>
      <w:r>
        <w:rPr>
          <w:rFonts w:hint="eastAsia" w:ascii="方正小标宋简体" w:hAnsi="宋体" w:eastAsia="方正小标宋简体" w:cs="宋体"/>
          <w:bCs/>
          <w:color w:val="auto"/>
          <w:kern w:val="44"/>
          <w:sz w:val="36"/>
          <w:szCs w:val="48"/>
          <w:lang w:val="en-US" w:eastAsia="zh-CN" w:bidi="ar-SA"/>
        </w:rPr>
        <w:t>征程</w:t>
      </w:r>
      <w:bookmarkEnd w:id="0"/>
      <w:bookmarkEnd w:id="1"/>
      <w:bookmarkEnd w:id="2"/>
      <w:bookmarkEnd w:id="3"/>
      <w:bookmarkEnd w:id="4"/>
      <w:bookmarkEnd w:id="5"/>
    </w:p>
    <w:p w14:paraId="2E4D3658">
      <w:pPr>
        <w:spacing w:line="560" w:lineRule="exact"/>
        <w:ind w:firstLine="640" w:firstLineChars="200"/>
        <w:rPr>
          <w:rFonts w:ascii="Times New Roman" w:hAnsi="Times New Roman" w:eastAsia="仿宋_GB2312" w:cs="Times New Roman"/>
          <w:color w:val="auto"/>
          <w:sz w:val="32"/>
          <w:szCs w:val="22"/>
        </w:rPr>
      </w:pPr>
      <w:r>
        <w:rPr>
          <w:rFonts w:hint="eastAsia" w:ascii="Times New Roman" w:hAnsi="Times New Roman" w:eastAsia="仿宋_GB2312" w:cs="Times New Roman"/>
          <w:color w:val="auto"/>
          <w:sz w:val="32"/>
          <w:szCs w:val="22"/>
        </w:rPr>
        <w:t>“十五五”时期是我国基本实现社会主义现代化夯实基础、全面发力的关键时期，是山东基本建成新时代社会主义现代化强省承前启后的关键时期，也是烟台市建成绿色低碳高质量发展示范城市、率先基本建成新时代现代化强市的关键时期，更是烟台高新区坚定不移深入实施创新驱动发展战略，以“攀高向新”为发展导向，再启新程、争优争先的关键时期。</w:t>
      </w:r>
      <w:r>
        <w:rPr>
          <w:rFonts w:hint="eastAsia" w:ascii="仿宋_GB2312" w:hAnsi="宋体" w:eastAsia="仿宋_GB2312" w:cs="宋体"/>
          <w:color w:val="auto"/>
          <w:sz w:val="32"/>
          <w:szCs w:val="32"/>
        </w:rPr>
        <w:t>必须完整准确全面贯彻新发展理念，更深层次服务和融入新发展格局，扎实推动高质量发展，进一步全面深化改革，扩大高水平对外开放，为</w:t>
      </w:r>
      <w:r>
        <w:rPr>
          <w:rFonts w:hint="eastAsia" w:ascii="Times New Roman" w:hAnsi="Times New Roman" w:eastAsia="仿宋_GB2312" w:cs="Times New Roman"/>
          <w:color w:val="auto"/>
          <w:sz w:val="32"/>
          <w:szCs w:val="22"/>
        </w:rPr>
        <w:t>烟台市建成绿色低碳高质量发展示范城市</w:t>
      </w:r>
      <w:r>
        <w:rPr>
          <w:rFonts w:hint="eastAsia" w:ascii="仿宋_GB2312" w:hAnsi="宋体" w:eastAsia="仿宋_GB2312" w:cs="宋体"/>
          <w:color w:val="auto"/>
          <w:sz w:val="32"/>
          <w:szCs w:val="32"/>
        </w:rPr>
        <w:t>贡献更大力量，为山东绿色低碳高质量发展先行区建设增光添彩。</w:t>
      </w:r>
    </w:p>
    <w:p w14:paraId="632A960C">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6" w:name="_Toc19550"/>
      <w:bookmarkStart w:id="7" w:name="_Toc230188690"/>
      <w:bookmarkStart w:id="8" w:name="_Toc29996"/>
      <w:bookmarkStart w:id="9" w:name="_Toc15037"/>
      <w:bookmarkStart w:id="10" w:name="_Toc230591530"/>
      <w:bookmarkStart w:id="11" w:name="_Toc3738"/>
      <w:r>
        <w:rPr>
          <w:rFonts w:hint="eastAsia" w:ascii="黑体" w:hAnsi="黑体" w:eastAsia="黑体" w:cs="Times New Roman"/>
          <w:b w:val="0"/>
          <w:bCs w:val="0"/>
          <w:color w:val="auto"/>
          <w:kern w:val="2"/>
          <w:sz w:val="32"/>
          <w:szCs w:val="32"/>
          <w:lang w:val="en-US" w:eastAsia="zh-CN" w:bidi="ar-SA"/>
        </w:rPr>
        <w:t>第一节  “十四五”时期经济社会发展成就显著</w:t>
      </w:r>
      <w:bookmarkEnd w:id="6"/>
      <w:bookmarkEnd w:id="7"/>
      <w:bookmarkEnd w:id="8"/>
      <w:bookmarkEnd w:id="9"/>
      <w:bookmarkEnd w:id="10"/>
      <w:bookmarkEnd w:id="11"/>
    </w:p>
    <w:p w14:paraId="09DA5955">
      <w:pPr>
        <w:spacing w:line="560" w:lineRule="exact"/>
        <w:ind w:firstLine="640" w:firstLineChars="200"/>
        <w:jc w:val="left"/>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经济实力跃上新台阶。</w:t>
      </w:r>
      <w:r>
        <w:rPr>
          <w:rFonts w:hint="eastAsia" w:ascii="仿宋_GB2312" w:hAnsi="仿宋_GB2312" w:eastAsia="仿宋_GB2312" w:cs="仿宋_GB2312"/>
          <w:color w:val="auto"/>
          <w:spacing w:val="-6"/>
          <w:sz w:val="32"/>
          <w:szCs w:val="22"/>
        </w:rPr>
        <w:t>“十四五”期间，地区生产总值达到110.36亿元，年均增长6.1%。经济结构稳步优化，一二三产业比重由2021年的7.9:27.7:64.4调整为2025年</w:t>
      </w:r>
      <w:r>
        <w:rPr>
          <w:rFonts w:hint="eastAsia" w:ascii="仿宋_GB2312" w:hAnsi="仿宋_GB2312" w:eastAsia="仿宋_GB2312" w:cs="仿宋_GB2312"/>
          <w:color w:val="auto"/>
          <w:sz w:val="32"/>
          <w:szCs w:val="22"/>
        </w:rPr>
        <w:t>0.1:32.3:67.6，为实体经济进一步发展奠定基础。一般公共预算收入年均增速8.2%，列全市第1位。固定资产投资年均增速5.3%，列全市第1位，产业项目投资占比由31.7%提高到64.1%，工业投资占比由16.2%提高到38.8%，工业、高技术、民间投资的引领作用持续显现。消费市场繁荣稳定，社会消费品零售总额年均增速10.8%，列全市第1位，内需潜力持续释放。项目招引建设成效显著，</w:t>
      </w:r>
      <w:r>
        <w:rPr>
          <w:rFonts w:hint="eastAsia" w:ascii="仿宋_GB2312" w:hAnsi="仿宋_GB2312" w:eastAsia="仿宋_GB2312" w:cs="仿宋_GB2312"/>
          <w:color w:val="auto"/>
          <w:sz w:val="32"/>
          <w:szCs w:val="40"/>
        </w:rPr>
        <w:t>累计</w:t>
      </w:r>
      <w:r>
        <w:rPr>
          <w:rFonts w:hint="eastAsia" w:ascii="仿宋_GB2312" w:hAnsi="仿宋_GB2312" w:eastAsia="仿宋_GB2312" w:cs="仿宋_GB2312"/>
          <w:color w:val="auto"/>
          <w:sz w:val="32"/>
          <w:szCs w:val="40"/>
          <w:lang w:val="en-US" w:eastAsia="zh-CN"/>
        </w:rPr>
        <w:t>新设外资企业87家</w:t>
      </w:r>
      <w:r>
        <w:rPr>
          <w:rFonts w:hint="eastAsia" w:ascii="仿宋_GB2312" w:hAnsi="仿宋_GB2312" w:eastAsia="仿宋_GB2312" w:cs="仿宋_GB2312"/>
          <w:color w:val="auto"/>
          <w:sz w:val="32"/>
          <w:szCs w:val="40"/>
        </w:rPr>
        <w:t>，实际使用外资</w:t>
      </w:r>
      <w:r>
        <w:rPr>
          <w:rFonts w:hint="eastAsia" w:ascii="仿宋_GB2312" w:hAnsi="仿宋_GB2312" w:eastAsia="仿宋_GB2312" w:cs="仿宋_GB2312"/>
          <w:color w:val="auto"/>
          <w:sz w:val="32"/>
          <w:szCs w:val="40"/>
          <w:lang w:val="en-US" w:eastAsia="zh-CN"/>
        </w:rPr>
        <w:t>4.87</w:t>
      </w:r>
      <w:r>
        <w:rPr>
          <w:rFonts w:hint="eastAsia" w:ascii="仿宋_GB2312" w:hAnsi="仿宋_GB2312" w:eastAsia="仿宋_GB2312" w:cs="仿宋_GB2312"/>
          <w:color w:val="auto"/>
          <w:sz w:val="32"/>
          <w:szCs w:val="40"/>
        </w:rPr>
        <w:t>亿美元</w:t>
      </w:r>
      <w:r>
        <w:rPr>
          <w:rFonts w:hint="eastAsia" w:ascii="仿宋_GB2312" w:hAnsi="仿宋_GB2312" w:eastAsia="仿宋_GB2312" w:cs="仿宋_GB2312"/>
          <w:color w:val="auto"/>
          <w:sz w:val="32"/>
          <w:szCs w:val="40"/>
          <w:lang w:eastAsia="zh-CN"/>
        </w:rPr>
        <w:t>。</w:t>
      </w:r>
    </w:p>
    <w:p w14:paraId="57771950">
      <w:pPr>
        <w:spacing w:line="560" w:lineRule="exact"/>
        <w:ind w:firstLine="640" w:firstLineChars="200"/>
        <w:rPr>
          <w:rFonts w:hint="eastAsia" w:ascii="仿宋_GB2312" w:hAnsi="仿宋_GB2312" w:eastAsia="仿宋_GB2312" w:cs="仿宋_GB2312"/>
          <w:b w:val="0"/>
          <w:bCs w:val="0"/>
          <w:color w:val="auto"/>
          <w:sz w:val="32"/>
          <w:szCs w:val="22"/>
        </w:rPr>
      </w:pPr>
      <w:r>
        <w:rPr>
          <w:rFonts w:hint="eastAsia" w:ascii="楷体_GB2312" w:hAnsi="Times New Roman" w:eastAsia="楷体_GB2312" w:cs="Times New Roman"/>
          <w:color w:val="auto"/>
          <w:sz w:val="32"/>
          <w:szCs w:val="22"/>
        </w:rPr>
        <w:t>产业发展迈出新步伐。</w:t>
      </w:r>
      <w:r>
        <w:rPr>
          <w:rFonts w:hint="eastAsia" w:ascii="仿宋_GB2312" w:hAnsi="仿宋_GB2312" w:eastAsia="仿宋_GB2312" w:cs="仿宋_GB2312"/>
          <w:color w:val="auto"/>
          <w:sz w:val="32"/>
          <w:szCs w:val="22"/>
        </w:rPr>
        <w:t>精准对接市级产业布局，以生物医药、航空航天为代表的现代化产业体系基本成型。</w:t>
      </w:r>
      <w:r>
        <w:rPr>
          <w:rFonts w:hint="eastAsia" w:ascii="仿宋_GB2312" w:hAnsi="仿宋_GB2312" w:eastAsia="仿宋_GB2312" w:cs="仿宋_GB2312"/>
          <w:b w:val="0"/>
          <w:bCs w:val="0"/>
          <w:color w:val="auto"/>
          <w:sz w:val="32"/>
          <w:szCs w:val="22"/>
        </w:rPr>
        <w:t>生物医药产业高位推进。</w:t>
      </w:r>
      <w:r>
        <w:rPr>
          <w:rFonts w:hint="eastAsia" w:ascii="仿宋_GB2312" w:hAnsi="仿宋_GB2312" w:eastAsia="仿宋_GB2312" w:cs="仿宋_GB2312"/>
          <w:color w:val="auto"/>
          <w:sz w:val="32"/>
          <w:szCs w:val="22"/>
        </w:rPr>
        <w:t>通过“龙头引领、平台支撑”，聚焦药物、医疗器械、特医和保健食品、医疗服务、医药流通零售全产业链精准发力，引进京州药业、至公生物等重点项目20余个，集聚市场主体630余家，年营业收入突破100亿元，形成实力强劲、创新突出的生物医药产业集群；博安生物成功在香港上市，绿叶制药在微球、脂质体、透皮释药等先进药物递送技术领域达到国际先进水平，包括“利培酮”“若欣林”一类新药在内的14款新产品在中国、美国和欧洲多国获批上市，并取得全省首张创新疫苗生产许可证。</w:t>
      </w:r>
      <w:r>
        <w:rPr>
          <w:rFonts w:hint="eastAsia" w:ascii="仿宋_GB2312" w:hAnsi="仿宋_GB2312" w:eastAsia="仿宋_GB2312" w:cs="仿宋_GB2312"/>
          <w:b w:val="0"/>
          <w:bCs w:val="0"/>
          <w:color w:val="auto"/>
          <w:sz w:val="32"/>
          <w:szCs w:val="22"/>
        </w:rPr>
        <w:t>航空航天产业提能升级。</w:t>
      </w:r>
      <w:r>
        <w:rPr>
          <w:rFonts w:hint="eastAsia" w:ascii="仿宋_GB2312" w:hAnsi="仿宋_GB2312" w:eastAsia="仿宋_GB2312" w:cs="仿宋_GB2312"/>
          <w:color w:val="auto"/>
          <w:sz w:val="32"/>
          <w:szCs w:val="22"/>
        </w:rPr>
        <w:t>依托重大功能性创新平台和行业龙头企业，在卫星设计制造、关键部组件生产测试、卫星通导遥应用等高精尖领域快速发展；钛金科技国家企业技术中心、山东省高承载比卫星通信载荷与能源管理器件技术创新中心等重大功能性创新平台相继落地；引进</w:t>
      </w:r>
      <w:r>
        <w:rPr>
          <w:rFonts w:hint="eastAsia" w:ascii="仿宋_GB2312" w:hAnsi="仿宋_GB2312" w:eastAsia="仿宋_GB2312" w:cs="仿宋_GB2312"/>
          <w:color w:val="auto"/>
          <w:sz w:val="32"/>
          <w:szCs w:val="22"/>
          <w:lang w:val="en-US" w:eastAsia="zh-CN"/>
        </w:rPr>
        <w:t>卫星互联网产业园</w:t>
      </w:r>
      <w:r>
        <w:rPr>
          <w:rFonts w:hint="eastAsia" w:ascii="仿宋_GB2312" w:hAnsi="仿宋_GB2312" w:eastAsia="仿宋_GB2312" w:cs="仿宋_GB2312"/>
          <w:color w:val="auto"/>
          <w:sz w:val="32"/>
          <w:szCs w:val="22"/>
        </w:rPr>
        <w:t>、北斗制导等项目1</w:t>
      </w:r>
      <w:r>
        <w:rPr>
          <w:rFonts w:hint="eastAsia" w:ascii="仿宋_GB2312" w:hAnsi="仿宋_GB2312" w:eastAsia="仿宋_GB2312" w:cs="仿宋_GB2312"/>
          <w:color w:val="auto"/>
          <w:sz w:val="32"/>
          <w:szCs w:val="22"/>
          <w:lang w:val="en-US" w:eastAsia="zh-CN"/>
        </w:rPr>
        <w:t>0余</w:t>
      </w:r>
      <w:r>
        <w:rPr>
          <w:rFonts w:hint="eastAsia" w:ascii="仿宋_GB2312" w:hAnsi="仿宋_GB2312" w:eastAsia="仿宋_GB2312" w:cs="仿宋_GB2312"/>
          <w:color w:val="auto"/>
          <w:sz w:val="32"/>
          <w:szCs w:val="22"/>
        </w:rPr>
        <w:t>个；12万平方米空天信息港基本完工；空天高性能特种装备核心组件产业集群入选省级战略性新兴产业集群。</w:t>
      </w:r>
      <w:r>
        <w:rPr>
          <w:rFonts w:hint="eastAsia" w:ascii="仿宋_GB2312" w:hAnsi="仿宋_GB2312" w:eastAsia="仿宋_GB2312" w:cs="仿宋_GB2312"/>
          <w:b w:val="0"/>
          <w:bCs w:val="0"/>
          <w:color w:val="auto"/>
          <w:sz w:val="32"/>
          <w:szCs w:val="22"/>
        </w:rPr>
        <w:t>海洋工程产业蓄力壮大。先后引进烟台中集来福士海洋科技集团、现代海洋渔业等行业龙头企业，建成山东省海洋工程装备及材料创新创业共同体、烟台市海洋工程产教融合共同体两大平台，落地全国首个海上浮式光伏实证基地，海工装备研发、海洋渔业、海洋新能源等领域突破发展，海洋经济产值攀升至64亿元。数智服务业活力迸发。机器人、网络安全、智能制造等业态提速扩容，汉鑫科技成为全国首批、全省首家直接登陆北交所的企业，经世智能、瑞瀚网络、中科网络等一批优质高成长企业不断涌现。金融业态扩容升级，累计引进32家持牌类金融机构及网点，设立9支政府引导基金参股子基金，总规模169.6亿元，认缴出资19.75亿元，烟台银行、恒丰银行、农商银行、农业银行相继设立特色科技支行。工业设计产业破题起步，规划建设1.1平方公里烟台市工业设计产业园，打造全省首个设计特色园区，引进山东省工业设计研究院、中德工业设计中心2家工业设计龙头企业，累计获批4家省级、9家市级工业设计中心。总部经济突破发展。烟台中集来福士海洋科技集团总部、中铁四局集团烟台工程有限公司等世界500强企业子公司集中落地。</w:t>
      </w:r>
    </w:p>
    <w:p w14:paraId="0F12FA97">
      <w:pPr>
        <w:spacing w:line="560" w:lineRule="exact"/>
        <w:ind w:firstLine="640" w:firstLineChars="200"/>
        <w:rPr>
          <w:rFonts w:hint="eastAsia" w:ascii="仿宋_GB2312" w:hAnsi="仿宋_GB2312" w:eastAsia="仿宋_GB2312" w:cs="仿宋_GB2312"/>
          <w:b w:val="0"/>
          <w:bCs w:val="0"/>
          <w:color w:val="auto"/>
          <w:sz w:val="32"/>
          <w:szCs w:val="22"/>
        </w:rPr>
      </w:pPr>
      <w:r>
        <w:rPr>
          <w:rFonts w:hint="eastAsia" w:ascii="仿宋_GB2312" w:hAnsi="仿宋_GB2312" w:eastAsia="仿宋_GB2312" w:cs="仿宋_GB2312"/>
          <w:b w:val="0"/>
          <w:bCs w:val="0"/>
          <w:color w:val="auto"/>
          <w:sz w:val="32"/>
          <w:szCs w:val="22"/>
        </w:rPr>
        <w:t>科创生态积蓄新动能。坚持建平台、聚资源、育主体，抢占空天信息、海洋科技、生物医药、人工智能等新赛道，科技创新支撑作用更加强劲。科创平台能级跃升。累计建成省级及以上创新平台70余个，绿叶制药“先进药物递释系统全国重点实验室”填补全市医药领域国家级平台空白，钛金科技建设国家企业技术中心，中国农大烟台研究院“现代数字渔业实验室”、钛金科技“航空航天特种合金智造与应用实验室”获批筹建省重点实验室。人才工作成果丰硕。荣获全省人才工作表现突出单位，人才工作连续三年在全省开发区考核中并列全省第一；累计引育市级及以上重点人才62人，其中院士2人、国家级人才2人；烟台药物研究所获批国家级博士后科研工作站，博安生物、水禾土生物、人才科创集团、龙港泵业获批省级博士后创新实践基地。成果转化步伐加速。荣获省级及以上科技奖励17项，争取上级科技资金突破3亿元，5项科技成果获评“中国好技术”，2家企业入选山东省首台（套）技术装备认定名单；海洋工程装备及材料创新创业共同体成果攻关首套国产化FPSO（浮式生产储油装备）新型立管支撑系统，打破国外企业长期技术垄断；博安生物牵头组建山东省生物医药科技成果转化联合体，推动7类新药实现成果转化，4类新药获批上市。孵化体系逐步完善。新增国家级孵化器1家、国家级众创空间1家、省级孵化器1家、省级众创空间1家，区内国家级孵化器数量占全市半数；创业1号、山东国际生物科技园、国科电子科技园先后获评“山东省品牌孵化器”称号；“烟台高新科创智慧园科技企业孵化链条”获批山东省首批科技企业孵化链条试点建设单位，是全市唯一一家获批单位。</w:t>
      </w:r>
    </w:p>
    <w:p w14:paraId="6624353D">
      <w:pPr>
        <w:spacing w:line="560" w:lineRule="exact"/>
        <w:ind w:firstLine="640" w:firstLineChars="200"/>
        <w:rPr>
          <w:rFonts w:hint="eastAsia" w:ascii="仿宋_GB2312" w:hAnsi="仿宋_GB2312" w:eastAsia="仿宋_GB2312" w:cs="仿宋_GB2312"/>
          <w:b w:val="0"/>
          <w:bCs w:val="0"/>
          <w:color w:val="auto"/>
          <w:sz w:val="32"/>
          <w:szCs w:val="22"/>
        </w:rPr>
      </w:pPr>
      <w:r>
        <w:rPr>
          <w:rFonts w:hint="eastAsia" w:ascii="仿宋_GB2312" w:hAnsi="仿宋_GB2312" w:eastAsia="仿宋_GB2312" w:cs="仿宋_GB2312"/>
          <w:b w:val="0"/>
          <w:bCs w:val="0"/>
          <w:color w:val="auto"/>
          <w:sz w:val="32"/>
          <w:szCs w:val="22"/>
        </w:rPr>
        <w:t>改革开放取得新成绩。</w:t>
      </w:r>
      <w:r>
        <w:rPr>
          <w:rFonts w:hint="eastAsia" w:ascii="仿宋_GB2312" w:hAnsi="仿宋_GB2312" w:eastAsia="仿宋_GB2312" w:cs="仿宋_GB2312"/>
          <w:b w:val="0"/>
          <w:bCs w:val="0"/>
          <w:color w:val="auto"/>
          <w:sz w:val="32"/>
          <w:szCs w:val="22"/>
          <w:lang w:val="en-US" w:eastAsia="zh-CN"/>
        </w:rPr>
        <w:t>秉持</w:t>
      </w:r>
      <w:r>
        <w:rPr>
          <w:rFonts w:hint="eastAsia" w:ascii="仿宋_GB2312" w:hAnsi="仿宋_GB2312" w:eastAsia="仿宋_GB2312" w:cs="仿宋_GB2312"/>
          <w:b w:val="0"/>
          <w:bCs w:val="0"/>
          <w:color w:val="auto"/>
          <w:sz w:val="32"/>
          <w:szCs w:val="22"/>
        </w:rPr>
        <w:t>“强作风、优服务、促改革”工作理念，推进营商环境优化与国企提质转型，抓实外贸扩容与市场主体培育，改革开放事业取得扎实成效。“放管服”改革不断推进。全面推行“一窗受理、一网通办”，持续提升政务服务标准化、规范化、便利化水平，顺利通过省级“政务服务标准化试点”验收；推进商事登记改革，实现“一站联办、半日办结”，</w:t>
      </w:r>
      <w:r>
        <w:rPr>
          <w:rFonts w:hint="eastAsia" w:ascii="仿宋_GB2312" w:hAnsi="仿宋_GB2312" w:eastAsia="仿宋_GB2312" w:cs="仿宋_GB2312"/>
          <w:b w:val="0"/>
          <w:bCs w:val="0"/>
          <w:color w:val="auto"/>
          <w:sz w:val="32"/>
          <w:szCs w:val="32"/>
        </w:rPr>
        <w:t>市场主体净增5.7万余户</w:t>
      </w:r>
      <w:r>
        <w:rPr>
          <w:rFonts w:hint="eastAsia" w:ascii="仿宋_GB2312" w:hAnsi="仿宋_GB2312" w:eastAsia="仿宋_GB2312" w:cs="仿宋_GB2312"/>
          <w:b w:val="0"/>
          <w:bCs w:val="0"/>
          <w:color w:val="auto"/>
          <w:sz w:val="32"/>
          <w:szCs w:val="22"/>
        </w:rPr>
        <w:t>；优化工程建设项目审批，实施“四证并发”“拿地即开工”模式，提供全流程全覆盖帮办代办审批服务；创新推出“信即办”、食品经营许可“评审免查”等极速审批模式，其中食品经营许可改革做法入选2025年全国高新区营商环境典型案例。国有企业改革转型成效显著。整合7家区属一级企业战略重组为高新国资集团，通过优化组织架构、统筹财务管控、推行全员竞聘，加速市场化转型步伐；高新国资集团获AA+主体信用评级，实现区内国企主体信用评级“零</w:t>
      </w:r>
      <w:r>
        <w:rPr>
          <w:rFonts w:hint="eastAsia" w:ascii="仿宋_GB2312" w:hAnsi="仿宋_GB2312" w:eastAsia="仿宋_GB2312" w:cs="仿宋_GB2312"/>
          <w:b w:val="0"/>
          <w:bCs w:val="0"/>
          <w:color w:val="auto"/>
          <w:sz w:val="32"/>
          <w:szCs w:val="22"/>
          <w:lang w:val="en-US" w:eastAsia="zh-CN"/>
        </w:rPr>
        <w:t>的</w:t>
      </w:r>
      <w:r>
        <w:rPr>
          <w:rFonts w:hint="eastAsia" w:ascii="仿宋_GB2312" w:hAnsi="仿宋_GB2312" w:eastAsia="仿宋_GB2312" w:cs="仿宋_GB2312"/>
          <w:b w:val="0"/>
          <w:bCs w:val="0"/>
          <w:color w:val="auto"/>
          <w:sz w:val="32"/>
          <w:szCs w:val="22"/>
        </w:rPr>
        <w:t>突破”。对外贸易稳步发展。累计完成外贸进出口总额183.37亿元，年均增速31.9%；跨境电商、市场采购等新业态快速发展，烟台顺丰开通对韩货运专线，跨境物流通行效率有效提升；艾多美（中国）获评省级跨国公司地区总部企业，纳入全省首批重点培育跨境电商平台企业名录。市场主体培育提质增量。入围国家自创区政策试点“揭榜挂帅”单位，高新技术企业增至276家，居全市第2位。规上高新技术企业增至47家，“四上”企业、专精特新企业、“小巨人”企业、省级制造业单项冠军企业分别增至227家、88家、9家、10家，产业骨干梯队持续壮大。</w:t>
      </w:r>
    </w:p>
    <w:p w14:paraId="161B62D1">
      <w:pPr>
        <w:spacing w:line="560" w:lineRule="exact"/>
        <w:ind w:firstLine="640" w:firstLineChars="200"/>
        <w:rPr>
          <w:rFonts w:hint="eastAsia" w:ascii="仿宋_GB2312" w:hAnsi="仿宋_GB2312" w:eastAsia="仿宋_GB2312" w:cs="仿宋_GB2312"/>
          <w:b w:val="0"/>
          <w:bCs w:val="0"/>
          <w:color w:val="auto"/>
          <w:sz w:val="32"/>
          <w:szCs w:val="22"/>
        </w:rPr>
      </w:pPr>
      <w:r>
        <w:rPr>
          <w:rFonts w:hint="eastAsia" w:ascii="仿宋_GB2312" w:hAnsi="仿宋_GB2312" w:eastAsia="仿宋_GB2312" w:cs="仿宋_GB2312"/>
          <w:b w:val="0"/>
          <w:bCs w:val="0"/>
          <w:color w:val="auto"/>
          <w:sz w:val="32"/>
          <w:szCs w:val="22"/>
        </w:rPr>
        <w:t>校地融合呈现新趋势。坚定不移推进校地协同融合，深化校地企联动赋能，不断推动教育链、人才链与产业链、创新链深度衔接。办学基础持续夯实。统筹土地、资金等核心要素资源，保障烟台理工学院新校区、山东商务职业学院、山东城市服务职业学院二期建设，新增办学空间17万平方米；山东城市服务职业学院成功升格为高职院校，办学层级实现提档升级。产教融合精准深化。推动烟台职业学院、山东商务职业学院等高校新增石油化工、生物医药、智能建造等紧缺专业15个，建成国家级重点专业20余个；与7所本科高校实施“3+2”贯通培养，专业与产业匹配度达100%；支持烟台职业学院牵头成立黄渤海新区、烟台高新区两个产教联合体，并顺利通过山东省首批市域产教联合体遴选。深化校企协同育人。推动驻区高校与万华化学、比亚迪、中集来福士等龙头企业共建产业学院15个，开设“订单班”“现代学徒制班”超百个，年输送技能人才3000余名；与哈尔滨工程大学共建“高端装备校企协同育人基地”，入选工信部工程硕博士培养“五个100”计划，成为全省首个与高校合作的国家级协同育人基地。</w:t>
      </w:r>
    </w:p>
    <w:p w14:paraId="33AAB6DB">
      <w:pPr>
        <w:spacing w:line="560" w:lineRule="exact"/>
        <w:ind w:firstLine="640" w:firstLineChars="200"/>
        <w:rPr>
          <w:rFonts w:hint="eastAsia" w:ascii="仿宋_GB2312" w:hAnsi="仿宋_GB2312" w:eastAsia="仿宋_GB2312" w:cs="仿宋_GB2312"/>
          <w:b w:val="0"/>
          <w:bCs w:val="0"/>
          <w:color w:val="auto"/>
          <w:sz w:val="32"/>
          <w:szCs w:val="22"/>
        </w:rPr>
      </w:pPr>
      <w:r>
        <w:rPr>
          <w:rFonts w:hint="eastAsia" w:ascii="仿宋_GB2312" w:hAnsi="仿宋_GB2312" w:eastAsia="仿宋_GB2312" w:cs="仿宋_GB2312"/>
          <w:b w:val="0"/>
          <w:bCs w:val="0"/>
          <w:color w:val="auto"/>
          <w:sz w:val="32"/>
          <w:szCs w:val="22"/>
        </w:rPr>
        <w:t>城区建设焕发新面貌。深度融入全市“12335”中心城区建设格局，持续优化城市功能布局，加快完善城市设施布局，区域吸引力和影响力稳步增强。基础设施加快完善。学海路、学府东路等8条道路竣工通行，状元坡路、经六路等“断头路”逐一打通；7公里滨海路慢行步道高标准建成，城市交通出行环境显著改善；统筹推进排水管网综合整治与雨水管网提升改造，城市排水防涝能力和市政基础设施水平同步提升。人居环境持续优化。建成全市首个儿童文明实践广场，高标准打造海越社区新时代文明实践站；创新推行“一片区一管家”综合养护模式，全域环卫一体化作业落地见效，城市管理效能显著提升。完成辛安河、通海东河、通海西河等重要河道清淤与堤防加固，流域防洪屏障更加稳固，水生态环境稳步提升；建成两条樱花景观大道，优化提升城市绿道1.2万平方米，新增绿化面积2万余平方米；实施垃圾收集“撤桶并站”行动，统筹布局并建成25座垃圾中转站，实现全区垃圾收运体系全覆盖、处理能力大幅跃升。生态成绩斐然。大气主要污染物指标稳定达到国家二级标准，辛安河国控断面水质持续保持优良等级，城市集中式饮用水水源、近岸海域水质优良率均保持百分之百，四十里湾获评国家级美丽海湾优秀案例。</w:t>
      </w:r>
    </w:p>
    <w:p w14:paraId="3735BB9D">
      <w:pPr>
        <w:spacing w:line="560" w:lineRule="exact"/>
        <w:ind w:firstLine="640" w:firstLineChars="200"/>
        <w:rPr>
          <w:rFonts w:hint="eastAsia" w:ascii="仿宋_GB2312" w:hAnsi="仿宋_GB2312" w:eastAsia="仿宋_GB2312" w:cs="仿宋_GB2312"/>
          <w:b w:val="0"/>
          <w:bCs w:val="0"/>
          <w:color w:val="auto"/>
          <w:sz w:val="32"/>
          <w:szCs w:val="22"/>
        </w:rPr>
      </w:pPr>
      <w:r>
        <w:rPr>
          <w:rFonts w:hint="eastAsia" w:ascii="仿宋_GB2312" w:hAnsi="仿宋_GB2312" w:eastAsia="仿宋_GB2312" w:cs="仿宋_GB2312"/>
          <w:b w:val="0"/>
          <w:bCs w:val="0"/>
          <w:color w:val="auto"/>
          <w:sz w:val="32"/>
          <w:szCs w:val="22"/>
        </w:rPr>
        <w:t>民生福祉呈现新气象。聚焦“发展要领先、民生需优先”，扎实推进各项民生保障工作，公共服务体系不断完善，群众获得感、幸福感、安全感持续提升。教育事业优质均衡发展。投资5.2亿元新建、回购中小学及幼儿园6所，增加优质学位5000余个，全面解决中小学校大班额问题；实现普惠性幼儿园全覆盖，公办园在园幼儿占比达67.25%，在全市率先完成国家学前教育普及普惠县、全国义务教育优质均衡发展县“两县”创建任务。医疗卫生服务提质扩容。面对世纪疫情考验，</w:t>
      </w:r>
      <w:r>
        <w:rPr>
          <w:rFonts w:hint="eastAsia" w:ascii="仿宋_GB2312" w:hAnsi="仿宋_GB2312" w:eastAsia="仿宋_GB2312" w:cs="仿宋_GB2312"/>
          <w:b w:val="0"/>
          <w:bCs w:val="0"/>
          <w:color w:val="auto"/>
          <w:sz w:val="32"/>
          <w:szCs w:val="22"/>
          <w:lang w:val="en-US" w:eastAsia="zh-CN"/>
        </w:rPr>
        <w:t>坚持</w:t>
      </w:r>
      <w:r>
        <w:rPr>
          <w:rFonts w:hint="eastAsia" w:ascii="仿宋_GB2312" w:hAnsi="仿宋_GB2312" w:eastAsia="仿宋_GB2312" w:cs="仿宋_GB2312"/>
          <w:b w:val="0"/>
          <w:bCs w:val="0"/>
          <w:color w:val="auto"/>
          <w:sz w:val="32"/>
          <w:szCs w:val="22"/>
        </w:rPr>
        <w:t>外防输入、内防反弹，从严从实抓好常态化防控。深化优质医疗资源共建共享，引进烟台山医院帮扶运营高新区医院，让群众享受优质普惠医疗。建成全市首个预防接种示教基地，成人预防门诊跻身全国十佳预防接种服务示范示教单位，</w:t>
      </w:r>
      <w:r>
        <w:rPr>
          <w:rFonts w:hint="eastAsia" w:ascii="仿宋_GB2312" w:hAnsi="仿宋_GB2312" w:eastAsia="仿宋_GB2312" w:cs="仿宋_GB2312"/>
          <w:b w:val="0"/>
          <w:bCs w:val="0"/>
          <w:color w:val="auto"/>
          <w:sz w:val="32"/>
          <w:szCs w:val="22"/>
          <w:lang w:val="en-US" w:eastAsia="zh-CN"/>
        </w:rPr>
        <w:t>是</w:t>
      </w:r>
      <w:r>
        <w:rPr>
          <w:rFonts w:hint="eastAsia" w:ascii="仿宋_GB2312" w:hAnsi="仿宋_GB2312" w:eastAsia="仿宋_GB2312" w:cs="仿宋_GB2312"/>
          <w:b w:val="0"/>
          <w:bCs w:val="0"/>
          <w:color w:val="auto"/>
          <w:sz w:val="32"/>
          <w:szCs w:val="22"/>
        </w:rPr>
        <w:t>山东省唯一入选单位。建强基层卫生机构，率先完成一体化卫生室标准化改造，基本公共卫生服务保障能力稳步增强。民生服务供给持续优化。累计投入民生资金25.9亿元，高质量完成127项为民服务实事，区内居民人均可支配收入达到5.7万元；新建、改造健身场地41处，建成辛安河健身步道、力高阳光海岸活动场，新增健身路径100余条，常态化开展“国球进社区、进公园”等全民健身活动50余场，居民体育生活日益丰富。投资3.4亿元建设科技文化主题教育基地，补齐大型公共文体休闲空间短板；投入8亿元建设集冷链物流、现代商业于一体的综合购物中心，完善城市商业服务配套。乡村振兴建设全面推进。扎实推进乡村建设行动，顺利完成6个旧村改造项目，建成安置房28.27万平方米，保障1700余户居民喜迁新居；推进城乡供水一体化，实现5个村庄接入城区供水管网，农村规模化供水覆盖率达100%；累计投入2300余万元，完成太阳能路灯布设、机耕道路硬化、农村生活污水系统改造等工程，农村人居环境明显提升。社会大局保持和谐稳定。创新建立“警民速调”基层治理机制，矛盾纠纷化解效能大幅提升，连续三年实现命案零发生；信访积案化解成效显著，信访总量持续处于全市低位；圆满完成中央、省级生态环保督察迎检工作，生态治理成效扎实巩固；严格落实“田长制”工作要求，牢牢守住4334亩耕地、1533亩永久基本农田保护目标，筑牢粮食安全屏障；连续五年未发生较大及以上生产安全事故，安全生产形势稳定向好。</w:t>
      </w:r>
    </w:p>
    <w:p w14:paraId="236B3786">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12" w:name="_Toc20806"/>
      <w:bookmarkStart w:id="13" w:name="_Toc230591531"/>
      <w:bookmarkStart w:id="14" w:name="_Toc7406"/>
      <w:bookmarkStart w:id="15" w:name="_Toc21731"/>
      <w:bookmarkStart w:id="16" w:name="_Toc10353"/>
      <w:bookmarkStart w:id="17" w:name="_Toc230188691"/>
      <w:r>
        <w:rPr>
          <w:rFonts w:hint="eastAsia" w:ascii="黑体" w:hAnsi="黑体" w:eastAsia="黑体" w:cs="Times New Roman"/>
          <w:b w:val="0"/>
          <w:bCs w:val="0"/>
          <w:color w:val="auto"/>
          <w:kern w:val="2"/>
          <w:sz w:val="32"/>
          <w:szCs w:val="32"/>
          <w:lang w:val="en-US" w:eastAsia="zh-CN" w:bidi="ar-SA"/>
        </w:rPr>
        <w:t>第二节  “十五五”时期内外环境发生深刻变化</w:t>
      </w:r>
      <w:bookmarkEnd w:id="12"/>
      <w:bookmarkEnd w:id="13"/>
      <w:bookmarkEnd w:id="14"/>
      <w:bookmarkEnd w:id="15"/>
      <w:bookmarkEnd w:id="16"/>
      <w:bookmarkEnd w:id="17"/>
    </w:p>
    <w:p w14:paraId="633DE013">
      <w:pPr>
        <w:spacing w:line="560" w:lineRule="exact"/>
        <w:ind w:firstLine="640" w:firstLineChars="200"/>
        <w:rPr>
          <w:rFonts w:hint="eastAsia" w:ascii="仿宋_GB2312" w:hAnsi="仿宋_GB2312" w:eastAsia="仿宋_GB2312" w:cs="仿宋_GB2312"/>
          <w:b w:val="0"/>
          <w:bCs w:val="0"/>
          <w:color w:val="auto"/>
          <w:sz w:val="32"/>
          <w:szCs w:val="22"/>
        </w:rPr>
      </w:pPr>
      <w:r>
        <w:rPr>
          <w:rFonts w:hint="eastAsia" w:ascii="仿宋_GB2312" w:hAnsi="仿宋_GB2312" w:eastAsia="仿宋_GB2312" w:cs="仿宋_GB2312"/>
          <w:b w:val="0"/>
          <w:bCs w:val="0"/>
          <w:color w:val="auto"/>
          <w:sz w:val="32"/>
          <w:szCs w:val="22"/>
        </w:rPr>
        <w:t>当前和今后一个时期，发展环境面临深刻复杂变化，战略机遇和风险挑战并存、不确定难预料因素增多。从国际看，世界百年未有之大变局加速演进，国际力量对比深刻调整，新一轮科技</w:t>
      </w:r>
      <w:r>
        <w:rPr>
          <w:rFonts w:hint="eastAsia" w:ascii="仿宋_GB2312" w:hAnsi="仿宋_GB2312" w:eastAsia="仿宋_GB2312" w:cs="仿宋_GB2312"/>
          <w:b w:val="0"/>
          <w:bCs w:val="0"/>
          <w:color w:val="auto"/>
          <w:sz w:val="32"/>
          <w:szCs w:val="22"/>
          <w:highlight w:val="none"/>
        </w:rPr>
        <w:t>革命和产业变革迭代升级，我国一方面具备主动运筹国际空间、塑造外部环境的诸多有利因素</w:t>
      </w:r>
      <w:r>
        <w:rPr>
          <w:rFonts w:hint="eastAsia" w:ascii="仿宋_GB2312" w:hAnsi="仿宋_GB2312" w:eastAsia="仿宋_GB2312" w:cs="仿宋_GB2312"/>
          <w:b w:val="0"/>
          <w:bCs w:val="0"/>
          <w:color w:val="auto"/>
          <w:sz w:val="32"/>
          <w:szCs w:val="22"/>
          <w:highlight w:val="none"/>
          <w:lang w:eastAsia="zh-CN"/>
        </w:rPr>
        <w:t>，</w:t>
      </w:r>
      <w:r>
        <w:rPr>
          <w:rFonts w:hint="eastAsia" w:ascii="仿宋_GB2312" w:hAnsi="仿宋_GB2312" w:eastAsia="仿宋_GB2312" w:cs="仿宋_GB2312"/>
          <w:b w:val="0"/>
          <w:bCs w:val="0"/>
          <w:color w:val="auto"/>
          <w:sz w:val="32"/>
          <w:szCs w:val="22"/>
          <w:highlight w:val="none"/>
        </w:rPr>
        <w:t>另一方面仍需应对世界变乱交织、动荡加剧、单边主义保护主义抬头等叠加</w:t>
      </w:r>
      <w:r>
        <w:rPr>
          <w:rFonts w:hint="eastAsia" w:ascii="仿宋_GB2312" w:hAnsi="仿宋_GB2312" w:eastAsia="仿宋_GB2312" w:cs="仿宋_GB2312"/>
          <w:b w:val="0"/>
          <w:bCs w:val="0"/>
          <w:color w:val="auto"/>
          <w:sz w:val="32"/>
          <w:szCs w:val="22"/>
          <w:highlight w:val="none"/>
          <w:lang w:val="en-US" w:eastAsia="zh-CN"/>
        </w:rPr>
        <w:t>风险</w:t>
      </w:r>
      <w:r>
        <w:rPr>
          <w:rFonts w:hint="eastAsia" w:ascii="仿宋_GB2312" w:hAnsi="仿宋_GB2312" w:eastAsia="仿宋_GB2312" w:cs="仿宋_GB2312"/>
          <w:b w:val="0"/>
          <w:bCs w:val="0"/>
          <w:color w:val="auto"/>
          <w:sz w:val="32"/>
          <w:szCs w:val="22"/>
          <w:highlight w:val="none"/>
        </w:rPr>
        <w:t>考验。从</w:t>
      </w:r>
      <w:r>
        <w:rPr>
          <w:rFonts w:hint="eastAsia" w:ascii="仿宋_GB2312" w:hAnsi="仿宋_GB2312" w:eastAsia="仿宋_GB2312" w:cs="仿宋_GB2312"/>
          <w:b w:val="0"/>
          <w:bCs w:val="0"/>
          <w:color w:val="auto"/>
          <w:sz w:val="32"/>
          <w:szCs w:val="22"/>
        </w:rPr>
        <w:t>国内看，我国经济基础稳、优势多、韧性强、潜能大，长期向好的支撑条件和基本态势没有变，中国特色社会主义制度优势、超大规模市场优势、完整产业体系优势、丰富人才资源优势</w:t>
      </w:r>
      <w:r>
        <w:rPr>
          <w:rFonts w:hint="eastAsia" w:ascii="仿宋_GB2312" w:hAnsi="仿宋_GB2312" w:eastAsia="仿宋_GB2312" w:cs="仿宋_GB2312"/>
          <w:b w:val="0"/>
          <w:bCs w:val="0"/>
          <w:color w:val="auto"/>
          <w:sz w:val="32"/>
          <w:szCs w:val="22"/>
          <w:lang w:val="en-US" w:eastAsia="zh-CN"/>
        </w:rPr>
        <w:t>等</w:t>
      </w:r>
      <w:r>
        <w:rPr>
          <w:rFonts w:hint="eastAsia" w:ascii="仿宋_GB2312" w:hAnsi="仿宋_GB2312" w:eastAsia="仿宋_GB2312" w:cs="仿宋_GB2312"/>
          <w:b w:val="0"/>
          <w:bCs w:val="0"/>
          <w:color w:val="auto"/>
          <w:sz w:val="32"/>
          <w:szCs w:val="22"/>
        </w:rPr>
        <w:t>持续显现。从全省看，绿色低碳高质量发展先行区厚积成势，支持经济大省挑大梁等政策效应叠加放大，打造北方地区经济重要增长极成势见效。从全市看，烟台市锚定建成绿色低碳高质量发展示范城市总目标，立足先进制造业强市、面向东北亚的陆海物流枢纽、新能源集聚区三大核心定位，全面塑造发展新优势。未来五年，国家高新区发展的有利条件加速集聚、机遇窗口期正在扩展，同时烟台由量变迈向质变，核心和关键在于创新驱动，烟台高新区作为</w:t>
      </w:r>
      <w:bookmarkStart w:id="18" w:name="_Hlk230497922"/>
      <w:r>
        <w:rPr>
          <w:rFonts w:hint="eastAsia" w:ascii="仿宋_GB2312" w:hAnsi="仿宋_GB2312" w:eastAsia="仿宋_GB2312" w:cs="仿宋_GB2312"/>
          <w:b w:val="0"/>
          <w:bCs w:val="0"/>
          <w:color w:val="auto"/>
          <w:sz w:val="32"/>
          <w:szCs w:val="22"/>
        </w:rPr>
        <w:t>全市科技引擎和创新高地，职责使命更加凸显，地位和作用更加重要。</w:t>
      </w:r>
      <w:bookmarkEnd w:id="18"/>
    </w:p>
    <w:p w14:paraId="57CA3548">
      <w:pPr>
        <w:spacing w:line="560" w:lineRule="exact"/>
        <w:ind w:firstLine="640" w:firstLineChars="200"/>
        <w:rPr>
          <w:rFonts w:hint="eastAsia" w:ascii="仿宋_GB2312" w:hAnsi="仿宋_GB2312" w:eastAsia="仿宋_GB2312" w:cs="仿宋_GB2312"/>
          <w:b w:val="0"/>
          <w:bCs w:val="0"/>
          <w:color w:val="auto"/>
          <w:sz w:val="32"/>
          <w:szCs w:val="22"/>
        </w:rPr>
      </w:pPr>
      <w:r>
        <w:rPr>
          <w:rFonts w:hint="eastAsia" w:ascii="仿宋_GB2312" w:hAnsi="仿宋_GB2312" w:eastAsia="仿宋_GB2312" w:cs="仿宋_GB2312"/>
          <w:b w:val="0"/>
          <w:bCs w:val="0"/>
          <w:color w:val="auto"/>
          <w:sz w:val="32"/>
          <w:szCs w:val="22"/>
        </w:rPr>
        <w:t>同时也要清醒认识到，我区高质量发展仍面临诸多短板弱项和瓶颈制约。产业发展质效有待提升，主导产业“点强链弱”，工业经济支撑能力不足，创新链与产业链融合不紧密，产城融合发展设施供给不足，区域治理体系和治理能力现代化仍需增强。未来五年，是我区蓄势突破的关键五年，全区上下要保持战略定力，坚定发展信心，立足发展实际、资源禀赋与产业带动优势，乘势而上、挺膺担当，</w:t>
      </w:r>
      <w:r>
        <w:rPr>
          <w:rFonts w:hint="eastAsia" w:ascii="仿宋_GB2312" w:hAnsi="仿宋_GB2312" w:eastAsia="仿宋_GB2312" w:cs="仿宋_GB2312"/>
          <w:b w:val="0"/>
          <w:bCs w:val="0"/>
          <w:color w:val="auto"/>
          <w:sz w:val="32"/>
          <w:szCs w:val="32"/>
        </w:rPr>
        <w:t>从产业能级、创新效能、服务质量等方面全方位提升发展吸引力，筑牢高质量发展的坚实根基。</w:t>
      </w:r>
    </w:p>
    <w:p w14:paraId="036AF914">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19" w:name="_Toc230591532"/>
      <w:bookmarkStart w:id="20" w:name="_Toc230188693"/>
      <w:bookmarkStart w:id="21" w:name="_Toc1275"/>
      <w:bookmarkStart w:id="22" w:name="_Toc10902"/>
      <w:bookmarkStart w:id="23" w:name="_Toc23199"/>
      <w:bookmarkStart w:id="24" w:name="_Toc13932"/>
      <w:bookmarkStart w:id="25" w:name="_Hlk209795986"/>
      <w:r>
        <w:rPr>
          <w:rFonts w:hint="eastAsia" w:ascii="黑体" w:hAnsi="黑体" w:eastAsia="黑体" w:cs="Times New Roman"/>
          <w:b w:val="0"/>
          <w:bCs w:val="0"/>
          <w:color w:val="auto"/>
          <w:kern w:val="2"/>
          <w:sz w:val="32"/>
          <w:szCs w:val="32"/>
          <w:lang w:val="en-US" w:eastAsia="zh-CN" w:bidi="ar-SA"/>
        </w:rPr>
        <w:t>第三节  “十五五”时期经济社会发展指导思想</w:t>
      </w:r>
      <w:bookmarkEnd w:id="19"/>
      <w:bookmarkEnd w:id="20"/>
      <w:r>
        <w:rPr>
          <w:rFonts w:hint="eastAsia" w:ascii="黑体" w:hAnsi="黑体" w:eastAsia="黑体" w:cs="Times New Roman"/>
          <w:b w:val="0"/>
          <w:bCs w:val="0"/>
          <w:color w:val="auto"/>
          <w:kern w:val="2"/>
          <w:sz w:val="32"/>
          <w:szCs w:val="32"/>
          <w:lang w:val="en-US" w:eastAsia="zh-CN" w:bidi="ar-SA"/>
        </w:rPr>
        <w:t>与发展定位</w:t>
      </w:r>
      <w:bookmarkEnd w:id="21"/>
      <w:bookmarkEnd w:id="22"/>
      <w:bookmarkEnd w:id="23"/>
      <w:bookmarkEnd w:id="24"/>
    </w:p>
    <w:p w14:paraId="39E239A6">
      <w:pPr>
        <w:spacing w:line="560" w:lineRule="exact"/>
        <w:ind w:firstLine="640" w:firstLineChars="200"/>
        <w:rPr>
          <w:rFonts w:ascii="仿宋_GB2312" w:hAnsi="Times New Roman" w:eastAsia="仿宋_GB2312" w:cs="Times New Roman"/>
          <w:b w:val="0"/>
          <w:bCs w:val="0"/>
          <w:color w:val="auto"/>
          <w:sz w:val="32"/>
          <w:szCs w:val="32"/>
        </w:rPr>
      </w:pPr>
      <w:r>
        <w:rPr>
          <w:rFonts w:ascii="仿宋_GB2312" w:hAnsi="仿宋_GB2312" w:eastAsia="仿宋_GB2312" w:cs="仿宋_GB2312"/>
          <w:color w:val="auto"/>
          <w:sz w:val="32"/>
          <w:szCs w:val="32"/>
        </w:rPr>
        <w:t>坚持马克思列宁主义、毛泽东思想、邓小平理论、“三个代表”重要思想、科学发展观</w:t>
      </w:r>
      <w:r>
        <w:rPr>
          <w:rFonts w:hint="eastAsia" w:ascii="仿宋_GB2312" w:hAnsi="仿宋_GB2312" w:eastAsia="仿宋_GB2312" w:cs="仿宋_GB2312"/>
          <w:color w:val="auto"/>
          <w:sz w:val="32"/>
          <w:szCs w:val="32"/>
        </w:rPr>
        <w:t>，</w:t>
      </w:r>
      <w:r>
        <w:rPr>
          <w:rFonts w:ascii="仿宋_GB2312" w:hAnsi="仿宋_GB2312" w:eastAsia="仿宋_GB2312" w:cs="仿宋_GB2312"/>
          <w:color w:val="auto"/>
          <w:sz w:val="32"/>
          <w:szCs w:val="32"/>
        </w:rPr>
        <w:t>全面贯彻习近平新时代中国特色社会主义思想，深入贯彻党的二十大和二十届历次全会精神，</w:t>
      </w:r>
      <w:r>
        <w:rPr>
          <w:rFonts w:hint="eastAsia" w:ascii="仿宋_GB2312" w:hAnsi="Times New Roman" w:eastAsia="仿宋_GB2312" w:cs="Times New Roman"/>
          <w:color w:val="auto"/>
          <w:sz w:val="32"/>
          <w:szCs w:val="32"/>
        </w:rPr>
        <w:t>认真落实习近平总书记视察山东重要讲话</w:t>
      </w:r>
      <w:r>
        <w:rPr>
          <w:rFonts w:ascii="仿宋_GB2312" w:hAnsi="Times New Roman" w:eastAsia="仿宋_GB2312" w:cs="Times New Roman"/>
          <w:color w:val="auto"/>
          <w:sz w:val="32"/>
          <w:szCs w:val="32"/>
        </w:rPr>
        <w:t>和重要指示批示精神</w:t>
      </w:r>
      <w:r>
        <w:rPr>
          <w:rFonts w:hint="eastAsia" w:ascii="仿宋_GB2312" w:hAnsi="Times New Roman" w:eastAsia="仿宋_GB2312" w:cs="Times New Roman"/>
          <w:color w:val="auto"/>
          <w:sz w:val="32"/>
          <w:szCs w:val="32"/>
        </w:rPr>
        <w:t>，统筹推进“五位一体”总体布局，协调推进“四个全面”战略布局，统筹国内国际两个大局，完整准确全面贯彻新发展理念，主动服</w:t>
      </w:r>
      <w:r>
        <w:rPr>
          <w:rFonts w:hint="eastAsia" w:ascii="仿宋_GB2312" w:hAnsi="Times New Roman" w:eastAsia="仿宋_GB2312" w:cs="Times New Roman"/>
          <w:b w:val="0"/>
          <w:bCs w:val="0"/>
          <w:color w:val="auto"/>
          <w:sz w:val="32"/>
          <w:szCs w:val="32"/>
        </w:rPr>
        <w:t>务和融入新发展格局，坚持稳中求进工作总基调，紧抓市委支持高新区“攀高向新”发展机遇，紧紧围绕“科技、产业、新城”三条主线，以推动高质量发展为主题，以加快发展新质生产力为核心，发挥科技创新主体区作用，积极探索科技创新与产业创新</w:t>
      </w:r>
      <w:r>
        <w:rPr>
          <w:rFonts w:hint="eastAsia" w:ascii="仿宋_GB2312" w:hAnsi="Times New Roman" w:eastAsia="仿宋_GB2312" w:cs="Times New Roman"/>
          <w:b w:val="0"/>
          <w:bCs w:val="0"/>
          <w:color w:val="auto"/>
          <w:sz w:val="32"/>
          <w:szCs w:val="32"/>
          <w:lang w:val="en-US" w:eastAsia="zh-CN"/>
        </w:rPr>
        <w:t>深度</w:t>
      </w:r>
      <w:r>
        <w:rPr>
          <w:rFonts w:hint="eastAsia" w:ascii="仿宋_GB2312" w:hAnsi="Times New Roman" w:eastAsia="仿宋_GB2312" w:cs="Times New Roman"/>
          <w:b w:val="0"/>
          <w:bCs w:val="0"/>
          <w:color w:val="auto"/>
          <w:sz w:val="32"/>
          <w:szCs w:val="32"/>
        </w:rPr>
        <w:t>融合发展新路径，打造“产学研融合引领区”，深入实施“</w:t>
      </w:r>
      <w:r>
        <w:rPr>
          <w:rFonts w:ascii="仿宋_GB2312" w:hAnsi="Times New Roman" w:eastAsia="仿宋_GB2312" w:cs="Times New Roman"/>
          <w:b w:val="0"/>
          <w:bCs w:val="0"/>
          <w:color w:val="auto"/>
          <w:sz w:val="32"/>
          <w:szCs w:val="32"/>
        </w:rPr>
        <w:t>培强现代产业</w:t>
      </w:r>
      <w:r>
        <w:rPr>
          <w:rFonts w:hint="eastAsia" w:ascii="仿宋_GB2312" w:hAnsi="Times New Roman" w:eastAsia="仿宋_GB2312" w:cs="Times New Roman"/>
          <w:b w:val="0"/>
          <w:bCs w:val="0"/>
          <w:color w:val="auto"/>
          <w:sz w:val="32"/>
          <w:szCs w:val="32"/>
        </w:rPr>
        <w:t>、</w:t>
      </w:r>
      <w:r>
        <w:rPr>
          <w:rFonts w:ascii="仿宋_GB2312" w:hAnsi="Times New Roman" w:eastAsia="仿宋_GB2312" w:cs="Times New Roman"/>
          <w:b w:val="0"/>
          <w:bCs w:val="0"/>
          <w:color w:val="auto"/>
          <w:sz w:val="32"/>
          <w:szCs w:val="32"/>
        </w:rPr>
        <w:t>增强</w:t>
      </w:r>
      <w:r>
        <w:rPr>
          <w:rFonts w:hint="eastAsia" w:ascii="仿宋_GB2312" w:hAnsi="Times New Roman" w:eastAsia="仿宋_GB2312" w:cs="Times New Roman"/>
          <w:b w:val="0"/>
          <w:bCs w:val="0"/>
          <w:color w:val="auto"/>
          <w:sz w:val="32"/>
          <w:szCs w:val="32"/>
        </w:rPr>
        <w:t>创新</w:t>
      </w:r>
      <w:r>
        <w:rPr>
          <w:rFonts w:ascii="仿宋_GB2312" w:hAnsi="Times New Roman" w:eastAsia="仿宋_GB2312" w:cs="Times New Roman"/>
          <w:b w:val="0"/>
          <w:bCs w:val="0"/>
          <w:color w:val="auto"/>
          <w:sz w:val="32"/>
          <w:szCs w:val="32"/>
        </w:rPr>
        <w:t>动能</w:t>
      </w:r>
      <w:r>
        <w:rPr>
          <w:rFonts w:hint="eastAsia" w:ascii="仿宋_GB2312" w:hAnsi="Times New Roman" w:eastAsia="仿宋_GB2312" w:cs="Times New Roman"/>
          <w:b w:val="0"/>
          <w:bCs w:val="0"/>
          <w:color w:val="auto"/>
          <w:sz w:val="32"/>
          <w:szCs w:val="32"/>
        </w:rPr>
        <w:t>、</w:t>
      </w:r>
      <w:r>
        <w:rPr>
          <w:rFonts w:ascii="仿宋_GB2312" w:hAnsi="Times New Roman" w:eastAsia="仿宋_GB2312" w:cs="Times New Roman"/>
          <w:b w:val="0"/>
          <w:bCs w:val="0"/>
          <w:color w:val="auto"/>
          <w:sz w:val="32"/>
          <w:szCs w:val="32"/>
        </w:rPr>
        <w:t>提振内需潜力</w:t>
      </w:r>
      <w:r>
        <w:rPr>
          <w:rFonts w:hint="eastAsia" w:ascii="仿宋_GB2312" w:hAnsi="Times New Roman" w:eastAsia="仿宋_GB2312" w:cs="Times New Roman"/>
          <w:b w:val="0"/>
          <w:bCs w:val="0"/>
          <w:color w:val="auto"/>
          <w:sz w:val="32"/>
          <w:szCs w:val="32"/>
        </w:rPr>
        <w:t>、</w:t>
      </w:r>
      <w:r>
        <w:rPr>
          <w:rFonts w:ascii="仿宋_GB2312" w:hAnsi="Times New Roman" w:eastAsia="仿宋_GB2312" w:cs="Times New Roman"/>
          <w:b w:val="0"/>
          <w:bCs w:val="0"/>
          <w:color w:val="auto"/>
          <w:sz w:val="32"/>
          <w:szCs w:val="32"/>
        </w:rPr>
        <w:t>扩大对外开放</w:t>
      </w:r>
      <w:r>
        <w:rPr>
          <w:rFonts w:hint="eastAsia" w:ascii="仿宋_GB2312" w:hAnsi="Times New Roman" w:eastAsia="仿宋_GB2312" w:cs="Times New Roman"/>
          <w:b w:val="0"/>
          <w:bCs w:val="0"/>
          <w:color w:val="auto"/>
          <w:sz w:val="32"/>
          <w:szCs w:val="32"/>
        </w:rPr>
        <w:t>、筑强城市</w:t>
      </w:r>
      <w:r>
        <w:rPr>
          <w:rFonts w:ascii="仿宋_GB2312" w:hAnsi="Times New Roman" w:eastAsia="仿宋_GB2312" w:cs="Times New Roman"/>
          <w:b w:val="0"/>
          <w:bCs w:val="0"/>
          <w:color w:val="auto"/>
          <w:sz w:val="32"/>
          <w:szCs w:val="32"/>
        </w:rPr>
        <w:t>能级</w:t>
      </w:r>
      <w:r>
        <w:rPr>
          <w:rFonts w:hint="eastAsia" w:ascii="仿宋_GB2312" w:hAnsi="Times New Roman" w:eastAsia="仿宋_GB2312" w:cs="Times New Roman"/>
          <w:b w:val="0"/>
          <w:bCs w:val="0"/>
          <w:color w:val="auto"/>
          <w:sz w:val="32"/>
          <w:szCs w:val="32"/>
        </w:rPr>
        <w:t>、</w:t>
      </w:r>
      <w:r>
        <w:rPr>
          <w:rFonts w:ascii="仿宋_GB2312" w:hAnsi="Times New Roman" w:eastAsia="仿宋_GB2312" w:cs="Times New Roman"/>
          <w:b w:val="0"/>
          <w:bCs w:val="0"/>
          <w:color w:val="auto"/>
          <w:sz w:val="32"/>
          <w:szCs w:val="32"/>
        </w:rPr>
        <w:t>增进民生福祉</w:t>
      </w:r>
      <w:r>
        <w:rPr>
          <w:rFonts w:hint="eastAsia" w:ascii="仿宋_GB2312" w:hAnsi="Times New Roman" w:eastAsia="仿宋_GB2312" w:cs="Times New Roman"/>
          <w:b w:val="0"/>
          <w:bCs w:val="0"/>
          <w:color w:val="auto"/>
          <w:sz w:val="32"/>
          <w:szCs w:val="32"/>
        </w:rPr>
        <w:t>、筑牢安全底线”七大工程，以新理念谋划新发展，着力建设成为“创新发展示范区、新兴产业集聚区、转型发展引领区、高质量发展先行区”，</w:t>
      </w:r>
      <w:r>
        <w:rPr>
          <w:rFonts w:ascii="仿宋_GB2312" w:hAnsi="Times New Roman" w:eastAsia="仿宋_GB2312" w:cs="Times New Roman"/>
          <w:b w:val="0"/>
          <w:bCs w:val="0"/>
          <w:color w:val="auto"/>
          <w:sz w:val="32"/>
          <w:szCs w:val="32"/>
        </w:rPr>
        <w:t>在发展新质生产力上走在前、做示范，为烟台全面建成绿色低碳高质量发展示范城市作出更大贡献。</w:t>
      </w:r>
    </w:p>
    <w:p w14:paraId="36CA76CA">
      <w:pPr>
        <w:spacing w:line="560" w:lineRule="exact"/>
        <w:ind w:firstLine="640" w:firstLineChars="200"/>
        <w:rPr>
          <w:rFonts w:ascii="仿宋_GB2312" w:hAnsi="Times New Roman" w:eastAsia="仿宋_GB2312" w:cs="Times New Roman"/>
          <w:color w:val="auto"/>
          <w:sz w:val="32"/>
          <w:szCs w:val="32"/>
        </w:rPr>
      </w:pPr>
      <w:r>
        <w:rPr>
          <w:rFonts w:hint="eastAsia" w:ascii="楷体_GB2312" w:hAnsi="Times New Roman" w:eastAsia="楷体_GB2312" w:cs="Times New Roman"/>
          <w:color w:val="auto"/>
          <w:sz w:val="32"/>
          <w:szCs w:val="32"/>
        </w:rPr>
        <w:t>创新发展示范区。</w:t>
      </w:r>
      <w:r>
        <w:rPr>
          <w:rFonts w:hint="eastAsia" w:ascii="仿宋_GB2312" w:hAnsi="Times New Roman" w:eastAsia="仿宋_GB2312" w:cs="Times New Roman"/>
          <w:color w:val="auto"/>
          <w:sz w:val="32"/>
          <w:szCs w:val="32"/>
        </w:rPr>
        <w:t>充分发挥科创资源优势，以增强高质量科技供给为基础、以强化企业创新主体地位为关键，以促进科技成果转化为路径，扎实推动科技创新与产业创新深度融合，畅通科技研发、成果转化、产业应用全链条，建成全市高水平科技引擎和创新高地，推动区域创新能级稳步提升。</w:t>
      </w:r>
    </w:p>
    <w:p w14:paraId="103BE2ED">
      <w:pPr>
        <w:spacing w:line="560" w:lineRule="exact"/>
        <w:ind w:firstLine="640" w:firstLineChars="200"/>
        <w:rPr>
          <w:rFonts w:hint="eastAsia" w:ascii="仿宋_GB2312" w:hAnsi="Times New Roman" w:eastAsia="仿宋_GB2312" w:cs="Times New Roman"/>
          <w:color w:val="auto"/>
          <w:sz w:val="32"/>
          <w:szCs w:val="32"/>
          <w:lang w:eastAsia="zh-CN"/>
        </w:rPr>
      </w:pPr>
      <w:r>
        <w:rPr>
          <w:rFonts w:hint="eastAsia" w:ascii="楷体_GB2312" w:hAnsi="Times New Roman" w:eastAsia="楷体_GB2312" w:cs="Times New Roman"/>
          <w:color w:val="auto"/>
          <w:sz w:val="32"/>
          <w:szCs w:val="32"/>
        </w:rPr>
        <w:t>新兴产业集聚区。</w:t>
      </w:r>
      <w:r>
        <w:rPr>
          <w:rFonts w:hint="eastAsia" w:ascii="仿宋_GB2312" w:hAnsi="Times New Roman" w:eastAsia="仿宋_GB2312" w:cs="Times New Roman"/>
          <w:color w:val="auto"/>
          <w:sz w:val="32"/>
          <w:szCs w:val="32"/>
        </w:rPr>
        <w:t>紧扣培强现代化产业体系建设，强化生物医药、航空航天、海洋工程三大主导产业战略引领功能，加快产业链群培育和规模能级提升，统筹推进关键核心技术攻关、应用场景供给、生态体系构建，打造具有竞争力的新质产业集群，带动和引领区域产业核心竞争力</w:t>
      </w:r>
      <w:r>
        <w:rPr>
          <w:rFonts w:hint="eastAsia" w:ascii="仿宋_GB2312" w:hAnsi="Times New Roman" w:eastAsia="仿宋_GB2312" w:cs="Times New Roman"/>
          <w:color w:val="auto"/>
          <w:sz w:val="32"/>
          <w:szCs w:val="32"/>
          <w:lang w:eastAsia="zh-CN"/>
        </w:rPr>
        <w:t>。</w:t>
      </w:r>
    </w:p>
    <w:p w14:paraId="647D52C5">
      <w:pPr>
        <w:spacing w:line="560" w:lineRule="exact"/>
        <w:ind w:firstLine="640" w:firstLineChars="200"/>
        <w:rPr>
          <w:rFonts w:ascii="仿宋_GB2312" w:hAnsi="Times New Roman" w:eastAsia="仿宋_GB2312" w:cs="Times New Roman"/>
          <w:color w:val="auto"/>
          <w:sz w:val="32"/>
          <w:szCs w:val="32"/>
        </w:rPr>
      </w:pPr>
      <w:r>
        <w:rPr>
          <w:rFonts w:hint="eastAsia" w:ascii="楷体_GB2312" w:hAnsi="Times New Roman" w:eastAsia="楷体_GB2312" w:cs="Times New Roman"/>
          <w:color w:val="auto"/>
          <w:sz w:val="32"/>
          <w:szCs w:val="32"/>
        </w:rPr>
        <w:t>转型发展引领区。</w:t>
      </w:r>
      <w:r>
        <w:rPr>
          <w:rFonts w:hint="eastAsia" w:ascii="仿宋_GB2312" w:hAnsi="Times New Roman" w:eastAsia="仿宋_GB2312" w:cs="Times New Roman"/>
          <w:color w:val="auto"/>
          <w:sz w:val="32"/>
          <w:szCs w:val="32"/>
        </w:rPr>
        <w:t>坚持把发展经济的着力点放在实体经济上，以智能化、绿色化、融合化协同转型为导向，深度推动实体经济与数字经济</w:t>
      </w:r>
      <w:r>
        <w:rPr>
          <w:rFonts w:hint="eastAsia" w:ascii="仿宋_GB2312" w:hAnsi="Times New Roman" w:eastAsia="仿宋_GB2312" w:cs="Times New Roman"/>
          <w:color w:val="auto"/>
          <w:sz w:val="32"/>
          <w:szCs w:val="32"/>
          <w:lang w:eastAsia="zh-CN"/>
        </w:rPr>
        <w:t>、</w:t>
      </w:r>
      <w:r>
        <w:rPr>
          <w:rFonts w:hint="eastAsia" w:ascii="仿宋_GB2312" w:hAnsi="Times New Roman" w:eastAsia="仿宋_GB2312" w:cs="Times New Roman"/>
          <w:color w:val="auto"/>
          <w:sz w:val="32"/>
          <w:szCs w:val="32"/>
        </w:rPr>
        <w:t>绿色经济深度融合，加快培育绿色生产力，走出一条经济社会发展全面绿色转型的示范路径，引领全市绿色低碳高质量发展。</w:t>
      </w:r>
    </w:p>
    <w:p w14:paraId="36DD4401">
      <w:pPr>
        <w:spacing w:line="560" w:lineRule="exact"/>
        <w:ind w:firstLine="640" w:firstLineChars="200"/>
        <w:rPr>
          <w:rFonts w:ascii="仿宋_GB2312" w:hAnsi="Times New Roman" w:eastAsia="仿宋_GB2312" w:cs="Times New Roman"/>
          <w:color w:val="auto"/>
          <w:sz w:val="32"/>
          <w:szCs w:val="32"/>
        </w:rPr>
      </w:pPr>
      <w:r>
        <w:rPr>
          <w:rFonts w:hint="eastAsia" w:ascii="楷体_GB2312" w:hAnsi="Times New Roman" w:eastAsia="楷体_GB2312" w:cs="Times New Roman"/>
          <w:color w:val="auto"/>
          <w:sz w:val="32"/>
          <w:szCs w:val="32"/>
        </w:rPr>
        <w:t>高质量发展先行区。</w:t>
      </w:r>
      <w:r>
        <w:rPr>
          <w:rFonts w:hint="eastAsia" w:ascii="仿宋_GB2312" w:hAnsi="Times New Roman" w:eastAsia="仿宋_GB2312" w:cs="Times New Roman"/>
          <w:color w:val="auto"/>
          <w:sz w:val="32"/>
          <w:szCs w:val="32"/>
        </w:rPr>
        <w:t>坚持以更深层次改革、更高水平开放作为高新区</w:t>
      </w:r>
      <w:r>
        <w:rPr>
          <w:rFonts w:hint="eastAsia" w:ascii="仿宋_GB2312" w:hAnsi="Times New Roman" w:eastAsia="仿宋_GB2312" w:cs="Times New Roman"/>
          <w:color w:val="auto"/>
          <w:sz w:val="32"/>
          <w:szCs w:val="32"/>
          <w:lang w:eastAsia="zh-CN"/>
        </w:rPr>
        <w:t>“</w:t>
      </w:r>
      <w:r>
        <w:rPr>
          <w:rFonts w:hint="eastAsia" w:ascii="仿宋_GB2312" w:hAnsi="Times New Roman" w:eastAsia="仿宋_GB2312" w:cs="Times New Roman"/>
          <w:color w:val="auto"/>
          <w:sz w:val="32"/>
          <w:szCs w:val="32"/>
        </w:rPr>
        <w:t>攀高向新</w:t>
      </w:r>
      <w:r>
        <w:rPr>
          <w:rFonts w:hint="eastAsia" w:ascii="仿宋_GB2312" w:hAnsi="Times New Roman" w:eastAsia="仿宋_GB2312" w:cs="Times New Roman"/>
          <w:color w:val="auto"/>
          <w:sz w:val="32"/>
          <w:szCs w:val="32"/>
          <w:lang w:eastAsia="zh-CN"/>
        </w:rPr>
        <w:t>”</w:t>
      </w:r>
      <w:r>
        <w:rPr>
          <w:rFonts w:hint="eastAsia" w:ascii="仿宋_GB2312" w:hAnsi="Times New Roman" w:eastAsia="仿宋_GB2312" w:cs="Times New Roman"/>
          <w:color w:val="auto"/>
          <w:sz w:val="32"/>
          <w:szCs w:val="32"/>
        </w:rPr>
        <w:t>、争优争先的关键，围绕科技、产业、新城三大方向，在统筹推进教育科技人才体制机制一体改革、健全因地制宜发展新质生产力体制机制、深化城市建设运营与治理体制改革中勇于试制度、侧压力、探新路，持续支撑国民经济健康良性发展，成为高质量发展的重要引擎。</w:t>
      </w:r>
    </w:p>
    <w:p w14:paraId="6186BE8A">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26" w:name="_Toc230591533"/>
      <w:bookmarkStart w:id="27" w:name="_Toc22373"/>
      <w:bookmarkStart w:id="28" w:name="_Toc16610"/>
      <w:bookmarkStart w:id="29" w:name="_Toc25907"/>
      <w:bookmarkStart w:id="30" w:name="_Toc6464"/>
      <w:bookmarkStart w:id="31" w:name="_Toc230188695"/>
      <w:r>
        <w:rPr>
          <w:rFonts w:hint="eastAsia" w:ascii="黑体" w:hAnsi="黑体" w:eastAsia="黑体" w:cs="Times New Roman"/>
          <w:b w:val="0"/>
          <w:bCs w:val="0"/>
          <w:color w:val="auto"/>
          <w:kern w:val="2"/>
          <w:sz w:val="32"/>
          <w:szCs w:val="32"/>
          <w:lang w:val="en-US" w:eastAsia="zh-CN" w:bidi="ar-SA"/>
        </w:rPr>
        <w:t>第四节  “十五五”时期经济社会发展基本原则</w:t>
      </w:r>
      <w:bookmarkEnd w:id="26"/>
      <w:bookmarkEnd w:id="27"/>
      <w:bookmarkEnd w:id="28"/>
      <w:bookmarkEnd w:id="29"/>
      <w:bookmarkEnd w:id="30"/>
      <w:bookmarkEnd w:id="31"/>
    </w:p>
    <w:p w14:paraId="0948AEB8">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坚持党的全面领导。</w:t>
      </w:r>
      <w:r>
        <w:rPr>
          <w:rFonts w:ascii="Times New Roman" w:hAnsi="Times New Roman" w:eastAsia="仿宋_GB2312" w:cs="Times New Roman"/>
          <w:color w:val="auto"/>
          <w:sz w:val="32"/>
          <w:szCs w:val="22"/>
        </w:rPr>
        <w:t>坚定维护党中央权威和集中统一领导，深入贯彻落实市委决策部署，更好发挥区委总揽全局、协调各方作用，把党的领导贯穿经济社会发展各方面全过程。</w:t>
      </w:r>
    </w:p>
    <w:p w14:paraId="6F2056DB">
      <w:pPr>
        <w:spacing w:line="560" w:lineRule="exact"/>
        <w:ind w:firstLine="640" w:firstLineChars="200"/>
        <w:rPr>
          <w:rFonts w:hint="default" w:ascii="仿宋_GB2312" w:hAnsi="Times New Roman" w:eastAsia="仿宋_GB2312" w:cs="Times New Roman"/>
          <w:color w:val="auto"/>
          <w:sz w:val="32"/>
          <w:szCs w:val="32"/>
        </w:rPr>
      </w:pPr>
      <w:r>
        <w:rPr>
          <w:rFonts w:hint="eastAsia" w:ascii="楷体_GB2312" w:hAnsi="Times New Roman" w:eastAsia="楷体_GB2312" w:cs="Times New Roman"/>
          <w:color w:val="auto"/>
          <w:sz w:val="32"/>
          <w:szCs w:val="22"/>
        </w:rPr>
        <w:t>坚持人民至上。</w:t>
      </w:r>
      <w:r>
        <w:rPr>
          <w:rFonts w:hint="default" w:ascii="仿宋_GB2312" w:hAnsi="Times New Roman" w:eastAsia="仿宋_GB2312" w:cs="Times New Roman"/>
          <w:color w:val="auto"/>
          <w:sz w:val="32"/>
          <w:szCs w:val="32"/>
        </w:rPr>
        <w:t>以实干奋斗持续增进民生福祉，不断拓宽共</w:t>
      </w:r>
    </w:p>
    <w:p w14:paraId="4463829D">
      <w:pPr>
        <w:spacing w:line="560" w:lineRule="exact"/>
        <w:ind w:firstLine="0" w:firstLineChars="0"/>
        <w:rPr>
          <w:rFonts w:ascii="仿宋_GB2312" w:hAnsi="Times New Roman" w:eastAsia="仿宋_GB2312" w:cs="Times New Roman"/>
          <w:color w:val="auto"/>
          <w:sz w:val="32"/>
          <w:szCs w:val="32"/>
        </w:rPr>
      </w:pPr>
      <w:r>
        <w:rPr>
          <w:rFonts w:hint="default" w:ascii="仿宋_GB2312" w:hAnsi="Times New Roman" w:eastAsia="仿宋_GB2312" w:cs="Times New Roman"/>
          <w:color w:val="auto"/>
          <w:sz w:val="32"/>
          <w:szCs w:val="32"/>
        </w:rPr>
        <w:t>同富裕路径，</w:t>
      </w:r>
      <w:r>
        <w:rPr>
          <w:rFonts w:ascii="仿宋_GB2312" w:hAnsi="Times New Roman" w:eastAsia="仿宋_GB2312" w:cs="Times New Roman"/>
          <w:color w:val="auto"/>
          <w:sz w:val="32"/>
          <w:szCs w:val="32"/>
        </w:rPr>
        <w:t>促进人的全面发展和社会全面进步</w:t>
      </w:r>
      <w:r>
        <w:rPr>
          <w:rFonts w:hint="eastAsia" w:ascii="仿宋_GB2312" w:hAnsi="Times New Roman" w:eastAsia="仿宋_GB2312" w:cs="Times New Roman"/>
          <w:color w:val="auto"/>
          <w:sz w:val="32"/>
          <w:szCs w:val="32"/>
        </w:rPr>
        <w:t>，</w:t>
      </w:r>
      <w:r>
        <w:rPr>
          <w:rFonts w:ascii="仿宋_GB2312" w:hAnsi="Times New Roman" w:eastAsia="仿宋_GB2312" w:cs="Times New Roman"/>
          <w:color w:val="auto"/>
          <w:sz w:val="32"/>
          <w:szCs w:val="32"/>
        </w:rPr>
        <w:t>在经济发展可持续、财力可支撑的基础上，聚焦群众所急所需所盼的民生实事，加强普惠性、基础性、兜底性民生建设，让改革发展成果更多更公平惠及全体人民。</w:t>
      </w:r>
    </w:p>
    <w:p w14:paraId="38969C99">
      <w:pPr>
        <w:spacing w:line="560" w:lineRule="exact"/>
        <w:ind w:firstLine="640" w:firstLineChars="200"/>
        <w:rPr>
          <w:rFonts w:ascii="Times New Roman" w:hAnsi="Times New Roman" w:eastAsia="仿宋_GB2312" w:cs="Times New Roman"/>
          <w:color w:val="auto"/>
          <w:sz w:val="32"/>
          <w:szCs w:val="32"/>
        </w:rPr>
      </w:pPr>
      <w:r>
        <w:rPr>
          <w:rFonts w:hint="eastAsia" w:ascii="楷体_GB2312" w:hAnsi="Times New Roman" w:eastAsia="楷体_GB2312" w:cs="Times New Roman"/>
          <w:color w:val="auto"/>
          <w:sz w:val="32"/>
          <w:szCs w:val="22"/>
        </w:rPr>
        <w:t>坚持高质量发展。</w:t>
      </w:r>
      <w:r>
        <w:rPr>
          <w:rFonts w:ascii="仿宋_GB2312" w:hAnsi="Times New Roman" w:eastAsia="仿宋_GB2312" w:cs="Times New Roman"/>
          <w:color w:val="auto"/>
          <w:sz w:val="32"/>
          <w:szCs w:val="32"/>
        </w:rPr>
        <w:t>完整准确全面贯彻新发展理念，加快构建新发展格局，在持续引领地方经济增长的同时，</w:t>
      </w:r>
      <w:r>
        <w:rPr>
          <w:rFonts w:hint="eastAsia" w:ascii="仿宋_GB2312" w:hAnsi="仿宋_GB2312" w:eastAsia="仿宋_GB2312" w:cs="仿宋_GB2312"/>
          <w:color w:val="auto"/>
          <w:sz w:val="32"/>
          <w:szCs w:val="32"/>
        </w:rPr>
        <w:t>坚持“攀高向新”，走出一条具有“高、新”特色的高质量发展道路，坚持把发展经济</w:t>
      </w:r>
      <w:r>
        <w:rPr>
          <w:rFonts w:ascii="仿宋_GB2312" w:hAnsi="Times New Roman" w:eastAsia="仿宋_GB2312" w:cs="Times New Roman"/>
          <w:color w:val="auto"/>
          <w:sz w:val="32"/>
          <w:szCs w:val="32"/>
        </w:rPr>
        <w:t>的着力点放在实体经济上，深入实施创新驱动发展战略，因地制宜发展新质生产力，持续推动实现更高质量、更有效率、更可持续的发展。</w:t>
      </w:r>
    </w:p>
    <w:p w14:paraId="05027214">
      <w:pPr>
        <w:spacing w:line="560" w:lineRule="exact"/>
        <w:ind w:firstLine="640" w:firstLineChars="200"/>
        <w:rPr>
          <w:rFonts w:ascii="楷体_GB2312" w:hAnsi="Times New Roman" w:eastAsia="楷体_GB2312" w:cs="Times New Roman"/>
          <w:color w:val="auto"/>
          <w:sz w:val="32"/>
          <w:szCs w:val="22"/>
        </w:rPr>
      </w:pPr>
      <w:r>
        <w:rPr>
          <w:rFonts w:hint="eastAsia" w:ascii="楷体_GB2312" w:hAnsi="Times New Roman" w:eastAsia="楷体_GB2312" w:cs="Times New Roman"/>
          <w:color w:val="auto"/>
          <w:sz w:val="32"/>
          <w:szCs w:val="22"/>
        </w:rPr>
        <w:t>坚持全面深化改革。</w:t>
      </w:r>
      <w:r>
        <w:rPr>
          <w:rFonts w:ascii="仿宋_GB2312" w:hAnsi="Times New Roman" w:eastAsia="仿宋_GB2312" w:cs="Times New Roman"/>
          <w:color w:val="auto"/>
          <w:sz w:val="32"/>
          <w:szCs w:val="32"/>
        </w:rPr>
        <w:t>探索与高质量发展相适应的政策工具和制度体系，扩大高水平开放，优化要素市场化配置，加强全球市场与资源链接，全力营造市场化、法治化、国际化一流营商环境，形成竞争优势与发展胜势。</w:t>
      </w:r>
    </w:p>
    <w:p w14:paraId="49DF0A3C">
      <w:pPr>
        <w:spacing w:line="560" w:lineRule="exact"/>
        <w:ind w:firstLine="640" w:firstLineChars="200"/>
        <w:rPr>
          <w:rFonts w:ascii="仿宋_GB2312" w:hAnsi="Times New Roman" w:eastAsia="仿宋_GB2312" w:cs="Times New Roman"/>
          <w:color w:val="auto"/>
          <w:sz w:val="32"/>
          <w:szCs w:val="32"/>
        </w:rPr>
      </w:pPr>
      <w:r>
        <w:rPr>
          <w:rFonts w:hint="eastAsia" w:ascii="楷体_GB2312" w:hAnsi="Times New Roman" w:eastAsia="楷体_GB2312" w:cs="Times New Roman"/>
          <w:color w:val="auto"/>
          <w:sz w:val="32"/>
          <w:szCs w:val="22"/>
        </w:rPr>
        <w:t>坚持有效市场和有为政府相结合。</w:t>
      </w:r>
      <w:r>
        <w:rPr>
          <w:rFonts w:ascii="仿宋_GB2312" w:hAnsi="Times New Roman" w:eastAsia="仿宋_GB2312" w:cs="Times New Roman"/>
          <w:color w:val="auto"/>
          <w:sz w:val="32"/>
          <w:szCs w:val="32"/>
        </w:rPr>
        <w:t>充分发挥市场在资源配置中的决定性作用，更好</w:t>
      </w:r>
      <w:r>
        <w:rPr>
          <w:rFonts w:hint="eastAsia" w:ascii="仿宋_GB2312" w:hAnsi="Times New Roman" w:eastAsia="仿宋_GB2312" w:cs="Times New Roman"/>
          <w:color w:val="auto"/>
          <w:sz w:val="32"/>
          <w:szCs w:val="32"/>
        </w:rPr>
        <w:t>地</w:t>
      </w:r>
      <w:r>
        <w:rPr>
          <w:rFonts w:ascii="仿宋_GB2312" w:hAnsi="Times New Roman" w:eastAsia="仿宋_GB2312" w:cs="Times New Roman"/>
          <w:color w:val="auto"/>
          <w:sz w:val="32"/>
          <w:szCs w:val="32"/>
        </w:rPr>
        <w:t>发挥政府的统筹协调作用，推动科技业态革新、产业模式创新，实现资源配置效率最优化和效益最大化。</w:t>
      </w:r>
    </w:p>
    <w:p w14:paraId="0C9876A4">
      <w:pPr>
        <w:spacing w:line="560" w:lineRule="exact"/>
        <w:ind w:firstLine="640" w:firstLineChars="200"/>
        <w:rPr>
          <w:rFonts w:ascii="Times New Roman" w:hAnsi="Times New Roman" w:eastAsia="仿宋_GB2312" w:cs="Times New Roman"/>
          <w:color w:val="auto"/>
          <w:sz w:val="32"/>
          <w:szCs w:val="32"/>
        </w:rPr>
      </w:pPr>
      <w:r>
        <w:rPr>
          <w:rFonts w:ascii="楷体_GB2312" w:hAnsi="Times New Roman" w:eastAsia="楷体_GB2312" w:cs="Times New Roman"/>
          <w:color w:val="auto"/>
          <w:sz w:val="32"/>
          <w:szCs w:val="22"/>
        </w:rPr>
        <w:t>坚持统筹发展和安全。</w:t>
      </w:r>
      <w:r>
        <w:rPr>
          <w:rFonts w:ascii="Times New Roman" w:hAnsi="Times New Roman" w:eastAsia="仿宋_GB2312" w:cs="Times New Roman"/>
          <w:color w:val="auto"/>
          <w:sz w:val="32"/>
          <w:szCs w:val="32"/>
        </w:rPr>
        <w:t>树牢总体国家安全观，增强风险意识，强化底线思维，有效防范化解各类风险，增强经济和社会韧性，推动实现高质量发展和高水平安全互促共进。</w:t>
      </w:r>
    </w:p>
    <w:p w14:paraId="500C390F">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32" w:name="_Toc19724"/>
      <w:bookmarkStart w:id="33" w:name="_Toc2982"/>
      <w:bookmarkStart w:id="34" w:name="_Toc230188696"/>
      <w:bookmarkStart w:id="35" w:name="_Toc230591534"/>
      <w:bookmarkStart w:id="36" w:name="_Toc10799"/>
      <w:bookmarkStart w:id="37" w:name="_Toc25075"/>
      <w:r>
        <w:rPr>
          <w:rFonts w:hint="eastAsia" w:ascii="黑体" w:hAnsi="黑体" w:eastAsia="黑体" w:cs="Times New Roman"/>
          <w:b w:val="0"/>
          <w:bCs w:val="0"/>
          <w:color w:val="auto"/>
          <w:kern w:val="2"/>
          <w:sz w:val="32"/>
          <w:szCs w:val="32"/>
          <w:lang w:val="en-US" w:eastAsia="zh-CN" w:bidi="ar-SA"/>
        </w:rPr>
        <w:t>第五节  “十五五”时期经济社会发展主要目标</w:t>
      </w:r>
      <w:bookmarkEnd w:id="32"/>
      <w:bookmarkEnd w:id="33"/>
      <w:bookmarkEnd w:id="34"/>
      <w:bookmarkEnd w:id="35"/>
      <w:bookmarkEnd w:id="36"/>
      <w:bookmarkEnd w:id="37"/>
    </w:p>
    <w:p w14:paraId="7FF5D939">
      <w:pPr>
        <w:spacing w:line="560" w:lineRule="exact"/>
        <w:ind w:firstLine="640" w:firstLineChars="200"/>
        <w:rPr>
          <w:rFonts w:ascii="仿宋_GB2312" w:hAnsi="Times New Roman" w:eastAsia="仿宋_GB2312" w:cs="Times New Roman"/>
          <w:color w:val="auto"/>
          <w:sz w:val="32"/>
          <w:szCs w:val="22"/>
        </w:rPr>
      </w:pPr>
      <w:r>
        <w:rPr>
          <w:rFonts w:hint="eastAsia" w:ascii="仿宋_GB2312" w:hAnsi="Times New Roman" w:eastAsia="仿宋_GB2312" w:cs="Times New Roman"/>
          <w:color w:val="auto"/>
          <w:sz w:val="32"/>
          <w:szCs w:val="32"/>
        </w:rPr>
        <w:t>展望“十五五”，总的发展目标是：</w:t>
      </w:r>
      <w:r>
        <w:rPr>
          <w:rFonts w:hint="eastAsia" w:ascii="仿宋_GB2312" w:hAnsi="Times New Roman" w:eastAsia="仿宋_GB2312" w:cs="Times New Roman"/>
          <w:color w:val="auto"/>
          <w:sz w:val="32"/>
          <w:szCs w:val="32"/>
          <w:u w:val="none"/>
        </w:rPr>
        <w:t>锚定“攀高向新”发展导向，</w:t>
      </w:r>
      <w:r>
        <w:rPr>
          <w:rFonts w:hint="eastAsia" w:ascii="仿宋_GB2312" w:hAnsi="Times New Roman" w:eastAsia="仿宋_GB2312" w:cs="Times New Roman"/>
          <w:color w:val="auto"/>
          <w:sz w:val="32"/>
          <w:szCs w:val="32"/>
        </w:rPr>
        <w:t>聚力建设</w:t>
      </w:r>
      <w:r>
        <w:rPr>
          <w:rFonts w:hint="eastAsia" w:ascii="仿宋_GB2312" w:hAnsi="Times New Roman" w:eastAsia="仿宋_GB2312" w:cs="Times New Roman"/>
          <w:b w:val="0"/>
          <w:bCs w:val="0"/>
          <w:color w:val="auto"/>
          <w:sz w:val="32"/>
          <w:szCs w:val="32"/>
        </w:rPr>
        <w:t>创新发展示范区、新兴产业集聚区、转型发展引领区、高质量发展先行区</w:t>
      </w:r>
      <w:r>
        <w:rPr>
          <w:rFonts w:hint="eastAsia" w:ascii="仿宋_GB2312" w:hAnsi="Times New Roman" w:eastAsia="仿宋_GB2312" w:cs="Times New Roman"/>
          <w:color w:val="auto"/>
          <w:sz w:val="32"/>
          <w:szCs w:val="32"/>
        </w:rPr>
        <w:t>，推动高新区综合实力不断增强，进入国家高新区综合评价前</w:t>
      </w:r>
      <w:r>
        <w:rPr>
          <w:rFonts w:hint="eastAsia" w:ascii="仿宋_GB2312" w:hAnsi="仿宋_GB2312" w:eastAsia="仿宋_GB2312" w:cs="仿宋_GB2312"/>
          <w:color w:val="auto"/>
          <w:sz w:val="32"/>
          <w:szCs w:val="32"/>
        </w:rPr>
        <w:t>60</w:t>
      </w:r>
      <w:r>
        <w:rPr>
          <w:rFonts w:hint="eastAsia" w:ascii="仿宋_GB2312" w:hAnsi="Times New Roman" w:eastAsia="仿宋_GB2312" w:cs="Times New Roman"/>
          <w:color w:val="auto"/>
          <w:sz w:val="32"/>
          <w:szCs w:val="32"/>
        </w:rPr>
        <w:t>位、全省开发区第一方阵，</w:t>
      </w:r>
      <w:r>
        <w:rPr>
          <w:rFonts w:ascii="Times New Roman" w:hAnsi="Times New Roman" w:eastAsia="仿宋_GB2312" w:cs="Times New Roman"/>
          <w:color w:val="auto"/>
          <w:sz w:val="32"/>
          <w:szCs w:val="32"/>
        </w:rPr>
        <w:t>全面建成</w:t>
      </w:r>
      <w:r>
        <w:rPr>
          <w:rFonts w:hint="eastAsia" w:ascii="Times New Roman" w:hAnsi="Times New Roman" w:eastAsia="仿宋_GB2312" w:cs="Times New Roman"/>
          <w:color w:val="auto"/>
          <w:sz w:val="32"/>
          <w:szCs w:val="32"/>
        </w:rPr>
        <w:t>创新开放、生态人文，宜业宜居宜游的现代化科技新城。</w:t>
      </w:r>
    </w:p>
    <w:p w14:paraId="159B6BAD">
      <w:pPr>
        <w:spacing w:line="560" w:lineRule="exact"/>
        <w:ind w:firstLine="640" w:firstLineChars="200"/>
        <w:rPr>
          <w:rFonts w:ascii="仿宋_GB2312" w:hAnsi="Times New Roman" w:eastAsia="仿宋_GB2312" w:cs="Times New Roman"/>
          <w:color w:val="auto"/>
          <w:sz w:val="32"/>
          <w:szCs w:val="32"/>
        </w:rPr>
      </w:pPr>
      <w:r>
        <w:rPr>
          <w:rFonts w:hint="eastAsia" w:ascii="楷体_GB2312" w:hAnsi="Times New Roman" w:eastAsia="楷体_GB2312" w:cs="Times New Roman"/>
          <w:color w:val="auto"/>
          <w:sz w:val="32"/>
          <w:szCs w:val="22"/>
        </w:rPr>
        <w:t>——高质量发展站上新台阶。</w:t>
      </w:r>
      <w:r>
        <w:rPr>
          <w:rFonts w:hint="eastAsia" w:ascii="仿宋_GB2312" w:hAnsi="Times New Roman" w:eastAsia="仿宋_GB2312" w:cs="Times New Roman"/>
          <w:color w:val="auto"/>
          <w:sz w:val="32"/>
          <w:szCs w:val="32"/>
        </w:rPr>
        <w:t>经济发展水平保持稳健增长，全要素生产率稳步提升，居民消费率明显提高，内需拉动经济增长主动力作用持续增强，全链条的科技创新体系基本形成，全要素的创新创业生态更加完善，新质生产力加快培育。</w:t>
      </w:r>
    </w:p>
    <w:p w14:paraId="067E8B04">
      <w:pPr>
        <w:spacing w:line="560" w:lineRule="exact"/>
        <w:ind w:firstLine="640" w:firstLineChars="200"/>
        <w:rPr>
          <w:rFonts w:ascii="Times New Roman" w:hAnsi="Times New Roman" w:eastAsia="仿宋_GB2312" w:cs="Times New Roman"/>
          <w:color w:val="auto"/>
          <w:sz w:val="32"/>
          <w:szCs w:val="32"/>
        </w:rPr>
      </w:pPr>
      <w:r>
        <w:rPr>
          <w:rFonts w:hint="eastAsia" w:ascii="楷体_GB2312" w:hAnsi="Times New Roman" w:eastAsia="楷体_GB2312" w:cs="Times New Roman"/>
          <w:color w:val="auto"/>
          <w:sz w:val="32"/>
          <w:szCs w:val="22"/>
        </w:rPr>
        <w:t>——现代化产业体系基本形成。</w:t>
      </w:r>
      <w:r>
        <w:rPr>
          <w:rFonts w:hint="eastAsia" w:ascii="仿宋_GB2312" w:hAnsi="仿宋_GB2312" w:eastAsia="仿宋_GB2312" w:cs="仿宋_GB2312"/>
          <w:color w:val="auto"/>
          <w:sz w:val="32"/>
          <w:szCs w:val="32"/>
        </w:rPr>
        <w:t>“311”</w:t>
      </w:r>
      <w:r>
        <w:rPr>
          <w:rFonts w:hint="eastAsia" w:ascii="仿宋_GB2312" w:hAnsi="Times New Roman" w:eastAsia="仿宋_GB2312" w:cs="Times New Roman"/>
          <w:color w:val="auto"/>
          <w:sz w:val="32"/>
          <w:szCs w:val="32"/>
        </w:rPr>
        <w:t>现代化产业体系成功构建，</w:t>
      </w:r>
      <w:r>
        <w:rPr>
          <w:rFonts w:hint="eastAsia" w:ascii="Times New Roman" w:hAnsi="Times New Roman" w:eastAsia="仿宋_GB2312" w:cs="Times New Roman"/>
          <w:color w:val="auto"/>
          <w:sz w:val="32"/>
          <w:szCs w:val="22"/>
        </w:rPr>
        <w:t>生物医药</w:t>
      </w:r>
      <w:r>
        <w:rPr>
          <w:rFonts w:hint="eastAsia" w:ascii="仿宋_GB2312" w:hAnsi="Times New Roman" w:eastAsia="仿宋_GB2312" w:cs="Times New Roman"/>
          <w:color w:val="auto"/>
          <w:sz w:val="32"/>
          <w:szCs w:val="32"/>
        </w:rPr>
        <w:t>、航空航天、海洋工程产业主导地位更加突出，产业带动作用明显增强，</w:t>
      </w:r>
      <w:r>
        <w:rPr>
          <w:rFonts w:ascii="仿宋_GB2312" w:hAnsi="Times New Roman" w:eastAsia="仿宋_GB2312" w:cs="Times New Roman"/>
          <w:color w:val="auto"/>
          <w:sz w:val="32"/>
          <w:szCs w:val="32"/>
        </w:rPr>
        <w:t>具有高新特色优势与竞争力的产业集群</w:t>
      </w:r>
      <w:r>
        <w:rPr>
          <w:rFonts w:hint="eastAsia" w:ascii="仿宋_GB2312" w:hAnsi="Times New Roman" w:eastAsia="仿宋_GB2312" w:cs="Times New Roman"/>
          <w:color w:val="auto"/>
          <w:sz w:val="32"/>
          <w:szCs w:val="32"/>
          <w:lang w:val="en-US" w:eastAsia="zh-CN"/>
        </w:rPr>
        <w:t>基本形成</w:t>
      </w:r>
      <w:r>
        <w:rPr>
          <w:rFonts w:hint="eastAsia" w:ascii="仿宋_GB2312" w:hAnsi="Times New Roman" w:eastAsia="仿宋_GB2312" w:cs="Times New Roman"/>
          <w:color w:val="auto"/>
          <w:sz w:val="32"/>
          <w:szCs w:val="32"/>
        </w:rPr>
        <w:t>。</w:t>
      </w:r>
    </w:p>
    <w:p w14:paraId="3FA7D0A6">
      <w:pPr>
        <w:spacing w:line="560" w:lineRule="exact"/>
        <w:ind w:firstLine="640" w:firstLineChars="200"/>
        <w:rPr>
          <w:rFonts w:ascii="仿宋_GB2312" w:hAnsi="Times New Roman" w:eastAsia="仿宋_GB2312" w:cs="Times New Roman"/>
          <w:color w:val="auto"/>
          <w:sz w:val="32"/>
          <w:szCs w:val="32"/>
        </w:rPr>
      </w:pPr>
      <w:r>
        <w:rPr>
          <w:rFonts w:hint="eastAsia" w:ascii="楷体_GB2312" w:hAnsi="Times New Roman" w:eastAsia="楷体_GB2312" w:cs="Times New Roman"/>
          <w:color w:val="auto"/>
          <w:sz w:val="32"/>
          <w:szCs w:val="22"/>
        </w:rPr>
        <w:t>——科技创新实力显著增强。</w:t>
      </w:r>
      <w:r>
        <w:rPr>
          <w:rFonts w:hint="eastAsia" w:ascii="仿宋_GB2312" w:hAnsi="Times New Roman" w:eastAsia="仿宋_GB2312" w:cs="Times New Roman"/>
          <w:color w:val="auto"/>
          <w:sz w:val="32"/>
          <w:szCs w:val="32"/>
        </w:rPr>
        <w:t>教育科技人才一体发展格局基本形成，企业创新主体地位进一步凸显，创新平台效能充分释放，重点领域关键核心技术快速突破，科技创新和产业创新深度融合，创新型领军企业、高新技术企业数量持续增加。</w:t>
      </w:r>
    </w:p>
    <w:p w14:paraId="23FC52FD">
      <w:pPr>
        <w:spacing w:line="560" w:lineRule="exact"/>
        <w:ind w:firstLine="640" w:firstLineChars="200"/>
        <w:rPr>
          <w:rFonts w:ascii="仿宋_GB2312" w:hAnsi="Times New Roman" w:eastAsia="仿宋_GB2312" w:cs="Times New Roman"/>
          <w:color w:val="auto"/>
          <w:sz w:val="32"/>
          <w:szCs w:val="32"/>
        </w:rPr>
      </w:pPr>
      <w:r>
        <w:rPr>
          <w:rFonts w:hint="eastAsia" w:ascii="楷体_GB2312" w:hAnsi="Times New Roman" w:eastAsia="楷体_GB2312" w:cs="Times New Roman"/>
          <w:color w:val="auto"/>
          <w:sz w:val="32"/>
          <w:szCs w:val="22"/>
        </w:rPr>
        <w:t>——城市建设品质得到新提升。</w:t>
      </w:r>
      <w:r>
        <w:rPr>
          <w:rFonts w:hint="eastAsia" w:ascii="仿宋_GB2312" w:hAnsi="Times New Roman" w:eastAsia="仿宋_GB2312" w:cs="Times New Roman"/>
          <w:color w:val="auto"/>
          <w:sz w:val="32"/>
          <w:szCs w:val="32"/>
        </w:rPr>
        <w:t>空间布局进一步优化，交通、能源、数字、市政等重大基础设施建设加快推进，城市综合功能不断完善，韧性城市建设得到新发展，精细管理和基层治理能力显著提升，</w:t>
      </w:r>
      <w:r>
        <w:rPr>
          <w:rFonts w:hint="eastAsia" w:ascii="Times New Roman" w:hAnsi="Times New Roman" w:eastAsia="仿宋_GB2312" w:cs="Times New Roman"/>
          <w:color w:val="auto"/>
          <w:sz w:val="32"/>
          <w:szCs w:val="32"/>
        </w:rPr>
        <w:t>宜业宜居宜游的现代化科技新城</w:t>
      </w:r>
      <w:r>
        <w:rPr>
          <w:rFonts w:hint="eastAsia" w:ascii="仿宋_GB2312" w:hAnsi="Times New Roman" w:eastAsia="仿宋_GB2312" w:cs="Times New Roman"/>
          <w:color w:val="auto"/>
          <w:sz w:val="32"/>
          <w:szCs w:val="32"/>
        </w:rPr>
        <w:t>基本建成。</w:t>
      </w:r>
    </w:p>
    <w:p w14:paraId="22086FDB">
      <w:pPr>
        <w:spacing w:line="560" w:lineRule="exact"/>
        <w:ind w:firstLine="640" w:firstLineChars="200"/>
        <w:rPr>
          <w:rFonts w:ascii="仿宋_GB2312" w:hAnsi="Times New Roman" w:eastAsia="仿宋_GB2312" w:cs="Times New Roman"/>
          <w:color w:val="auto"/>
          <w:sz w:val="32"/>
          <w:szCs w:val="32"/>
        </w:rPr>
      </w:pPr>
      <w:r>
        <w:rPr>
          <w:rFonts w:hint="eastAsia" w:ascii="楷体_GB2312" w:hAnsi="Times New Roman" w:eastAsia="楷体_GB2312" w:cs="Times New Roman"/>
          <w:color w:val="auto"/>
          <w:sz w:val="32"/>
          <w:szCs w:val="22"/>
        </w:rPr>
        <w:t>——重点领域改革取得新成效。</w:t>
      </w:r>
      <w:r>
        <w:rPr>
          <w:rFonts w:hint="eastAsia" w:ascii="仿宋_GB2312" w:hAnsi="Times New Roman" w:eastAsia="仿宋_GB2312" w:cs="Times New Roman"/>
          <w:color w:val="auto"/>
          <w:sz w:val="32"/>
          <w:szCs w:val="32"/>
        </w:rPr>
        <w:t>管理体制改革、科技创新体制改革深入推进，一流的营商环境加快形成，对外开放水平不断提升，内外贸一体化扎实推进，链接国内、服务东北亚、融入全球的开放格局加快形成，发展动力更加强劲。</w:t>
      </w:r>
    </w:p>
    <w:p w14:paraId="38B7E406">
      <w:pPr>
        <w:spacing w:line="560" w:lineRule="exact"/>
        <w:ind w:firstLine="640" w:firstLineChars="200"/>
        <w:rPr>
          <w:rFonts w:hint="eastAsia" w:ascii="仿宋_GB2312" w:hAnsi="Times New Roman" w:eastAsia="仿宋_GB2312" w:cs="Times New Roman"/>
          <w:color w:val="auto"/>
          <w:sz w:val="32"/>
          <w:szCs w:val="32"/>
        </w:rPr>
      </w:pPr>
      <w:r>
        <w:rPr>
          <w:rFonts w:hint="eastAsia" w:ascii="楷体_GB2312" w:hAnsi="Times New Roman" w:eastAsia="楷体_GB2312" w:cs="Times New Roman"/>
          <w:color w:val="auto"/>
          <w:sz w:val="32"/>
          <w:szCs w:val="22"/>
        </w:rPr>
        <w:t>——全民共享发展达到新高度。</w:t>
      </w:r>
      <w:r>
        <w:rPr>
          <w:rFonts w:hint="eastAsia" w:ascii="仿宋_GB2312" w:hAnsi="Times New Roman" w:eastAsia="仿宋_GB2312" w:cs="Times New Roman"/>
          <w:color w:val="auto"/>
          <w:sz w:val="32"/>
          <w:szCs w:val="32"/>
        </w:rPr>
        <w:t>居民高质量充分就业得到充分保障，收入稳步提升，优质均衡的教育、医疗、养老等公共服务体系向更高层次跃升，全覆盖、可持续的社会保障体系更加完善，重大风险防范化解能力不断增强，人民生活品质明显改善。</w:t>
      </w:r>
    </w:p>
    <w:p w14:paraId="6064FF72">
      <w:pPr>
        <w:widowControl/>
        <w:spacing w:line="560" w:lineRule="exact"/>
        <w:ind w:firstLine="640" w:firstLineChars="200"/>
        <w:jc w:val="left"/>
        <w:rPr>
          <w:rFonts w:ascii="仿宋_GB2312" w:hAnsi="Times New Roman" w:eastAsia="仿宋_GB2312" w:cs="Times New Roman"/>
          <w:color w:val="auto"/>
          <w:sz w:val="32"/>
          <w:szCs w:val="32"/>
        </w:rPr>
      </w:pPr>
      <w:r>
        <w:rPr>
          <w:rFonts w:hint="eastAsia" w:ascii="仿宋_GB2312" w:hAnsi="Times New Roman" w:eastAsia="仿宋_GB2312" w:cs="Times New Roman"/>
          <w:b w:val="0"/>
          <w:bCs w:val="0"/>
          <w:color w:val="auto"/>
          <w:sz w:val="32"/>
          <w:szCs w:val="32"/>
        </w:rPr>
        <w:t>在此基础上再奋斗五年，到</w:t>
      </w:r>
      <w:r>
        <w:rPr>
          <w:rFonts w:hint="eastAsia" w:ascii="仿宋_GB2312" w:hAnsi="仿宋_GB2312" w:eastAsia="仿宋_GB2312" w:cs="仿宋_GB2312"/>
          <w:b w:val="0"/>
          <w:bCs w:val="0"/>
          <w:color w:val="auto"/>
          <w:sz w:val="32"/>
          <w:szCs w:val="32"/>
        </w:rPr>
        <w:t>2035</w:t>
      </w:r>
      <w:r>
        <w:rPr>
          <w:rFonts w:hint="eastAsia" w:ascii="仿宋_GB2312" w:hAnsi="Times New Roman" w:eastAsia="仿宋_GB2312" w:cs="Times New Roman"/>
          <w:b w:val="0"/>
          <w:bCs w:val="0"/>
          <w:color w:val="auto"/>
          <w:sz w:val="32"/>
          <w:szCs w:val="32"/>
        </w:rPr>
        <w:t>年</w:t>
      </w:r>
      <w:r>
        <w:rPr>
          <w:rFonts w:hint="eastAsia" w:ascii="仿宋_GB2312" w:hAnsi="Times New Roman" w:eastAsia="仿宋_GB2312" w:cs="Times New Roman"/>
          <w:b w:val="0"/>
          <w:bCs w:val="0"/>
          <w:color w:val="auto"/>
          <w:sz w:val="32"/>
          <w:szCs w:val="32"/>
          <w:lang w:val="en-US" w:eastAsia="zh-CN"/>
        </w:rPr>
        <w:t>全区经济综合实力、产业发展动能、科技创新能级、城市建设水准、对外开放层次、生态环境品质、民生保障水平实现全方位大幅提升，成为</w:t>
      </w:r>
      <w:r>
        <w:rPr>
          <w:rFonts w:hint="eastAsia" w:ascii="仿宋_GB2312" w:hAnsi="Times New Roman" w:eastAsia="仿宋_GB2312" w:cs="Times New Roman"/>
          <w:b w:val="0"/>
          <w:bCs w:val="0"/>
          <w:color w:val="auto"/>
          <w:sz w:val="32"/>
          <w:szCs w:val="32"/>
        </w:rPr>
        <w:t>烟台</w:t>
      </w:r>
      <w:r>
        <w:rPr>
          <w:rFonts w:ascii="仿宋_GB2312" w:hAnsi="Times New Roman" w:eastAsia="仿宋_GB2312" w:cs="Times New Roman"/>
          <w:b w:val="0"/>
          <w:bCs w:val="0"/>
          <w:color w:val="auto"/>
          <w:sz w:val="32"/>
          <w:szCs w:val="32"/>
        </w:rPr>
        <w:t>绿色低碳高质量发展示范城市</w:t>
      </w:r>
      <w:r>
        <w:rPr>
          <w:rFonts w:hint="eastAsia" w:ascii="仿宋_GB2312" w:hAnsi="Times New Roman" w:eastAsia="仿宋_GB2312" w:cs="Times New Roman"/>
          <w:b w:val="0"/>
          <w:bCs w:val="0"/>
          <w:color w:val="auto"/>
          <w:sz w:val="32"/>
          <w:szCs w:val="32"/>
        </w:rPr>
        <w:t>的</w:t>
      </w:r>
      <w:r>
        <w:rPr>
          <w:rFonts w:hint="eastAsia" w:ascii="仿宋_GB2312" w:hAnsi="Times New Roman" w:eastAsia="仿宋_GB2312" w:cs="Times New Roman"/>
          <w:b w:val="0"/>
          <w:bCs w:val="0"/>
          <w:color w:val="auto"/>
          <w:sz w:val="32"/>
          <w:szCs w:val="32"/>
          <w:lang w:val="en-US" w:eastAsia="zh-CN"/>
        </w:rPr>
        <w:t>重要</w:t>
      </w:r>
      <w:r>
        <w:rPr>
          <w:rFonts w:hint="eastAsia" w:ascii="仿宋_GB2312" w:hAnsi="Times New Roman" w:eastAsia="仿宋_GB2312" w:cs="Times New Roman"/>
          <w:b w:val="0"/>
          <w:bCs w:val="0"/>
          <w:color w:val="auto"/>
          <w:sz w:val="32"/>
          <w:szCs w:val="32"/>
        </w:rPr>
        <w:t>支撑，</w:t>
      </w:r>
      <w:r>
        <w:rPr>
          <w:rFonts w:hint="eastAsia" w:ascii="仿宋_GB2312" w:hAnsi="Times New Roman" w:eastAsia="仿宋_GB2312" w:cs="Times New Roman"/>
          <w:b w:val="0"/>
          <w:bCs w:val="0"/>
          <w:color w:val="auto"/>
          <w:sz w:val="32"/>
          <w:szCs w:val="32"/>
          <w:lang w:val="en-US" w:eastAsia="zh-CN"/>
        </w:rPr>
        <w:t>创新开放、生态优美、宜居宜业的现代化科技新城全面焕发蓬勃生机。</w:t>
      </w:r>
    </w:p>
    <w:tbl>
      <w:tblPr>
        <w:tblStyle w:val="2"/>
        <w:tblW w:w="49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3825"/>
        <w:gridCol w:w="898"/>
        <w:gridCol w:w="1099"/>
        <w:gridCol w:w="1575"/>
        <w:gridCol w:w="908"/>
      </w:tblGrid>
      <w:tr w14:paraId="687DF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5000" w:type="pct"/>
            <w:gridSpan w:val="6"/>
            <w:tcBorders>
              <w:top w:val="single" w:color="auto" w:sz="4" w:space="0"/>
              <w:left w:val="single" w:color="auto" w:sz="4" w:space="0"/>
              <w:bottom w:val="single" w:color="auto" w:sz="4" w:space="0"/>
              <w:right w:val="single" w:color="auto" w:sz="4" w:space="0"/>
            </w:tcBorders>
            <w:vAlign w:val="center"/>
          </w:tcPr>
          <w:p w14:paraId="1DA89C39">
            <w:pPr>
              <w:keepNext w:val="0"/>
              <w:keepLines w:val="0"/>
              <w:widowControl/>
              <w:suppressLineNumbers w:val="0"/>
              <w:spacing w:before="0" w:beforeAutospacing="0" w:after="0" w:afterAutospacing="0" w:line="240" w:lineRule="auto"/>
              <w:ind w:left="0" w:right="0" w:firstLine="0" w:firstLineChars="0"/>
              <w:jc w:val="center"/>
              <w:rPr>
                <w:rFonts w:hint="default" w:ascii="仿宋_GB2312" w:hAnsi="Times New Roman" w:eastAsia="黑体" w:cs="Times New Roman"/>
                <w:b/>
                <w:bCs/>
                <w:color w:val="auto"/>
                <w:kern w:val="0"/>
                <w:sz w:val="20"/>
                <w:szCs w:val="20"/>
              </w:rPr>
            </w:pPr>
            <w:r>
              <w:rPr>
                <w:rFonts w:hint="eastAsia" w:ascii="黑体" w:hAnsi="黑体" w:eastAsia="黑体" w:cs="黑体"/>
                <w:b w:val="0"/>
                <w:bCs w:val="0"/>
                <w:color w:val="auto"/>
                <w:sz w:val="28"/>
                <w:szCs w:val="28"/>
              </w:rPr>
              <w:t>“十五五”时期经济社会发展主要指标表</w:t>
            </w:r>
          </w:p>
        </w:tc>
      </w:tr>
      <w:tr w14:paraId="341E5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44AFDAAA">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序号</w:t>
            </w:r>
          </w:p>
        </w:tc>
        <w:tc>
          <w:tcPr>
            <w:tcW w:w="2117" w:type="pct"/>
            <w:tcBorders>
              <w:top w:val="single" w:color="auto" w:sz="4" w:space="0"/>
              <w:left w:val="single" w:color="auto" w:sz="4" w:space="0"/>
              <w:bottom w:val="single" w:color="auto" w:sz="4" w:space="0"/>
              <w:right w:val="single" w:color="auto" w:sz="4" w:space="0"/>
            </w:tcBorders>
            <w:vAlign w:val="center"/>
          </w:tcPr>
          <w:p w14:paraId="29648646">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kern w:val="0"/>
                <w:sz w:val="20"/>
                <w:szCs w:val="20"/>
              </w:rPr>
              <w:t>指标（单位）</w:t>
            </w:r>
          </w:p>
        </w:tc>
        <w:tc>
          <w:tcPr>
            <w:tcW w:w="496" w:type="pct"/>
            <w:tcBorders>
              <w:top w:val="single" w:color="auto" w:sz="4" w:space="0"/>
              <w:left w:val="single" w:color="auto" w:sz="4" w:space="0"/>
              <w:bottom w:val="single" w:color="auto" w:sz="4" w:space="0"/>
              <w:right w:val="single" w:color="auto" w:sz="4" w:space="0"/>
            </w:tcBorders>
            <w:vAlign w:val="center"/>
          </w:tcPr>
          <w:p w14:paraId="107FEF18">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2025年</w:t>
            </w:r>
          </w:p>
        </w:tc>
        <w:tc>
          <w:tcPr>
            <w:tcW w:w="607" w:type="pct"/>
            <w:tcBorders>
              <w:top w:val="single" w:color="auto" w:sz="4" w:space="0"/>
              <w:left w:val="single" w:color="auto" w:sz="4" w:space="0"/>
              <w:bottom w:val="single" w:color="auto" w:sz="4" w:space="0"/>
              <w:right w:val="single" w:color="auto" w:sz="4" w:space="0"/>
            </w:tcBorders>
            <w:vAlign w:val="center"/>
          </w:tcPr>
          <w:p w14:paraId="17042006">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2030年</w:t>
            </w:r>
          </w:p>
        </w:tc>
        <w:tc>
          <w:tcPr>
            <w:tcW w:w="871" w:type="pct"/>
            <w:tcBorders>
              <w:top w:val="single" w:color="auto" w:sz="4" w:space="0"/>
              <w:left w:val="single" w:color="auto" w:sz="4" w:space="0"/>
              <w:bottom w:val="single" w:color="auto" w:sz="4" w:space="0"/>
              <w:right w:val="single" w:color="auto" w:sz="4" w:space="0"/>
            </w:tcBorders>
            <w:vAlign w:val="center"/>
          </w:tcPr>
          <w:p w14:paraId="144D316B">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“十五五”年均增速</w:t>
            </w:r>
          </w:p>
        </w:tc>
        <w:tc>
          <w:tcPr>
            <w:tcW w:w="502" w:type="pct"/>
            <w:tcBorders>
              <w:top w:val="single" w:color="auto" w:sz="4" w:space="0"/>
              <w:left w:val="single" w:color="auto" w:sz="4" w:space="0"/>
              <w:bottom w:val="single" w:color="auto" w:sz="4" w:space="0"/>
              <w:right w:val="single" w:color="auto" w:sz="4" w:space="0"/>
            </w:tcBorders>
            <w:vAlign w:val="center"/>
          </w:tcPr>
          <w:p w14:paraId="706D81ED">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属性</w:t>
            </w:r>
          </w:p>
        </w:tc>
      </w:tr>
      <w:tr w14:paraId="24EA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0B6825A8">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default" w:ascii="Times New Roman" w:hAnsi="Times New Roman" w:eastAsia="仿宋_GB2312" w:cs="Times New Roman"/>
                <w:color w:val="auto"/>
                <w:sz w:val="20"/>
                <w:szCs w:val="20"/>
              </w:rPr>
              <w:t>1</w:t>
            </w:r>
          </w:p>
        </w:tc>
        <w:tc>
          <w:tcPr>
            <w:tcW w:w="2117" w:type="pct"/>
            <w:tcBorders>
              <w:top w:val="single" w:color="auto" w:sz="4" w:space="0"/>
              <w:left w:val="single" w:color="auto" w:sz="4" w:space="0"/>
              <w:bottom w:val="single" w:color="auto" w:sz="4" w:space="0"/>
              <w:right w:val="single" w:color="auto" w:sz="4" w:space="0"/>
            </w:tcBorders>
            <w:vAlign w:val="center"/>
          </w:tcPr>
          <w:p w14:paraId="35794E23">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仿宋_GB2312" w:hAnsi="Times New Roman" w:eastAsia="仿宋_GB2312" w:cs="Times New Roman"/>
                <w:color w:val="auto"/>
                <w:sz w:val="20"/>
                <w:szCs w:val="20"/>
              </w:rPr>
            </w:pPr>
            <w:r>
              <w:rPr>
                <w:rFonts w:hint="eastAsia" w:ascii="仿宋_GB2312" w:hAnsi="Times New Roman" w:eastAsia="仿宋_GB2312" w:cs="Times New Roman"/>
                <w:color w:val="auto"/>
                <w:sz w:val="20"/>
                <w:szCs w:val="20"/>
              </w:rPr>
              <w:t>地区生产总值增速（%）</w:t>
            </w:r>
          </w:p>
        </w:tc>
        <w:tc>
          <w:tcPr>
            <w:tcW w:w="496" w:type="pct"/>
            <w:tcBorders>
              <w:top w:val="single" w:color="auto" w:sz="4" w:space="0"/>
              <w:left w:val="single" w:color="auto" w:sz="4" w:space="0"/>
              <w:bottom w:val="single" w:color="auto" w:sz="4" w:space="0"/>
              <w:right w:val="single" w:color="auto" w:sz="4" w:space="0"/>
            </w:tcBorders>
            <w:vAlign w:val="center"/>
          </w:tcPr>
          <w:p w14:paraId="09B75FB9">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5.1</w:t>
            </w:r>
          </w:p>
        </w:tc>
        <w:tc>
          <w:tcPr>
            <w:tcW w:w="607" w:type="pct"/>
            <w:tcBorders>
              <w:top w:val="single" w:color="auto" w:sz="4" w:space="0"/>
              <w:left w:val="single" w:color="auto" w:sz="4" w:space="0"/>
              <w:bottom w:val="single" w:color="auto" w:sz="4" w:space="0"/>
              <w:right w:val="single" w:color="auto" w:sz="4" w:space="0"/>
            </w:tcBorders>
            <w:vAlign w:val="center"/>
          </w:tcPr>
          <w:p w14:paraId="5ADFE8DD">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w:t>
            </w:r>
          </w:p>
        </w:tc>
        <w:tc>
          <w:tcPr>
            <w:tcW w:w="871" w:type="pct"/>
            <w:tcBorders>
              <w:top w:val="single" w:color="auto" w:sz="4" w:space="0"/>
              <w:left w:val="single" w:color="auto" w:sz="4" w:space="0"/>
              <w:bottom w:val="single" w:color="auto" w:sz="4" w:space="0"/>
              <w:right w:val="single" w:color="auto" w:sz="4" w:space="0"/>
            </w:tcBorders>
            <w:vAlign w:val="center"/>
          </w:tcPr>
          <w:p w14:paraId="5AF54A03">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5</w:t>
            </w:r>
          </w:p>
        </w:tc>
        <w:tc>
          <w:tcPr>
            <w:tcW w:w="502" w:type="pct"/>
            <w:tcBorders>
              <w:top w:val="single" w:color="auto" w:sz="4" w:space="0"/>
              <w:left w:val="single" w:color="auto" w:sz="4" w:space="0"/>
              <w:bottom w:val="single" w:color="auto" w:sz="4" w:space="0"/>
              <w:right w:val="single" w:color="auto" w:sz="4" w:space="0"/>
            </w:tcBorders>
            <w:vAlign w:val="center"/>
          </w:tcPr>
          <w:p w14:paraId="0F254C3B">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预期性</w:t>
            </w:r>
          </w:p>
        </w:tc>
      </w:tr>
      <w:tr w14:paraId="2CA7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44C9D6FE">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2</w:t>
            </w:r>
          </w:p>
        </w:tc>
        <w:tc>
          <w:tcPr>
            <w:tcW w:w="2117" w:type="pct"/>
            <w:tcBorders>
              <w:top w:val="single" w:color="auto" w:sz="4" w:space="0"/>
              <w:left w:val="single" w:color="auto" w:sz="4" w:space="0"/>
              <w:bottom w:val="single" w:color="auto" w:sz="4" w:space="0"/>
              <w:right w:val="single" w:color="auto" w:sz="4" w:space="0"/>
            </w:tcBorders>
            <w:vAlign w:val="center"/>
          </w:tcPr>
          <w:p w14:paraId="0E499589">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仿宋_GB2312" w:hAnsi="Times New Roman" w:eastAsia="仿宋_GB2312" w:cs="Times New Roman"/>
                <w:color w:val="auto"/>
                <w:sz w:val="20"/>
                <w:szCs w:val="20"/>
              </w:rPr>
            </w:pPr>
            <w:r>
              <w:rPr>
                <w:rFonts w:hint="eastAsia" w:ascii="仿宋_GB2312" w:hAnsi="Times New Roman" w:eastAsia="仿宋_GB2312" w:cs="Times New Roman"/>
                <w:color w:val="auto"/>
                <w:sz w:val="20"/>
                <w:szCs w:val="20"/>
              </w:rPr>
              <w:t>常住人口城镇化率（%）</w:t>
            </w:r>
          </w:p>
        </w:tc>
        <w:tc>
          <w:tcPr>
            <w:tcW w:w="496" w:type="pct"/>
            <w:tcBorders>
              <w:top w:val="single" w:color="auto" w:sz="4" w:space="0"/>
              <w:left w:val="single" w:color="auto" w:sz="4" w:space="0"/>
              <w:bottom w:val="single" w:color="auto" w:sz="4" w:space="0"/>
              <w:right w:val="single" w:color="auto" w:sz="4" w:space="0"/>
            </w:tcBorders>
            <w:vAlign w:val="center"/>
          </w:tcPr>
          <w:p w14:paraId="37FA5248">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94.28</w:t>
            </w:r>
          </w:p>
        </w:tc>
        <w:tc>
          <w:tcPr>
            <w:tcW w:w="607" w:type="pct"/>
            <w:tcBorders>
              <w:top w:val="single" w:color="auto" w:sz="4" w:space="0"/>
              <w:left w:val="single" w:color="auto" w:sz="4" w:space="0"/>
              <w:bottom w:val="single" w:color="auto" w:sz="4" w:space="0"/>
              <w:right w:val="single" w:color="auto" w:sz="4" w:space="0"/>
            </w:tcBorders>
            <w:vAlign w:val="center"/>
          </w:tcPr>
          <w:p w14:paraId="19335FC3">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95左右</w:t>
            </w:r>
          </w:p>
        </w:tc>
        <w:tc>
          <w:tcPr>
            <w:tcW w:w="871" w:type="pct"/>
            <w:tcBorders>
              <w:top w:val="single" w:color="auto" w:sz="4" w:space="0"/>
              <w:left w:val="single" w:color="auto" w:sz="4" w:space="0"/>
              <w:bottom w:val="single" w:color="auto" w:sz="4" w:space="0"/>
              <w:right w:val="single" w:color="auto" w:sz="4" w:space="0"/>
            </w:tcBorders>
            <w:vAlign w:val="center"/>
          </w:tcPr>
          <w:p w14:paraId="62ED79E1">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保持较高水平</w:t>
            </w:r>
          </w:p>
        </w:tc>
        <w:tc>
          <w:tcPr>
            <w:tcW w:w="502" w:type="pct"/>
            <w:tcBorders>
              <w:top w:val="single" w:color="auto" w:sz="4" w:space="0"/>
              <w:left w:val="single" w:color="auto" w:sz="4" w:space="0"/>
              <w:bottom w:val="single" w:color="auto" w:sz="4" w:space="0"/>
              <w:right w:val="single" w:color="auto" w:sz="4" w:space="0"/>
            </w:tcBorders>
            <w:vAlign w:val="center"/>
          </w:tcPr>
          <w:p w14:paraId="4B6995DD">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eastAsia" w:ascii="Times New Roman" w:hAnsi="Times New Roman" w:eastAsia="仿宋_GB2312" w:cs="Times New Roman"/>
                <w:color w:val="auto"/>
                <w:sz w:val="20"/>
                <w:szCs w:val="20"/>
                <w:lang w:eastAsia="zh-CN"/>
              </w:rPr>
            </w:pPr>
          </w:p>
        </w:tc>
      </w:tr>
      <w:tr w14:paraId="6100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2092DCC6">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3</w:t>
            </w:r>
          </w:p>
        </w:tc>
        <w:tc>
          <w:tcPr>
            <w:tcW w:w="2117" w:type="pct"/>
            <w:tcBorders>
              <w:top w:val="single" w:color="auto" w:sz="4" w:space="0"/>
              <w:left w:val="single" w:color="auto" w:sz="4" w:space="0"/>
              <w:bottom w:val="single" w:color="auto" w:sz="4" w:space="0"/>
              <w:right w:val="single" w:color="auto" w:sz="4" w:space="0"/>
            </w:tcBorders>
            <w:vAlign w:val="center"/>
          </w:tcPr>
          <w:p w14:paraId="3D2C65DB">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服务业增加值占GDP比重（%）</w:t>
            </w:r>
          </w:p>
        </w:tc>
        <w:tc>
          <w:tcPr>
            <w:tcW w:w="496" w:type="pct"/>
            <w:tcBorders>
              <w:top w:val="single" w:color="auto" w:sz="4" w:space="0"/>
              <w:left w:val="single" w:color="auto" w:sz="4" w:space="0"/>
              <w:bottom w:val="single" w:color="auto" w:sz="4" w:space="0"/>
              <w:right w:val="single" w:color="auto" w:sz="4" w:space="0"/>
            </w:tcBorders>
            <w:vAlign w:val="center"/>
          </w:tcPr>
          <w:p w14:paraId="6B4C58CC">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67.7</w:t>
            </w:r>
          </w:p>
        </w:tc>
        <w:tc>
          <w:tcPr>
            <w:tcW w:w="607" w:type="pct"/>
            <w:tcBorders>
              <w:top w:val="single" w:color="auto" w:sz="4" w:space="0"/>
              <w:left w:val="single" w:color="auto" w:sz="4" w:space="0"/>
              <w:bottom w:val="single" w:color="auto" w:sz="4" w:space="0"/>
              <w:right w:val="single" w:color="auto" w:sz="4" w:space="0"/>
            </w:tcBorders>
            <w:vAlign w:val="center"/>
          </w:tcPr>
          <w:p w14:paraId="6AF78CEF">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w:t>
            </w:r>
          </w:p>
        </w:tc>
        <w:tc>
          <w:tcPr>
            <w:tcW w:w="871" w:type="pct"/>
            <w:tcBorders>
              <w:top w:val="single" w:color="auto" w:sz="4" w:space="0"/>
              <w:left w:val="single" w:color="auto" w:sz="4" w:space="0"/>
              <w:bottom w:val="single" w:color="auto" w:sz="4" w:space="0"/>
              <w:right w:val="single" w:color="auto" w:sz="4" w:space="0"/>
            </w:tcBorders>
            <w:vAlign w:val="center"/>
          </w:tcPr>
          <w:p w14:paraId="35E68C5C">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保持较高水平</w:t>
            </w:r>
          </w:p>
        </w:tc>
        <w:tc>
          <w:tcPr>
            <w:tcW w:w="502" w:type="pct"/>
            <w:tcBorders>
              <w:top w:val="single" w:color="auto" w:sz="4" w:space="0"/>
              <w:left w:val="single" w:color="auto" w:sz="4" w:space="0"/>
              <w:bottom w:val="single" w:color="auto" w:sz="4" w:space="0"/>
              <w:right w:val="single" w:color="auto" w:sz="4" w:space="0"/>
            </w:tcBorders>
            <w:vAlign w:val="center"/>
          </w:tcPr>
          <w:p w14:paraId="68A36FAC">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预期性</w:t>
            </w:r>
          </w:p>
        </w:tc>
      </w:tr>
      <w:tr w14:paraId="4360A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5BEEE638">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4</w:t>
            </w:r>
          </w:p>
        </w:tc>
        <w:tc>
          <w:tcPr>
            <w:tcW w:w="2117" w:type="pct"/>
            <w:tcBorders>
              <w:top w:val="single" w:color="auto" w:sz="4" w:space="0"/>
              <w:left w:val="single" w:color="auto" w:sz="4" w:space="0"/>
              <w:bottom w:val="single" w:color="auto" w:sz="4" w:space="0"/>
              <w:right w:val="single" w:color="auto" w:sz="4" w:space="0"/>
            </w:tcBorders>
            <w:vAlign w:val="center"/>
          </w:tcPr>
          <w:p w14:paraId="7702E5BB">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仿宋_GB2312" w:hAnsi="Times New Roman" w:eastAsia="仿宋_GB2312" w:cs="Times New Roman"/>
                <w:color w:val="auto"/>
                <w:sz w:val="20"/>
                <w:szCs w:val="20"/>
              </w:rPr>
            </w:pPr>
            <w:r>
              <w:rPr>
                <w:rFonts w:hint="eastAsia" w:ascii="仿宋_GB2312" w:hAnsi="Times New Roman" w:eastAsia="仿宋_GB2312" w:cs="Times New Roman"/>
                <w:color w:val="auto"/>
                <w:sz w:val="20"/>
                <w:szCs w:val="20"/>
              </w:rPr>
              <w:t>高新技术产业产值占比（%）</w:t>
            </w:r>
          </w:p>
        </w:tc>
        <w:tc>
          <w:tcPr>
            <w:tcW w:w="496" w:type="pct"/>
            <w:tcBorders>
              <w:top w:val="single" w:color="auto" w:sz="4" w:space="0"/>
              <w:left w:val="single" w:color="auto" w:sz="4" w:space="0"/>
              <w:bottom w:val="single" w:color="auto" w:sz="4" w:space="0"/>
              <w:right w:val="single" w:color="auto" w:sz="4" w:space="0"/>
            </w:tcBorders>
            <w:vAlign w:val="center"/>
          </w:tcPr>
          <w:p w14:paraId="45342CA5">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80.2</w:t>
            </w:r>
          </w:p>
        </w:tc>
        <w:tc>
          <w:tcPr>
            <w:tcW w:w="607" w:type="pct"/>
            <w:tcBorders>
              <w:top w:val="single" w:color="auto" w:sz="4" w:space="0"/>
              <w:left w:val="single" w:color="auto" w:sz="4" w:space="0"/>
              <w:bottom w:val="single" w:color="auto" w:sz="4" w:space="0"/>
              <w:right w:val="single" w:color="auto" w:sz="4" w:space="0"/>
            </w:tcBorders>
            <w:vAlign w:val="center"/>
          </w:tcPr>
          <w:p w14:paraId="7DA19D90">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w:t>
            </w:r>
          </w:p>
        </w:tc>
        <w:tc>
          <w:tcPr>
            <w:tcW w:w="871" w:type="pct"/>
            <w:tcBorders>
              <w:top w:val="single" w:color="auto" w:sz="4" w:space="0"/>
              <w:left w:val="single" w:color="auto" w:sz="4" w:space="0"/>
              <w:bottom w:val="single" w:color="auto" w:sz="4" w:space="0"/>
              <w:right w:val="single" w:color="auto" w:sz="4" w:space="0"/>
            </w:tcBorders>
            <w:vAlign w:val="center"/>
          </w:tcPr>
          <w:p w14:paraId="3C26A588">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保持较高水平</w:t>
            </w:r>
          </w:p>
        </w:tc>
        <w:tc>
          <w:tcPr>
            <w:tcW w:w="502" w:type="pct"/>
            <w:tcBorders>
              <w:top w:val="single" w:color="auto" w:sz="4" w:space="0"/>
              <w:left w:val="single" w:color="auto" w:sz="4" w:space="0"/>
              <w:bottom w:val="single" w:color="auto" w:sz="4" w:space="0"/>
              <w:right w:val="single" w:color="auto" w:sz="4" w:space="0"/>
            </w:tcBorders>
            <w:vAlign w:val="center"/>
          </w:tcPr>
          <w:p w14:paraId="31A934F0">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预期性</w:t>
            </w:r>
          </w:p>
        </w:tc>
      </w:tr>
      <w:tr w14:paraId="73C6C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6F3BC8A7">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5</w:t>
            </w:r>
          </w:p>
        </w:tc>
        <w:tc>
          <w:tcPr>
            <w:tcW w:w="2117" w:type="pct"/>
            <w:tcBorders>
              <w:top w:val="single" w:color="auto" w:sz="4" w:space="0"/>
              <w:left w:val="single" w:color="auto" w:sz="4" w:space="0"/>
              <w:bottom w:val="single" w:color="auto" w:sz="4" w:space="0"/>
              <w:right w:val="single" w:color="auto" w:sz="4" w:space="0"/>
            </w:tcBorders>
            <w:vAlign w:val="center"/>
          </w:tcPr>
          <w:p w14:paraId="638DA85A">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全社会研发经费投入强度（%）</w:t>
            </w:r>
          </w:p>
        </w:tc>
        <w:tc>
          <w:tcPr>
            <w:tcW w:w="496" w:type="pct"/>
            <w:tcBorders>
              <w:top w:val="single" w:color="auto" w:sz="4" w:space="0"/>
              <w:left w:val="single" w:color="auto" w:sz="4" w:space="0"/>
              <w:bottom w:val="single" w:color="auto" w:sz="4" w:space="0"/>
              <w:right w:val="single" w:color="auto" w:sz="4" w:space="0"/>
            </w:tcBorders>
            <w:vAlign w:val="center"/>
          </w:tcPr>
          <w:p w14:paraId="4C805DEF">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6.8*</w:t>
            </w:r>
          </w:p>
        </w:tc>
        <w:tc>
          <w:tcPr>
            <w:tcW w:w="607" w:type="pct"/>
            <w:tcBorders>
              <w:top w:val="single" w:color="auto" w:sz="4" w:space="0"/>
              <w:left w:val="single" w:color="auto" w:sz="4" w:space="0"/>
              <w:bottom w:val="single" w:color="auto" w:sz="4" w:space="0"/>
              <w:right w:val="single" w:color="auto" w:sz="4" w:space="0"/>
            </w:tcBorders>
            <w:vAlign w:val="center"/>
          </w:tcPr>
          <w:p w14:paraId="73A08079">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w:t>
            </w:r>
          </w:p>
        </w:tc>
        <w:tc>
          <w:tcPr>
            <w:tcW w:w="871" w:type="pct"/>
            <w:tcBorders>
              <w:top w:val="single" w:color="auto" w:sz="4" w:space="0"/>
              <w:left w:val="single" w:color="auto" w:sz="4" w:space="0"/>
              <w:bottom w:val="single" w:color="auto" w:sz="4" w:space="0"/>
              <w:right w:val="single" w:color="auto" w:sz="4" w:space="0"/>
            </w:tcBorders>
            <w:vAlign w:val="center"/>
          </w:tcPr>
          <w:p w14:paraId="6F6D9C50">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保持较高水平</w:t>
            </w:r>
          </w:p>
        </w:tc>
        <w:tc>
          <w:tcPr>
            <w:tcW w:w="502" w:type="pct"/>
            <w:tcBorders>
              <w:top w:val="single" w:color="auto" w:sz="4" w:space="0"/>
              <w:left w:val="single" w:color="auto" w:sz="4" w:space="0"/>
              <w:bottom w:val="single" w:color="auto" w:sz="4" w:space="0"/>
              <w:right w:val="single" w:color="auto" w:sz="4" w:space="0"/>
            </w:tcBorders>
            <w:vAlign w:val="center"/>
          </w:tcPr>
          <w:p w14:paraId="5B129ABA">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预期性</w:t>
            </w:r>
          </w:p>
        </w:tc>
      </w:tr>
      <w:tr w14:paraId="5CE6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2AD54859">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6</w:t>
            </w:r>
          </w:p>
        </w:tc>
        <w:tc>
          <w:tcPr>
            <w:tcW w:w="2117" w:type="pct"/>
            <w:tcBorders>
              <w:top w:val="single" w:color="auto" w:sz="4" w:space="0"/>
              <w:left w:val="single" w:color="auto" w:sz="4" w:space="0"/>
              <w:bottom w:val="single" w:color="auto" w:sz="4" w:space="0"/>
              <w:right w:val="single" w:color="auto" w:sz="4" w:space="0"/>
            </w:tcBorders>
            <w:vAlign w:val="center"/>
          </w:tcPr>
          <w:p w14:paraId="53454C7B">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每万名人口高价值发明拥有数（件）</w:t>
            </w:r>
          </w:p>
        </w:tc>
        <w:tc>
          <w:tcPr>
            <w:tcW w:w="496" w:type="pct"/>
            <w:tcBorders>
              <w:top w:val="single" w:color="auto" w:sz="4" w:space="0"/>
              <w:left w:val="single" w:color="auto" w:sz="4" w:space="0"/>
              <w:bottom w:val="single" w:color="auto" w:sz="4" w:space="0"/>
              <w:right w:val="single" w:color="auto" w:sz="4" w:space="0"/>
            </w:tcBorders>
            <w:vAlign w:val="center"/>
          </w:tcPr>
          <w:p w14:paraId="2493F5D5">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68.81*</w:t>
            </w:r>
          </w:p>
        </w:tc>
        <w:tc>
          <w:tcPr>
            <w:tcW w:w="607" w:type="pct"/>
            <w:tcBorders>
              <w:top w:val="single" w:color="auto" w:sz="4" w:space="0"/>
              <w:left w:val="single" w:color="auto" w:sz="4" w:space="0"/>
              <w:bottom w:val="single" w:color="auto" w:sz="4" w:space="0"/>
              <w:right w:val="single" w:color="auto" w:sz="4" w:space="0"/>
            </w:tcBorders>
            <w:vAlign w:val="center"/>
          </w:tcPr>
          <w:p w14:paraId="5B4ABC7A">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90</w:t>
            </w:r>
          </w:p>
        </w:tc>
        <w:tc>
          <w:tcPr>
            <w:tcW w:w="871" w:type="pct"/>
            <w:tcBorders>
              <w:top w:val="single" w:color="auto" w:sz="4" w:space="0"/>
              <w:left w:val="single" w:color="auto" w:sz="4" w:space="0"/>
              <w:bottom w:val="single" w:color="auto" w:sz="4" w:space="0"/>
              <w:right w:val="single" w:color="auto" w:sz="4" w:space="0"/>
            </w:tcBorders>
            <w:vAlign w:val="center"/>
          </w:tcPr>
          <w:p w14:paraId="5D2D74D4">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保持较高水平</w:t>
            </w:r>
          </w:p>
        </w:tc>
        <w:tc>
          <w:tcPr>
            <w:tcW w:w="502" w:type="pct"/>
            <w:tcBorders>
              <w:top w:val="single" w:color="auto" w:sz="4" w:space="0"/>
              <w:left w:val="single" w:color="auto" w:sz="4" w:space="0"/>
              <w:bottom w:val="single" w:color="auto" w:sz="4" w:space="0"/>
              <w:right w:val="single" w:color="auto" w:sz="4" w:space="0"/>
            </w:tcBorders>
            <w:vAlign w:val="center"/>
          </w:tcPr>
          <w:p w14:paraId="33E7C10F">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预期性</w:t>
            </w:r>
          </w:p>
        </w:tc>
      </w:tr>
      <w:tr w14:paraId="15F5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03734C73">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7</w:t>
            </w:r>
          </w:p>
        </w:tc>
        <w:tc>
          <w:tcPr>
            <w:tcW w:w="2117" w:type="pct"/>
            <w:tcBorders>
              <w:top w:val="single" w:color="auto" w:sz="4" w:space="0"/>
              <w:left w:val="single" w:color="auto" w:sz="4" w:space="0"/>
              <w:bottom w:val="single" w:color="auto" w:sz="4" w:space="0"/>
              <w:right w:val="single" w:color="auto" w:sz="4" w:space="0"/>
            </w:tcBorders>
            <w:vAlign w:val="center"/>
          </w:tcPr>
          <w:p w14:paraId="79489D02">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数字经济核心产业营收占四上企业（不含房地产）比重（%）</w:t>
            </w:r>
          </w:p>
        </w:tc>
        <w:tc>
          <w:tcPr>
            <w:tcW w:w="496" w:type="pct"/>
            <w:tcBorders>
              <w:top w:val="single" w:color="auto" w:sz="4" w:space="0"/>
              <w:left w:val="single" w:color="auto" w:sz="4" w:space="0"/>
              <w:bottom w:val="single" w:color="auto" w:sz="4" w:space="0"/>
              <w:right w:val="single" w:color="auto" w:sz="4" w:space="0"/>
            </w:tcBorders>
            <w:vAlign w:val="center"/>
          </w:tcPr>
          <w:p w14:paraId="71BC4FA2">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18.8</w:t>
            </w:r>
          </w:p>
        </w:tc>
        <w:tc>
          <w:tcPr>
            <w:tcW w:w="607" w:type="pct"/>
            <w:tcBorders>
              <w:top w:val="single" w:color="auto" w:sz="4" w:space="0"/>
              <w:left w:val="single" w:color="auto" w:sz="4" w:space="0"/>
              <w:bottom w:val="single" w:color="auto" w:sz="4" w:space="0"/>
              <w:right w:val="single" w:color="auto" w:sz="4" w:space="0"/>
            </w:tcBorders>
            <w:vAlign w:val="center"/>
          </w:tcPr>
          <w:p w14:paraId="6047E812">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w:t>
            </w:r>
          </w:p>
        </w:tc>
        <w:tc>
          <w:tcPr>
            <w:tcW w:w="871" w:type="pct"/>
            <w:tcBorders>
              <w:top w:val="single" w:color="auto" w:sz="4" w:space="0"/>
              <w:left w:val="single" w:color="auto" w:sz="4" w:space="0"/>
              <w:bottom w:val="single" w:color="auto" w:sz="4" w:space="0"/>
              <w:right w:val="single" w:color="auto" w:sz="4" w:space="0"/>
            </w:tcBorders>
            <w:vAlign w:val="center"/>
          </w:tcPr>
          <w:p w14:paraId="419EDBDF">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增速高于</w:t>
            </w:r>
          </w:p>
          <w:p w14:paraId="0665D1FB">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全市平均</w:t>
            </w:r>
          </w:p>
        </w:tc>
        <w:tc>
          <w:tcPr>
            <w:tcW w:w="502" w:type="pct"/>
            <w:tcBorders>
              <w:top w:val="single" w:color="auto" w:sz="4" w:space="0"/>
              <w:left w:val="single" w:color="auto" w:sz="4" w:space="0"/>
              <w:bottom w:val="single" w:color="auto" w:sz="4" w:space="0"/>
              <w:right w:val="single" w:color="auto" w:sz="4" w:space="0"/>
            </w:tcBorders>
            <w:vAlign w:val="center"/>
          </w:tcPr>
          <w:p w14:paraId="0B35471B">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预期性</w:t>
            </w:r>
          </w:p>
        </w:tc>
      </w:tr>
      <w:tr w14:paraId="6FEB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05E6D9CB">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kern w:val="0"/>
                <w:sz w:val="20"/>
                <w:szCs w:val="20"/>
              </w:rPr>
            </w:pPr>
            <w:r>
              <w:rPr>
                <w:rFonts w:hint="eastAsia" w:ascii="Times New Roman" w:hAnsi="Times New Roman" w:eastAsia="仿宋_GB2312" w:cs="Times New Roman"/>
                <w:color w:val="auto"/>
                <w:kern w:val="0"/>
                <w:sz w:val="20"/>
                <w:szCs w:val="20"/>
              </w:rPr>
              <w:t>8</w:t>
            </w:r>
          </w:p>
        </w:tc>
        <w:tc>
          <w:tcPr>
            <w:tcW w:w="2117" w:type="pct"/>
            <w:tcBorders>
              <w:top w:val="single" w:color="auto" w:sz="4" w:space="0"/>
              <w:left w:val="single" w:color="auto" w:sz="4" w:space="0"/>
              <w:bottom w:val="single" w:color="auto" w:sz="4" w:space="0"/>
              <w:right w:val="single" w:color="auto" w:sz="4" w:space="0"/>
            </w:tcBorders>
            <w:vAlign w:val="center"/>
          </w:tcPr>
          <w:p w14:paraId="043DF174">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居民人均可支配收入增速（%）</w:t>
            </w:r>
          </w:p>
        </w:tc>
        <w:tc>
          <w:tcPr>
            <w:tcW w:w="496" w:type="pct"/>
            <w:tcBorders>
              <w:top w:val="single" w:color="auto" w:sz="4" w:space="0"/>
              <w:left w:val="single" w:color="auto" w:sz="4" w:space="0"/>
              <w:bottom w:val="single" w:color="auto" w:sz="4" w:space="0"/>
              <w:right w:val="single" w:color="auto" w:sz="4" w:space="0"/>
            </w:tcBorders>
            <w:vAlign w:val="center"/>
          </w:tcPr>
          <w:p w14:paraId="5764A52A">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4.9</w:t>
            </w:r>
          </w:p>
        </w:tc>
        <w:tc>
          <w:tcPr>
            <w:tcW w:w="607" w:type="pct"/>
            <w:tcBorders>
              <w:top w:val="single" w:color="auto" w:sz="4" w:space="0"/>
              <w:left w:val="single" w:color="auto" w:sz="4" w:space="0"/>
              <w:bottom w:val="single" w:color="auto" w:sz="4" w:space="0"/>
              <w:right w:val="single" w:color="auto" w:sz="4" w:space="0"/>
            </w:tcBorders>
            <w:vAlign w:val="center"/>
          </w:tcPr>
          <w:p w14:paraId="4B2114AC">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w:t>
            </w:r>
          </w:p>
        </w:tc>
        <w:tc>
          <w:tcPr>
            <w:tcW w:w="871" w:type="pct"/>
            <w:tcBorders>
              <w:top w:val="single" w:color="auto" w:sz="4" w:space="0"/>
              <w:left w:val="single" w:color="auto" w:sz="4" w:space="0"/>
              <w:bottom w:val="single" w:color="auto" w:sz="4" w:space="0"/>
              <w:right w:val="single" w:color="auto" w:sz="4" w:space="0"/>
            </w:tcBorders>
            <w:vAlign w:val="center"/>
          </w:tcPr>
          <w:p w14:paraId="4F22F136">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力争与GDP</w:t>
            </w:r>
          </w:p>
          <w:p w14:paraId="0A8C7F95">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增长同步</w:t>
            </w:r>
          </w:p>
        </w:tc>
        <w:tc>
          <w:tcPr>
            <w:tcW w:w="502" w:type="pct"/>
            <w:tcBorders>
              <w:top w:val="single" w:color="auto" w:sz="4" w:space="0"/>
              <w:left w:val="single" w:color="auto" w:sz="4" w:space="0"/>
              <w:bottom w:val="single" w:color="auto" w:sz="4" w:space="0"/>
              <w:right w:val="single" w:color="auto" w:sz="4" w:space="0"/>
            </w:tcBorders>
            <w:vAlign w:val="center"/>
          </w:tcPr>
          <w:p w14:paraId="4B073E3C">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预期性</w:t>
            </w:r>
          </w:p>
        </w:tc>
      </w:tr>
      <w:tr w14:paraId="0BDE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359ECEEE">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kern w:val="0"/>
                <w:sz w:val="20"/>
                <w:szCs w:val="20"/>
              </w:rPr>
            </w:pPr>
            <w:r>
              <w:rPr>
                <w:rFonts w:hint="eastAsia" w:ascii="Times New Roman" w:hAnsi="Times New Roman" w:eastAsia="仿宋_GB2312" w:cs="Times New Roman"/>
                <w:color w:val="auto"/>
                <w:kern w:val="0"/>
                <w:sz w:val="20"/>
                <w:szCs w:val="20"/>
              </w:rPr>
              <w:t>9</w:t>
            </w:r>
          </w:p>
        </w:tc>
        <w:tc>
          <w:tcPr>
            <w:tcW w:w="2117" w:type="pct"/>
            <w:tcBorders>
              <w:top w:val="single" w:color="auto" w:sz="4" w:space="0"/>
              <w:left w:val="single" w:color="auto" w:sz="4" w:space="0"/>
              <w:bottom w:val="single" w:color="auto" w:sz="4" w:space="0"/>
              <w:right w:val="single" w:color="auto" w:sz="4" w:space="0"/>
            </w:tcBorders>
            <w:vAlign w:val="center"/>
          </w:tcPr>
          <w:p w14:paraId="28753DD4">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社会消费品零售总额（亿元）</w:t>
            </w:r>
          </w:p>
        </w:tc>
        <w:tc>
          <w:tcPr>
            <w:tcW w:w="496" w:type="pct"/>
            <w:tcBorders>
              <w:top w:val="single" w:color="auto" w:sz="4" w:space="0"/>
              <w:left w:val="single" w:color="auto" w:sz="4" w:space="0"/>
              <w:bottom w:val="single" w:color="auto" w:sz="4" w:space="0"/>
              <w:right w:val="single" w:color="auto" w:sz="4" w:space="0"/>
            </w:tcBorders>
            <w:vAlign w:val="center"/>
          </w:tcPr>
          <w:p w14:paraId="34D1BECA">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34.9</w:t>
            </w:r>
          </w:p>
        </w:tc>
        <w:tc>
          <w:tcPr>
            <w:tcW w:w="607" w:type="pct"/>
            <w:tcBorders>
              <w:top w:val="single" w:color="auto" w:sz="4" w:space="0"/>
              <w:left w:val="single" w:color="auto" w:sz="4" w:space="0"/>
              <w:bottom w:val="single" w:color="auto" w:sz="4" w:space="0"/>
              <w:right w:val="single" w:color="auto" w:sz="4" w:space="0"/>
            </w:tcBorders>
            <w:vAlign w:val="center"/>
          </w:tcPr>
          <w:p w14:paraId="6D911DE0">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w:t>
            </w:r>
          </w:p>
        </w:tc>
        <w:tc>
          <w:tcPr>
            <w:tcW w:w="871" w:type="pct"/>
            <w:tcBorders>
              <w:top w:val="single" w:color="auto" w:sz="4" w:space="0"/>
              <w:left w:val="single" w:color="auto" w:sz="4" w:space="0"/>
              <w:bottom w:val="single" w:color="auto" w:sz="4" w:space="0"/>
              <w:right w:val="single" w:color="auto" w:sz="4" w:space="0"/>
            </w:tcBorders>
            <w:vAlign w:val="center"/>
          </w:tcPr>
          <w:p w14:paraId="73341A0D">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增速高于</w:t>
            </w:r>
          </w:p>
          <w:p w14:paraId="30D85258">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全市平均</w:t>
            </w:r>
          </w:p>
        </w:tc>
        <w:tc>
          <w:tcPr>
            <w:tcW w:w="502" w:type="pct"/>
            <w:tcBorders>
              <w:top w:val="single" w:color="auto" w:sz="4" w:space="0"/>
              <w:left w:val="single" w:color="auto" w:sz="4" w:space="0"/>
              <w:bottom w:val="single" w:color="auto" w:sz="4" w:space="0"/>
              <w:right w:val="single" w:color="auto" w:sz="4" w:space="0"/>
            </w:tcBorders>
            <w:vAlign w:val="center"/>
          </w:tcPr>
          <w:p w14:paraId="75DBC9EA">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预期性</w:t>
            </w:r>
          </w:p>
        </w:tc>
      </w:tr>
      <w:tr w14:paraId="2587F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60F013FB">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kern w:val="0"/>
                <w:sz w:val="20"/>
                <w:szCs w:val="20"/>
              </w:rPr>
            </w:pPr>
            <w:r>
              <w:rPr>
                <w:rFonts w:hint="eastAsia" w:ascii="Times New Roman" w:hAnsi="Times New Roman" w:eastAsia="仿宋_GB2312" w:cs="Times New Roman"/>
                <w:color w:val="auto"/>
                <w:kern w:val="0"/>
                <w:sz w:val="20"/>
                <w:szCs w:val="20"/>
              </w:rPr>
              <w:t>10</w:t>
            </w:r>
          </w:p>
        </w:tc>
        <w:tc>
          <w:tcPr>
            <w:tcW w:w="2117" w:type="pct"/>
            <w:tcBorders>
              <w:top w:val="single" w:color="auto" w:sz="4" w:space="0"/>
              <w:left w:val="single" w:color="auto" w:sz="4" w:space="0"/>
              <w:bottom w:val="single" w:color="auto" w:sz="4" w:space="0"/>
              <w:right w:val="single" w:color="auto" w:sz="4" w:space="0"/>
            </w:tcBorders>
            <w:vAlign w:val="center"/>
          </w:tcPr>
          <w:p w14:paraId="753B7B9E">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每千人口执业（助理）医师（人）</w:t>
            </w:r>
          </w:p>
        </w:tc>
        <w:tc>
          <w:tcPr>
            <w:tcW w:w="496" w:type="pct"/>
            <w:tcBorders>
              <w:top w:val="single" w:color="auto" w:sz="4" w:space="0"/>
              <w:left w:val="single" w:color="auto" w:sz="4" w:space="0"/>
              <w:bottom w:val="single" w:color="auto" w:sz="4" w:space="0"/>
              <w:right w:val="single" w:color="auto" w:sz="4" w:space="0"/>
            </w:tcBorders>
            <w:vAlign w:val="center"/>
          </w:tcPr>
          <w:p w14:paraId="06024AC6">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3.85</w:t>
            </w:r>
          </w:p>
        </w:tc>
        <w:tc>
          <w:tcPr>
            <w:tcW w:w="607" w:type="pct"/>
            <w:tcBorders>
              <w:top w:val="single" w:color="auto" w:sz="4" w:space="0"/>
              <w:left w:val="single" w:color="auto" w:sz="4" w:space="0"/>
              <w:bottom w:val="single" w:color="auto" w:sz="4" w:space="0"/>
              <w:right w:val="single" w:color="auto" w:sz="4" w:space="0"/>
            </w:tcBorders>
            <w:vAlign w:val="center"/>
          </w:tcPr>
          <w:p w14:paraId="20FB3079">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w:t>
            </w:r>
          </w:p>
        </w:tc>
        <w:tc>
          <w:tcPr>
            <w:tcW w:w="871" w:type="pct"/>
            <w:tcBorders>
              <w:top w:val="single" w:color="auto" w:sz="4" w:space="0"/>
              <w:left w:val="single" w:color="auto" w:sz="4" w:space="0"/>
              <w:bottom w:val="single" w:color="auto" w:sz="4" w:space="0"/>
              <w:right w:val="single" w:color="auto" w:sz="4" w:space="0"/>
            </w:tcBorders>
            <w:vAlign w:val="center"/>
          </w:tcPr>
          <w:p w14:paraId="5F7F61AE">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稳步增长</w:t>
            </w:r>
          </w:p>
        </w:tc>
        <w:tc>
          <w:tcPr>
            <w:tcW w:w="502" w:type="pct"/>
            <w:tcBorders>
              <w:top w:val="single" w:color="auto" w:sz="4" w:space="0"/>
              <w:left w:val="single" w:color="auto" w:sz="4" w:space="0"/>
              <w:bottom w:val="single" w:color="auto" w:sz="4" w:space="0"/>
              <w:right w:val="single" w:color="auto" w:sz="4" w:space="0"/>
            </w:tcBorders>
            <w:vAlign w:val="center"/>
          </w:tcPr>
          <w:p w14:paraId="34D3343E">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预期性</w:t>
            </w:r>
          </w:p>
        </w:tc>
      </w:tr>
      <w:tr w14:paraId="7532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6BC76B35">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11</w:t>
            </w:r>
          </w:p>
        </w:tc>
        <w:tc>
          <w:tcPr>
            <w:tcW w:w="2117" w:type="pct"/>
            <w:tcBorders>
              <w:top w:val="single" w:color="auto" w:sz="4" w:space="0"/>
              <w:left w:val="single" w:color="auto" w:sz="4" w:space="0"/>
              <w:bottom w:val="single" w:color="auto" w:sz="4" w:space="0"/>
              <w:right w:val="single" w:color="auto" w:sz="4" w:space="0"/>
            </w:tcBorders>
            <w:vAlign w:val="center"/>
          </w:tcPr>
          <w:p w14:paraId="5C68D16E">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每千名拥有65岁以上老年人口养老床位数（个）</w:t>
            </w:r>
          </w:p>
        </w:tc>
        <w:tc>
          <w:tcPr>
            <w:tcW w:w="496" w:type="pct"/>
            <w:tcBorders>
              <w:top w:val="single" w:color="auto" w:sz="4" w:space="0"/>
              <w:left w:val="single" w:color="auto" w:sz="4" w:space="0"/>
              <w:bottom w:val="single" w:color="auto" w:sz="4" w:space="0"/>
              <w:right w:val="single" w:color="auto" w:sz="4" w:space="0"/>
            </w:tcBorders>
            <w:vAlign w:val="center"/>
          </w:tcPr>
          <w:p w14:paraId="3C37487F">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164</w:t>
            </w:r>
          </w:p>
        </w:tc>
        <w:tc>
          <w:tcPr>
            <w:tcW w:w="607" w:type="pct"/>
            <w:tcBorders>
              <w:top w:val="single" w:color="auto" w:sz="4" w:space="0"/>
              <w:left w:val="single" w:color="auto" w:sz="4" w:space="0"/>
              <w:bottom w:val="single" w:color="auto" w:sz="4" w:space="0"/>
              <w:right w:val="single" w:color="auto" w:sz="4" w:space="0"/>
            </w:tcBorders>
            <w:vAlign w:val="center"/>
          </w:tcPr>
          <w:p w14:paraId="2FE4FA51">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w:t>
            </w:r>
          </w:p>
        </w:tc>
        <w:tc>
          <w:tcPr>
            <w:tcW w:w="871" w:type="pct"/>
            <w:tcBorders>
              <w:top w:val="single" w:color="auto" w:sz="4" w:space="0"/>
              <w:left w:val="single" w:color="auto" w:sz="4" w:space="0"/>
              <w:bottom w:val="single" w:color="auto" w:sz="4" w:space="0"/>
              <w:right w:val="single" w:color="auto" w:sz="4" w:space="0"/>
            </w:tcBorders>
            <w:vAlign w:val="center"/>
          </w:tcPr>
          <w:p w14:paraId="7E63C885">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稳步增长</w:t>
            </w:r>
          </w:p>
        </w:tc>
        <w:tc>
          <w:tcPr>
            <w:tcW w:w="502" w:type="pct"/>
            <w:tcBorders>
              <w:top w:val="single" w:color="auto" w:sz="4" w:space="0"/>
              <w:left w:val="single" w:color="auto" w:sz="4" w:space="0"/>
              <w:bottom w:val="single" w:color="auto" w:sz="4" w:space="0"/>
              <w:right w:val="single" w:color="auto" w:sz="4" w:space="0"/>
            </w:tcBorders>
            <w:vAlign w:val="center"/>
          </w:tcPr>
          <w:p w14:paraId="55108103">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预期性</w:t>
            </w:r>
          </w:p>
        </w:tc>
      </w:tr>
      <w:tr w14:paraId="1C5D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244535AE">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12</w:t>
            </w:r>
          </w:p>
        </w:tc>
        <w:tc>
          <w:tcPr>
            <w:tcW w:w="2117" w:type="pct"/>
            <w:tcBorders>
              <w:top w:val="single" w:color="auto" w:sz="4" w:space="0"/>
              <w:left w:val="single" w:color="auto" w:sz="4" w:space="0"/>
              <w:bottom w:val="single" w:color="auto" w:sz="4" w:space="0"/>
              <w:right w:val="single" w:color="auto" w:sz="4" w:space="0"/>
            </w:tcBorders>
            <w:vAlign w:val="center"/>
          </w:tcPr>
          <w:p w14:paraId="0E292A28">
            <w:pPr>
              <w:keepNext w:val="0"/>
              <w:keepLines w:val="0"/>
              <w:widowControl/>
              <w:suppressLineNumbers w:val="0"/>
              <w:adjustRightInd w:val="0"/>
              <w:snapToGrid w:val="0"/>
              <w:spacing w:before="0" w:beforeAutospacing="0" w:after="0" w:afterAutospacing="0" w:line="320" w:lineRule="exact"/>
              <w:ind w:left="0" w:right="0" w:firstLine="0" w:firstLineChars="0"/>
              <w:jc w:val="both"/>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每千名拥有3岁以下婴幼儿托位数（个）</w:t>
            </w:r>
          </w:p>
        </w:tc>
        <w:tc>
          <w:tcPr>
            <w:tcW w:w="496" w:type="pct"/>
            <w:tcBorders>
              <w:top w:val="single" w:color="auto" w:sz="4" w:space="0"/>
              <w:left w:val="single" w:color="auto" w:sz="4" w:space="0"/>
              <w:bottom w:val="single" w:color="auto" w:sz="4" w:space="0"/>
              <w:right w:val="single" w:color="auto" w:sz="4" w:space="0"/>
            </w:tcBorders>
            <w:vAlign w:val="center"/>
          </w:tcPr>
          <w:p w14:paraId="5C43011E">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4.83</w:t>
            </w:r>
          </w:p>
        </w:tc>
        <w:tc>
          <w:tcPr>
            <w:tcW w:w="607" w:type="pct"/>
            <w:tcBorders>
              <w:top w:val="single" w:color="auto" w:sz="4" w:space="0"/>
              <w:left w:val="single" w:color="auto" w:sz="4" w:space="0"/>
              <w:bottom w:val="single" w:color="auto" w:sz="4" w:space="0"/>
              <w:right w:val="single" w:color="auto" w:sz="4" w:space="0"/>
            </w:tcBorders>
            <w:vAlign w:val="center"/>
          </w:tcPr>
          <w:p w14:paraId="118ECBC5">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w:t>
            </w:r>
          </w:p>
        </w:tc>
        <w:tc>
          <w:tcPr>
            <w:tcW w:w="871" w:type="pct"/>
            <w:tcBorders>
              <w:top w:val="single" w:color="auto" w:sz="4" w:space="0"/>
              <w:left w:val="single" w:color="auto" w:sz="4" w:space="0"/>
              <w:bottom w:val="single" w:color="auto" w:sz="4" w:space="0"/>
              <w:right w:val="single" w:color="auto" w:sz="4" w:space="0"/>
            </w:tcBorders>
            <w:vAlign w:val="center"/>
          </w:tcPr>
          <w:p w14:paraId="2E2BFF50">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稳步增长</w:t>
            </w:r>
          </w:p>
        </w:tc>
        <w:tc>
          <w:tcPr>
            <w:tcW w:w="502" w:type="pct"/>
            <w:tcBorders>
              <w:top w:val="single" w:color="auto" w:sz="4" w:space="0"/>
              <w:left w:val="single" w:color="auto" w:sz="4" w:space="0"/>
              <w:bottom w:val="single" w:color="auto" w:sz="4" w:space="0"/>
              <w:right w:val="single" w:color="auto" w:sz="4" w:space="0"/>
            </w:tcBorders>
            <w:vAlign w:val="center"/>
          </w:tcPr>
          <w:p w14:paraId="68EE631F">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预期性</w:t>
            </w:r>
          </w:p>
        </w:tc>
      </w:tr>
      <w:tr w14:paraId="0EDE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4BCD0F7C">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bookmarkStart w:id="38" w:name="_Toc230188697"/>
            <w:r>
              <w:rPr>
                <w:rFonts w:hint="eastAsia" w:ascii="Times New Roman" w:hAnsi="Times New Roman" w:eastAsia="仿宋_GB2312" w:cs="Times New Roman"/>
                <w:color w:val="auto"/>
                <w:sz w:val="20"/>
                <w:szCs w:val="20"/>
              </w:rPr>
              <w:t>13</w:t>
            </w:r>
          </w:p>
        </w:tc>
        <w:tc>
          <w:tcPr>
            <w:tcW w:w="2117" w:type="pct"/>
            <w:tcBorders>
              <w:top w:val="single" w:color="auto" w:sz="4" w:space="0"/>
              <w:left w:val="single" w:color="auto" w:sz="4" w:space="0"/>
              <w:bottom w:val="single" w:color="auto" w:sz="4" w:space="0"/>
              <w:right w:val="single" w:color="auto" w:sz="4" w:space="0"/>
            </w:tcBorders>
            <w:vAlign w:val="center"/>
          </w:tcPr>
          <w:p w14:paraId="14D7D779">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单位GDP二氧化碳排放降低（%）</w:t>
            </w:r>
          </w:p>
        </w:tc>
        <w:tc>
          <w:tcPr>
            <w:tcW w:w="496" w:type="pct"/>
            <w:tcBorders>
              <w:top w:val="single" w:color="auto" w:sz="4" w:space="0"/>
              <w:left w:val="single" w:color="auto" w:sz="4" w:space="0"/>
              <w:bottom w:val="single" w:color="auto" w:sz="4" w:space="0"/>
              <w:right w:val="single" w:color="auto" w:sz="4" w:space="0"/>
            </w:tcBorders>
            <w:vAlign w:val="center"/>
          </w:tcPr>
          <w:p w14:paraId="3772051D">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22</w:t>
            </w:r>
          </w:p>
        </w:tc>
        <w:tc>
          <w:tcPr>
            <w:tcW w:w="607" w:type="pct"/>
            <w:tcBorders>
              <w:top w:val="single" w:color="auto" w:sz="4" w:space="0"/>
              <w:left w:val="single" w:color="auto" w:sz="4" w:space="0"/>
              <w:bottom w:val="single" w:color="auto" w:sz="4" w:space="0"/>
              <w:right w:val="single" w:color="auto" w:sz="4" w:space="0"/>
            </w:tcBorders>
            <w:vAlign w:val="center"/>
          </w:tcPr>
          <w:p w14:paraId="2C3B004E">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完成上级确定目标</w:t>
            </w:r>
          </w:p>
        </w:tc>
        <w:tc>
          <w:tcPr>
            <w:tcW w:w="871" w:type="pct"/>
            <w:tcBorders>
              <w:top w:val="single" w:color="auto" w:sz="4" w:space="0"/>
              <w:left w:val="single" w:color="auto" w:sz="4" w:space="0"/>
              <w:bottom w:val="single" w:color="auto" w:sz="4" w:space="0"/>
              <w:right w:val="single" w:color="auto" w:sz="4" w:space="0"/>
            </w:tcBorders>
            <w:vAlign w:val="center"/>
          </w:tcPr>
          <w:p w14:paraId="6E8770D9">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w:t>
            </w:r>
          </w:p>
        </w:tc>
        <w:tc>
          <w:tcPr>
            <w:tcW w:w="502" w:type="pct"/>
            <w:tcBorders>
              <w:top w:val="single" w:color="auto" w:sz="4" w:space="0"/>
              <w:left w:val="single" w:color="auto" w:sz="4" w:space="0"/>
              <w:bottom w:val="single" w:color="auto" w:sz="4" w:space="0"/>
              <w:right w:val="single" w:color="auto" w:sz="4" w:space="0"/>
            </w:tcBorders>
            <w:vAlign w:val="center"/>
          </w:tcPr>
          <w:p w14:paraId="5D011DBB">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仿宋_GB2312" w:hAnsi="Times New Roman" w:eastAsia="仿宋_GB2312" w:cs="Times New Roman"/>
                <w:color w:val="auto"/>
                <w:sz w:val="20"/>
                <w:szCs w:val="20"/>
              </w:rPr>
              <w:t>约束性</w:t>
            </w:r>
          </w:p>
        </w:tc>
      </w:tr>
      <w:tr w14:paraId="4D18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071B31F3">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14</w:t>
            </w:r>
          </w:p>
        </w:tc>
        <w:tc>
          <w:tcPr>
            <w:tcW w:w="2117" w:type="pct"/>
            <w:tcBorders>
              <w:top w:val="single" w:color="auto" w:sz="4" w:space="0"/>
              <w:left w:val="single" w:color="auto" w:sz="4" w:space="0"/>
              <w:bottom w:val="single" w:color="auto" w:sz="4" w:space="0"/>
              <w:right w:val="single" w:color="auto" w:sz="4" w:space="0"/>
            </w:tcBorders>
            <w:vAlign w:val="center"/>
          </w:tcPr>
          <w:p w14:paraId="3957DDB7">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规上工业万元增加值能耗下降率（%）</w:t>
            </w:r>
          </w:p>
        </w:tc>
        <w:tc>
          <w:tcPr>
            <w:tcW w:w="496" w:type="pct"/>
            <w:tcBorders>
              <w:top w:val="single" w:color="auto" w:sz="4" w:space="0"/>
              <w:left w:val="single" w:color="auto" w:sz="4" w:space="0"/>
              <w:bottom w:val="single" w:color="auto" w:sz="4" w:space="0"/>
              <w:right w:val="single" w:color="auto" w:sz="4" w:space="0"/>
            </w:tcBorders>
            <w:vAlign w:val="center"/>
          </w:tcPr>
          <w:p w14:paraId="7AE19649">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10</w:t>
            </w:r>
          </w:p>
        </w:tc>
        <w:tc>
          <w:tcPr>
            <w:tcW w:w="607" w:type="pct"/>
            <w:tcBorders>
              <w:top w:val="single" w:color="auto" w:sz="4" w:space="0"/>
              <w:left w:val="single" w:color="auto" w:sz="4" w:space="0"/>
              <w:bottom w:val="single" w:color="auto" w:sz="4" w:space="0"/>
              <w:right w:val="single" w:color="auto" w:sz="4" w:space="0"/>
            </w:tcBorders>
            <w:vAlign w:val="center"/>
          </w:tcPr>
          <w:p w14:paraId="3B4F626F">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highlight w:val="none"/>
              </w:rPr>
              <w:t>完成上级确定目标</w:t>
            </w:r>
          </w:p>
        </w:tc>
        <w:tc>
          <w:tcPr>
            <w:tcW w:w="871" w:type="pct"/>
            <w:tcBorders>
              <w:top w:val="single" w:color="auto" w:sz="4" w:space="0"/>
              <w:left w:val="single" w:color="auto" w:sz="4" w:space="0"/>
              <w:bottom w:val="single" w:color="auto" w:sz="4" w:space="0"/>
              <w:right w:val="single" w:color="auto" w:sz="4" w:space="0"/>
            </w:tcBorders>
            <w:vAlign w:val="center"/>
          </w:tcPr>
          <w:p w14:paraId="6F801629">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Times New Roman" w:hAnsi="Times New Roman" w:eastAsia="仿宋_GB2312" w:cs="Times New Roman"/>
                <w:color w:val="auto"/>
                <w:sz w:val="20"/>
                <w:szCs w:val="20"/>
              </w:rPr>
            </w:pPr>
            <w:r>
              <w:rPr>
                <w:rFonts w:hint="eastAsia" w:ascii="Times New Roman" w:hAnsi="Times New Roman" w:eastAsia="仿宋_GB2312" w:cs="Times New Roman"/>
                <w:color w:val="auto"/>
                <w:sz w:val="20"/>
                <w:szCs w:val="20"/>
              </w:rPr>
              <w:t>—</w:t>
            </w:r>
          </w:p>
        </w:tc>
        <w:tc>
          <w:tcPr>
            <w:tcW w:w="502" w:type="pct"/>
            <w:tcBorders>
              <w:top w:val="single" w:color="auto" w:sz="4" w:space="0"/>
              <w:left w:val="single" w:color="auto" w:sz="4" w:space="0"/>
              <w:bottom w:val="single" w:color="auto" w:sz="4" w:space="0"/>
              <w:right w:val="single" w:color="auto" w:sz="4" w:space="0"/>
            </w:tcBorders>
            <w:vAlign w:val="center"/>
          </w:tcPr>
          <w:p w14:paraId="1FDF1AEF">
            <w:pPr>
              <w:keepNext w:val="0"/>
              <w:keepLines w:val="0"/>
              <w:widowControl/>
              <w:suppressLineNumbers w:val="0"/>
              <w:adjustRightInd w:val="0"/>
              <w:snapToGrid w:val="0"/>
              <w:spacing w:before="0" w:beforeAutospacing="0" w:after="0" w:afterAutospacing="0" w:line="320" w:lineRule="exact"/>
              <w:ind w:left="0" w:right="0" w:firstLine="0" w:firstLineChars="0"/>
              <w:jc w:val="center"/>
              <w:textAlignment w:val="center"/>
              <w:rPr>
                <w:rFonts w:hint="default" w:ascii="仿宋_GB2312" w:hAnsi="Times New Roman" w:eastAsia="仿宋_GB2312" w:cs="Times New Roman"/>
                <w:color w:val="auto"/>
                <w:sz w:val="20"/>
                <w:szCs w:val="20"/>
              </w:rPr>
            </w:pPr>
            <w:r>
              <w:rPr>
                <w:rFonts w:hint="eastAsia" w:ascii="仿宋_GB2312" w:hAnsi="Times New Roman" w:eastAsia="仿宋_GB2312" w:cs="Times New Roman"/>
                <w:color w:val="auto"/>
                <w:sz w:val="20"/>
                <w:szCs w:val="20"/>
              </w:rPr>
              <w:t>约束性</w:t>
            </w:r>
          </w:p>
        </w:tc>
      </w:tr>
      <w:bookmarkEnd w:id="25"/>
    </w:tbl>
    <w:p w14:paraId="51A23A29">
      <w:pPr>
        <w:spacing w:line="560" w:lineRule="exact"/>
        <w:ind w:firstLine="0" w:firstLineChars="0"/>
        <w:rPr>
          <w:rFonts w:ascii="Times New Roman" w:hAnsi="Times New Roman" w:eastAsia="仿宋_GB2312" w:cs="Times New Roman"/>
          <w:color w:val="auto"/>
          <w:sz w:val="32"/>
          <w:szCs w:val="22"/>
        </w:rPr>
      </w:pPr>
      <w:r>
        <w:rPr>
          <w:rFonts w:hint="eastAsia" w:ascii="Times New Roman" w:hAnsi="Times New Roman" w:eastAsia="仿宋_GB2312" w:cs="黑体"/>
          <w:color w:val="auto"/>
          <w:sz w:val="24"/>
          <w:szCs w:val="24"/>
        </w:rPr>
        <w:t>注：</w:t>
      </w:r>
      <w:r>
        <w:rPr>
          <w:rFonts w:hint="eastAsia" w:ascii="楷体_GB2312" w:hAnsi="楷体_GB2312" w:eastAsia="楷体_GB2312" w:cs="楷体_GB2312"/>
          <w:color w:val="auto"/>
          <w:sz w:val="24"/>
          <w:szCs w:val="24"/>
        </w:rPr>
        <w:t>带*号的为预计数。</w:t>
      </w:r>
    </w:p>
    <w:p w14:paraId="579E20C4">
      <w:pPr>
        <w:keepNext/>
        <w:keepLines/>
        <w:widowControl w:val="0"/>
        <w:spacing w:before="217" w:beforeLines="50" w:after="217" w:afterLines="50" w:line="560" w:lineRule="exact"/>
        <w:ind w:firstLine="0" w:firstLineChars="0"/>
        <w:jc w:val="center"/>
        <w:outlineLvl w:val="0"/>
        <w:rPr>
          <w:rFonts w:hint="eastAsia" w:ascii="方正小标宋简体" w:hAnsi="方正小标宋简体" w:eastAsia="方正小标宋简体" w:cs="方正小标宋简体"/>
          <w:bCs/>
          <w:color w:val="auto"/>
          <w:kern w:val="44"/>
          <w:sz w:val="36"/>
          <w:szCs w:val="48"/>
          <w:lang w:val="en-US" w:eastAsia="zh-CN" w:bidi="ar-SA"/>
        </w:rPr>
      </w:pPr>
      <w:bookmarkStart w:id="39" w:name="_Toc14939"/>
      <w:bookmarkStart w:id="40" w:name="_Toc18214"/>
      <w:bookmarkStart w:id="41" w:name="_Toc32584"/>
      <w:bookmarkStart w:id="42" w:name="_Toc230591535"/>
      <w:bookmarkStart w:id="43" w:name="_Toc5864"/>
      <w:r>
        <w:rPr>
          <w:rFonts w:hint="eastAsia" w:ascii="方正小标宋简体" w:hAnsi="方正小标宋简体" w:eastAsia="方正小标宋简体" w:cs="方正小标宋简体"/>
          <w:bCs/>
          <w:color w:val="auto"/>
          <w:kern w:val="44"/>
          <w:sz w:val="36"/>
          <w:szCs w:val="48"/>
          <w:lang w:val="en-US" w:eastAsia="zh-CN" w:bidi="ar-SA"/>
        </w:rPr>
        <w:t>第二章 构建现代化产业体系，打造新兴产业集聚区</w:t>
      </w:r>
      <w:bookmarkEnd w:id="38"/>
      <w:bookmarkEnd w:id="39"/>
      <w:bookmarkEnd w:id="40"/>
      <w:bookmarkEnd w:id="41"/>
      <w:bookmarkEnd w:id="42"/>
      <w:bookmarkEnd w:id="43"/>
    </w:p>
    <w:p w14:paraId="685BF24A">
      <w:pPr>
        <w:spacing w:line="560" w:lineRule="exact"/>
        <w:ind w:firstLine="640" w:firstLineChars="200"/>
        <w:rPr>
          <w:rFonts w:hint="eastAsia" w:ascii="仿宋_GB2312" w:hAnsi="仿宋_GB2312" w:eastAsia="仿宋_GB2312" w:cs="仿宋_GB2312"/>
          <w:color w:val="auto"/>
          <w:sz w:val="32"/>
          <w:szCs w:val="22"/>
        </w:rPr>
      </w:pPr>
      <w:r>
        <w:rPr>
          <w:rFonts w:hint="eastAsia" w:ascii="仿宋_GB2312" w:hAnsi="仿宋_GB2312" w:eastAsia="仿宋_GB2312" w:cs="仿宋_GB2312"/>
          <w:color w:val="auto"/>
          <w:sz w:val="32"/>
          <w:szCs w:val="32"/>
        </w:rPr>
        <w:t>突出产业智能化、绿色化、融合化方向，坚持“夯基础、强支柱、展特色、抢未来”的接续发展逻辑，</w:t>
      </w:r>
      <w:r>
        <w:rPr>
          <w:rFonts w:hint="eastAsia" w:ascii="仿宋_GB2312" w:hAnsi="仿宋_GB2312" w:eastAsia="仿宋_GB2312" w:cs="仿宋_GB2312"/>
          <w:color w:val="auto"/>
          <w:sz w:val="32"/>
          <w:szCs w:val="22"/>
        </w:rPr>
        <w:t>做强做优生物医药、航空航天、海洋工程3个主导产业，做精做实数智服务、科技服务、现代金融、文化旅游、现代贸易等现代服务业，前瞻布局</w:t>
      </w:r>
      <w:r>
        <w:rPr>
          <w:rFonts w:hint="eastAsia" w:ascii="仿宋_GB2312" w:hAnsi="仿宋_GB2312" w:eastAsia="仿宋_GB2312" w:cs="仿宋_GB2312"/>
          <w:color w:val="auto"/>
          <w:sz w:val="32"/>
          <w:szCs w:val="32"/>
        </w:rPr>
        <w:t>一批</w:t>
      </w:r>
      <w:r>
        <w:rPr>
          <w:rFonts w:hint="eastAsia" w:ascii="仿宋_GB2312" w:hAnsi="仿宋_GB2312" w:eastAsia="仿宋_GB2312" w:cs="仿宋_GB2312"/>
          <w:color w:val="auto"/>
          <w:sz w:val="32"/>
          <w:szCs w:val="22"/>
        </w:rPr>
        <w:t>未来产业新赛道，打造“311”现代化产业体系。到2030年，主导产业规模突破300亿元，现代服务业集聚成型、能级倍增，未来产业蓄势崛起、成链集群，产业整体竞争力、创新引领力、市场影响力全面跃升，筑牢高质量发展坚实产业根基。</w:t>
      </w:r>
    </w:p>
    <w:p w14:paraId="2A6B0116">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44" w:name="_Toc209796036"/>
      <w:bookmarkStart w:id="45" w:name="_Toc22869"/>
      <w:bookmarkStart w:id="46" w:name="_Toc230591536"/>
      <w:bookmarkStart w:id="47" w:name="_Toc17895"/>
      <w:bookmarkStart w:id="48" w:name="_Toc24702"/>
      <w:bookmarkStart w:id="49" w:name="_Toc230188698"/>
      <w:bookmarkStart w:id="50" w:name="_Toc31839"/>
      <w:r>
        <w:rPr>
          <w:rFonts w:hint="eastAsia" w:ascii="黑体" w:hAnsi="黑体" w:eastAsia="黑体" w:cs="Times New Roman"/>
          <w:b w:val="0"/>
          <w:bCs w:val="0"/>
          <w:color w:val="auto"/>
          <w:kern w:val="2"/>
          <w:sz w:val="32"/>
          <w:szCs w:val="32"/>
          <w:lang w:val="en-US" w:eastAsia="zh-CN" w:bidi="ar-SA"/>
        </w:rPr>
        <w:t xml:space="preserve">第一节  </w:t>
      </w:r>
      <w:bookmarkEnd w:id="44"/>
      <w:r>
        <w:rPr>
          <w:rFonts w:hint="eastAsia" w:ascii="黑体" w:hAnsi="黑体" w:eastAsia="黑体" w:cs="Times New Roman"/>
          <w:b w:val="0"/>
          <w:bCs w:val="0"/>
          <w:color w:val="auto"/>
          <w:kern w:val="2"/>
          <w:sz w:val="32"/>
          <w:szCs w:val="32"/>
          <w:lang w:val="en-US" w:eastAsia="zh-CN" w:bidi="ar-SA"/>
        </w:rPr>
        <w:t>做强生物医药产业</w:t>
      </w:r>
      <w:bookmarkEnd w:id="45"/>
      <w:bookmarkEnd w:id="46"/>
      <w:bookmarkEnd w:id="47"/>
      <w:bookmarkEnd w:id="48"/>
      <w:bookmarkEnd w:id="49"/>
      <w:bookmarkEnd w:id="50"/>
    </w:p>
    <w:p w14:paraId="2DF113C2">
      <w:pPr>
        <w:spacing w:line="560" w:lineRule="exact"/>
        <w:ind w:firstLine="640" w:firstLineChars="200"/>
        <w:rPr>
          <w:rFonts w:hint="eastAsia" w:ascii="仿宋_GB2312" w:hAnsi="仿宋_GB2312" w:eastAsia="仿宋_GB2312" w:cs="仿宋_GB2312"/>
          <w:color w:val="auto"/>
          <w:sz w:val="32"/>
          <w:szCs w:val="22"/>
          <w:lang w:val="en-US" w:eastAsia="zh-CN"/>
        </w:rPr>
      </w:pPr>
      <w:r>
        <w:rPr>
          <w:rFonts w:hint="eastAsia" w:ascii="仿宋_GB2312" w:hAnsi="仿宋_GB2312" w:eastAsia="仿宋_GB2312" w:cs="仿宋_GB2312"/>
          <w:color w:val="auto"/>
          <w:kern w:val="2"/>
          <w:sz w:val="32"/>
          <w:szCs w:val="32"/>
          <w:highlight w:val="none"/>
          <w:u w:val="none"/>
          <w:lang w:val="en-US" w:eastAsia="zh-CN" w:bidi="ar-SA"/>
        </w:rPr>
        <w:t>扛牢全市生物医药创新引领核心区、生物医药产业链领建</w:t>
      </w:r>
      <w:r>
        <w:rPr>
          <w:rFonts w:hint="eastAsia" w:ascii="仿宋_GB2312" w:hAnsi="仿宋_GB2312" w:eastAsia="仿宋_GB2312" w:cs="仿宋_GB2312"/>
          <w:color w:val="auto"/>
          <w:sz w:val="32"/>
          <w:szCs w:val="32"/>
          <w:highlight w:val="none"/>
          <w:u w:val="none"/>
          <w:lang w:val="en-US" w:eastAsia="zh-CN"/>
        </w:rPr>
        <w:t>园区</w:t>
      </w:r>
      <w:r>
        <w:rPr>
          <w:rFonts w:hint="eastAsia" w:ascii="仿宋_GB2312" w:hAnsi="仿宋_GB2312" w:eastAsia="仿宋_GB2312" w:cs="仿宋_GB2312"/>
          <w:color w:val="auto"/>
          <w:kern w:val="2"/>
          <w:sz w:val="32"/>
          <w:szCs w:val="32"/>
          <w:highlight w:val="none"/>
          <w:lang w:val="en-US" w:eastAsia="zh-CN" w:bidi="ar-SA"/>
        </w:rPr>
        <w:t>责任使命</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22"/>
        </w:rPr>
        <w:t>以培育具有全国竞争力的生物医药产业集群为目标，以大企业生态圈引领和创新资源高效转化为路径，重点发展</w:t>
      </w:r>
      <w:r>
        <w:rPr>
          <w:rFonts w:hint="eastAsia" w:ascii="仿宋_GB2312" w:hAnsi="仿宋_GB2312" w:eastAsia="仿宋_GB2312" w:cs="仿宋_GB2312"/>
          <w:color w:val="auto"/>
          <w:sz w:val="32"/>
          <w:szCs w:val="22"/>
          <w:lang w:val="en-US" w:eastAsia="zh-CN"/>
        </w:rPr>
        <w:t>小分子</w:t>
      </w:r>
      <w:r>
        <w:rPr>
          <w:rFonts w:hint="eastAsia" w:ascii="仿宋_GB2312" w:hAnsi="仿宋_GB2312" w:eastAsia="仿宋_GB2312" w:cs="仿宋_GB2312"/>
          <w:color w:val="auto"/>
          <w:sz w:val="32"/>
          <w:szCs w:val="22"/>
        </w:rPr>
        <w:t>创新药、生物</w:t>
      </w:r>
      <w:r>
        <w:rPr>
          <w:rFonts w:hint="eastAsia" w:ascii="仿宋_GB2312" w:hAnsi="仿宋_GB2312" w:eastAsia="仿宋_GB2312" w:cs="仿宋_GB2312"/>
          <w:color w:val="auto"/>
          <w:sz w:val="32"/>
          <w:szCs w:val="22"/>
          <w:lang w:val="en-US" w:eastAsia="zh-CN"/>
        </w:rPr>
        <w:t>制品</w:t>
      </w:r>
      <w:r>
        <w:rPr>
          <w:rFonts w:hint="eastAsia" w:ascii="仿宋_GB2312" w:hAnsi="仿宋_GB2312" w:eastAsia="仿宋_GB2312" w:cs="仿宋_GB2312"/>
          <w:color w:val="auto"/>
          <w:sz w:val="32"/>
          <w:szCs w:val="22"/>
        </w:rPr>
        <w:t>、高端医疗器械、保健与特膳食品、医疗康养</w:t>
      </w:r>
      <w:r>
        <w:rPr>
          <w:rFonts w:hint="eastAsia" w:ascii="仿宋_GB2312" w:hAnsi="仿宋_GB2312" w:eastAsia="仿宋_GB2312" w:cs="仿宋_GB2312"/>
          <w:color w:val="auto"/>
          <w:sz w:val="32"/>
          <w:szCs w:val="22"/>
          <w:lang w:val="en-US" w:eastAsia="zh-CN"/>
        </w:rPr>
        <w:t>服务</w:t>
      </w:r>
      <w:r>
        <w:rPr>
          <w:rFonts w:hint="eastAsia" w:ascii="仿宋_GB2312" w:hAnsi="仿宋_GB2312" w:eastAsia="仿宋_GB2312" w:cs="仿宋_GB2312"/>
          <w:color w:val="auto"/>
          <w:sz w:val="32"/>
          <w:szCs w:val="22"/>
        </w:rPr>
        <w:t>五大细分赛道，</w:t>
      </w:r>
      <w:r>
        <w:rPr>
          <w:rFonts w:hint="eastAsia" w:ascii="仿宋_GB2312" w:hAnsi="仿宋_GB2312" w:eastAsia="仿宋_GB2312" w:cs="仿宋_GB2312"/>
          <w:color w:val="auto"/>
          <w:sz w:val="32"/>
          <w:szCs w:val="22"/>
          <w:lang w:val="en-US" w:eastAsia="zh-CN"/>
        </w:rPr>
        <w:t>聚力延伸产业链、提升价值链、融通供应链，</w:t>
      </w:r>
      <w:r>
        <w:rPr>
          <w:rFonts w:hint="eastAsia" w:ascii="仿宋_GB2312" w:hAnsi="仿宋_GB2312" w:eastAsia="仿宋_GB2312" w:cs="仿宋_GB2312"/>
          <w:color w:val="auto"/>
          <w:sz w:val="32"/>
          <w:szCs w:val="22"/>
        </w:rPr>
        <w:t>构建从研发、孵化、制造、流通到医疗健康服务的全链条产业体系</w:t>
      </w:r>
      <w:r>
        <w:rPr>
          <w:rFonts w:hint="eastAsia" w:ascii="仿宋_GB2312" w:hAnsi="仿宋_GB2312" w:eastAsia="仿宋_GB2312" w:cs="仿宋_GB2312"/>
          <w:color w:val="auto"/>
          <w:sz w:val="32"/>
          <w:szCs w:val="22"/>
          <w:lang w:eastAsia="zh-CN"/>
        </w:rPr>
        <w:t>，</w:t>
      </w:r>
      <w:r>
        <w:rPr>
          <w:rFonts w:hint="eastAsia" w:ascii="仿宋_GB2312" w:hAnsi="仿宋_GB2312" w:eastAsia="仿宋_GB2312" w:cs="仿宋_GB2312"/>
          <w:color w:val="auto"/>
          <w:sz w:val="32"/>
          <w:szCs w:val="22"/>
        </w:rPr>
        <w:t>到2030年，</w:t>
      </w:r>
      <w:r>
        <w:rPr>
          <w:rFonts w:hint="eastAsia" w:ascii="仿宋_GB2312" w:hAnsi="仿宋_GB2312" w:eastAsia="仿宋_GB2312" w:cs="仿宋_GB2312"/>
          <w:color w:val="auto"/>
          <w:sz w:val="32"/>
          <w:szCs w:val="32"/>
        </w:rPr>
        <w:t>生物医药产业实现规模跃升、创新突破、生态完善、品牌彰显，</w:t>
      </w:r>
      <w:r>
        <w:rPr>
          <w:rFonts w:hint="eastAsia" w:ascii="仿宋_GB2312" w:hAnsi="仿宋_GB2312" w:eastAsia="仿宋_GB2312" w:cs="仿宋_GB2312"/>
          <w:color w:val="auto"/>
          <w:sz w:val="32"/>
          <w:szCs w:val="32"/>
          <w:lang w:val="en-US" w:eastAsia="zh-CN"/>
        </w:rPr>
        <w:t>产业链</w:t>
      </w:r>
      <w:r>
        <w:rPr>
          <w:rFonts w:hint="eastAsia" w:ascii="仿宋_GB2312" w:hAnsi="仿宋_GB2312" w:eastAsia="仿宋_GB2312" w:cs="仿宋_GB2312"/>
          <w:color w:val="auto"/>
          <w:sz w:val="32"/>
          <w:szCs w:val="22"/>
        </w:rPr>
        <w:t>主营业务收入达到180亿元。</w:t>
      </w:r>
    </w:p>
    <w:p w14:paraId="610FA525">
      <w:pPr>
        <w:spacing w:line="560" w:lineRule="exact"/>
        <w:ind w:firstLine="640" w:firstLineChars="200"/>
        <w:rPr>
          <w:rFonts w:ascii="Times New Roman" w:hAnsi="Times New Roman" w:eastAsia="仿宋_GB2312" w:cs="Times New Roman"/>
          <w:color w:val="auto"/>
          <w:sz w:val="32"/>
          <w:szCs w:val="22"/>
        </w:rPr>
      </w:pPr>
      <w:r>
        <w:rPr>
          <w:rFonts w:hint="eastAsia" w:ascii="仿宋_GB2312" w:hAnsi="Times New Roman" w:eastAsia="仿宋_GB2312" w:cs="Times New Roman"/>
          <w:b w:val="0"/>
          <w:bCs w:val="0"/>
          <w:color w:val="auto"/>
          <w:sz w:val="32"/>
          <w:szCs w:val="22"/>
        </w:rPr>
        <w:t>——</w:t>
      </w:r>
      <w:r>
        <w:rPr>
          <w:rFonts w:hint="eastAsia" w:ascii="仿宋_GB2312" w:hAnsi="Times New Roman" w:eastAsia="仿宋_GB2312" w:cs="Times New Roman"/>
          <w:b w:val="0"/>
          <w:bCs w:val="0"/>
          <w:color w:val="auto"/>
          <w:sz w:val="32"/>
          <w:szCs w:val="22"/>
          <w:lang w:val="en-US" w:eastAsia="zh-CN"/>
        </w:rPr>
        <w:t>小分子</w:t>
      </w:r>
      <w:r>
        <w:rPr>
          <w:rFonts w:hint="eastAsia" w:ascii="楷体_GB2312" w:hAnsi="Times New Roman" w:eastAsia="楷体_GB2312" w:cs="Times New Roman"/>
          <w:b w:val="0"/>
          <w:bCs w:val="0"/>
          <w:color w:val="auto"/>
          <w:sz w:val="32"/>
          <w:szCs w:val="22"/>
        </w:rPr>
        <w:t>创新药。</w:t>
      </w:r>
      <w:r>
        <w:rPr>
          <w:rFonts w:hint="default" w:ascii="仿宋_GB2312" w:hAnsi="Times New Roman" w:eastAsia="仿宋_GB2312" w:cs="Times New Roman"/>
          <w:bCs/>
          <w:color w:val="auto"/>
          <w:sz w:val="32"/>
          <w:szCs w:val="32"/>
        </w:rPr>
        <w:t>以</w:t>
      </w:r>
      <w:r>
        <w:rPr>
          <w:rFonts w:hint="eastAsia" w:ascii="仿宋_GB2312" w:hAnsi="Times New Roman" w:eastAsia="仿宋_GB2312" w:cs="Times New Roman"/>
          <w:bCs/>
          <w:color w:val="auto"/>
          <w:sz w:val="32"/>
          <w:szCs w:val="32"/>
          <w:lang w:val="en-US" w:eastAsia="zh-CN"/>
        </w:rPr>
        <w:t>骨干企业</w:t>
      </w:r>
      <w:r>
        <w:rPr>
          <w:rFonts w:hint="default" w:ascii="仿宋_GB2312" w:hAnsi="Times New Roman" w:eastAsia="仿宋_GB2312" w:cs="Times New Roman"/>
          <w:bCs/>
          <w:color w:val="auto"/>
          <w:sz w:val="32"/>
          <w:szCs w:val="32"/>
        </w:rPr>
        <w:t>为</w:t>
      </w:r>
      <w:r>
        <w:rPr>
          <w:rFonts w:hint="default" w:ascii="仿宋_GB2312" w:hAnsi="Times New Roman" w:eastAsia="仿宋_GB2312" w:cs="Times New Roman"/>
          <w:bCs/>
          <w:color w:val="auto"/>
          <w:sz w:val="32"/>
          <w:szCs w:val="32"/>
          <w:lang w:val="en-US" w:eastAsia="zh-CN"/>
        </w:rPr>
        <w:t>依托</w:t>
      </w:r>
      <w:r>
        <w:rPr>
          <w:rFonts w:hint="default" w:ascii="仿宋_GB2312" w:hAnsi="Times New Roman" w:eastAsia="仿宋_GB2312" w:cs="Times New Roman"/>
          <w:bCs/>
          <w:color w:val="auto"/>
          <w:sz w:val="32"/>
          <w:szCs w:val="32"/>
        </w:rPr>
        <w:t>，以</w:t>
      </w:r>
      <w:r>
        <w:rPr>
          <w:rFonts w:hint="eastAsia" w:ascii="仿宋_GB2312" w:hAnsi="Times New Roman" w:eastAsia="仿宋_GB2312" w:cs="Times New Roman"/>
          <w:bCs/>
          <w:color w:val="auto"/>
          <w:sz w:val="32"/>
          <w:szCs w:val="32"/>
        </w:rPr>
        <w:t>先进药物递释</w:t>
      </w:r>
      <w:r>
        <w:rPr>
          <w:rFonts w:hint="eastAsia" w:ascii="仿宋_GB2312" w:hAnsi="Times New Roman" w:eastAsia="仿宋_GB2312" w:cs="Times New Roman"/>
          <w:bCs/>
          <w:color w:val="auto"/>
          <w:sz w:val="32"/>
          <w:szCs w:val="32"/>
          <w:lang w:val="en-US" w:eastAsia="zh-CN"/>
        </w:rPr>
        <w:t>系统</w:t>
      </w:r>
      <w:r>
        <w:rPr>
          <w:rFonts w:hint="eastAsia" w:ascii="仿宋_GB2312" w:hAnsi="Times New Roman" w:eastAsia="仿宋_GB2312" w:cs="Times New Roman"/>
          <w:bCs/>
          <w:color w:val="auto"/>
          <w:sz w:val="32"/>
          <w:szCs w:val="32"/>
        </w:rPr>
        <w:t>全国重点实验室</w:t>
      </w:r>
      <w:r>
        <w:rPr>
          <w:rFonts w:hint="default" w:ascii="仿宋_GB2312" w:hAnsi="Times New Roman" w:eastAsia="仿宋_GB2312" w:cs="Times New Roman"/>
          <w:bCs/>
          <w:color w:val="auto"/>
          <w:sz w:val="32"/>
          <w:szCs w:val="32"/>
          <w:lang w:eastAsia="zh-CN"/>
        </w:rPr>
        <w:t>、</w:t>
      </w:r>
      <w:r>
        <w:rPr>
          <w:rFonts w:hint="default" w:ascii="仿宋_GB2312" w:hAnsi="Times New Roman" w:eastAsia="仿宋_GB2312" w:cs="Times New Roman"/>
          <w:bCs/>
          <w:color w:val="auto"/>
          <w:sz w:val="32"/>
          <w:szCs w:val="32"/>
        </w:rPr>
        <w:t>烟台医药健康公共技术服务平台</w:t>
      </w:r>
      <w:r>
        <w:rPr>
          <w:rFonts w:hint="default" w:ascii="仿宋_GB2312" w:hAnsi="Times New Roman" w:eastAsia="仿宋_GB2312" w:cs="Times New Roman"/>
          <w:bCs/>
          <w:color w:val="auto"/>
          <w:sz w:val="32"/>
          <w:szCs w:val="32"/>
          <w:lang w:val="en-US" w:eastAsia="zh-CN"/>
        </w:rPr>
        <w:t>等高能级创新平台</w:t>
      </w:r>
      <w:r>
        <w:rPr>
          <w:rFonts w:hint="default" w:ascii="仿宋_GB2312" w:hAnsi="Times New Roman" w:eastAsia="仿宋_GB2312" w:cs="Times New Roman"/>
          <w:bCs/>
          <w:color w:val="auto"/>
          <w:sz w:val="32"/>
          <w:szCs w:val="32"/>
        </w:rPr>
        <w:t>为</w:t>
      </w:r>
      <w:r>
        <w:rPr>
          <w:rFonts w:hint="eastAsia" w:ascii="仿宋_GB2312" w:hAnsi="Times New Roman" w:eastAsia="仿宋_GB2312" w:cs="Times New Roman"/>
          <w:bCs/>
          <w:color w:val="auto"/>
          <w:sz w:val="32"/>
          <w:szCs w:val="32"/>
          <w:lang w:val="en-US" w:eastAsia="zh-CN"/>
        </w:rPr>
        <w:t>牵引</w:t>
      </w:r>
      <w:r>
        <w:rPr>
          <w:rFonts w:hint="default" w:ascii="仿宋_GB2312" w:hAnsi="Times New Roman" w:eastAsia="仿宋_GB2312" w:cs="Times New Roman"/>
          <w:bCs/>
          <w:color w:val="auto"/>
          <w:sz w:val="32"/>
          <w:szCs w:val="32"/>
        </w:rPr>
        <w:t>，</w:t>
      </w:r>
      <w:r>
        <w:rPr>
          <w:rFonts w:hint="default" w:ascii="仿宋_GB2312" w:hAnsi="Times New Roman" w:eastAsia="仿宋_GB2312" w:cs="Times New Roman"/>
          <w:bCs/>
          <w:color w:val="auto"/>
          <w:sz w:val="32"/>
          <w:szCs w:val="32"/>
          <w:lang w:val="en-US" w:eastAsia="zh-CN"/>
        </w:rPr>
        <w:t>深耕</w:t>
      </w:r>
      <w:r>
        <w:rPr>
          <w:rFonts w:hint="default" w:ascii="仿宋_GB2312" w:hAnsi="Times New Roman" w:eastAsia="仿宋_GB2312" w:cs="Times New Roman"/>
          <w:bCs/>
          <w:color w:val="auto"/>
          <w:sz w:val="32"/>
          <w:szCs w:val="32"/>
        </w:rPr>
        <w:t>抗体药物、新型制剂、医用同位素</w:t>
      </w:r>
      <w:r>
        <w:rPr>
          <w:rFonts w:hint="default" w:ascii="仿宋_GB2312" w:hAnsi="Times New Roman" w:eastAsia="仿宋_GB2312" w:cs="Times New Roman"/>
          <w:bCs/>
          <w:color w:val="auto"/>
          <w:sz w:val="32"/>
          <w:szCs w:val="32"/>
          <w:lang w:eastAsia="zh-CN"/>
        </w:rPr>
        <w:t>、</w:t>
      </w:r>
      <w:r>
        <w:rPr>
          <w:rFonts w:hint="default" w:ascii="仿宋_GB2312" w:hAnsi="Times New Roman" w:eastAsia="仿宋_GB2312" w:cs="Times New Roman"/>
          <w:bCs/>
          <w:color w:val="auto"/>
          <w:sz w:val="32"/>
          <w:szCs w:val="32"/>
        </w:rPr>
        <w:t>缓释类药物等优势领域，探索细胞药物</w:t>
      </w:r>
      <w:r>
        <w:rPr>
          <w:rFonts w:hint="default" w:ascii="仿宋_GB2312" w:hAnsi="Times New Roman" w:eastAsia="仿宋_GB2312" w:cs="Times New Roman"/>
          <w:bCs/>
          <w:color w:val="auto"/>
          <w:sz w:val="32"/>
          <w:szCs w:val="32"/>
          <w:lang w:val="en-US" w:eastAsia="zh-CN"/>
        </w:rPr>
        <w:t>等生物创新药</w:t>
      </w:r>
      <w:r>
        <w:rPr>
          <w:rFonts w:hint="default" w:ascii="仿宋_GB2312" w:hAnsi="Times New Roman" w:eastAsia="仿宋_GB2312" w:cs="Times New Roman"/>
          <w:bCs/>
          <w:color w:val="auto"/>
          <w:sz w:val="32"/>
          <w:szCs w:val="32"/>
        </w:rPr>
        <w:t>研发，</w:t>
      </w:r>
      <w:r>
        <w:rPr>
          <w:rFonts w:hint="default" w:ascii="仿宋_GB2312" w:hAnsi="Times New Roman" w:eastAsia="仿宋_GB2312" w:cs="Times New Roman"/>
          <w:bCs/>
          <w:color w:val="auto"/>
          <w:sz w:val="32"/>
          <w:szCs w:val="32"/>
          <w:lang w:val="en-US" w:eastAsia="zh-CN"/>
        </w:rPr>
        <w:t>积极</w:t>
      </w:r>
      <w:r>
        <w:rPr>
          <w:rFonts w:hint="default" w:ascii="仿宋_GB2312" w:hAnsi="Times New Roman" w:eastAsia="仿宋_GB2312" w:cs="Times New Roman"/>
          <w:bCs/>
          <w:color w:val="auto"/>
          <w:sz w:val="32"/>
          <w:szCs w:val="32"/>
        </w:rPr>
        <w:t>开展中药新药研发生产，持续引进</w:t>
      </w:r>
      <w:r>
        <w:rPr>
          <w:rFonts w:hint="eastAsia" w:ascii="仿宋_GB2312" w:hAnsi="仿宋_GB2312" w:eastAsia="仿宋_GB2312" w:cs="仿宋_GB2312"/>
          <w:bCs/>
          <w:color w:val="auto"/>
          <w:sz w:val="32"/>
          <w:szCs w:val="32"/>
        </w:rPr>
        <w:t>CRO</w:t>
      </w:r>
      <w:r>
        <w:rPr>
          <w:rFonts w:hint="default" w:ascii="仿宋_GB2312" w:hAnsi="Times New Roman" w:eastAsia="仿宋_GB2312" w:cs="Times New Roman"/>
          <w:bCs/>
          <w:color w:val="auto"/>
          <w:sz w:val="32"/>
          <w:szCs w:val="32"/>
        </w:rPr>
        <w:t>企业、医药研发百强企业，加快新药产业化步伐</w:t>
      </w:r>
      <w:r>
        <w:rPr>
          <w:rFonts w:hint="default" w:ascii="仿宋_GB2312" w:hAnsi="Times New Roman" w:eastAsia="仿宋_GB2312" w:cs="Times New Roman"/>
          <w:bCs/>
          <w:color w:val="auto"/>
          <w:sz w:val="32"/>
          <w:szCs w:val="32"/>
          <w:lang w:eastAsia="zh-CN"/>
        </w:rPr>
        <w:t>，</w:t>
      </w:r>
      <w:r>
        <w:rPr>
          <w:rFonts w:hint="eastAsia" w:ascii="仿宋_GB2312" w:hAnsi="仿宋_GB2312" w:eastAsia="仿宋_GB2312" w:cs="仿宋_GB2312"/>
          <w:bCs/>
          <w:color w:val="auto"/>
          <w:sz w:val="32"/>
          <w:szCs w:val="32"/>
        </w:rPr>
        <w:t>形成“研发-临床-制造-应用”全</w:t>
      </w:r>
      <w:r>
        <w:rPr>
          <w:rFonts w:ascii="仿宋_GB2312" w:hAnsi="Times New Roman" w:eastAsia="仿宋_GB2312" w:cs="Times New Roman"/>
          <w:bCs/>
          <w:color w:val="auto"/>
          <w:sz w:val="32"/>
          <w:szCs w:val="32"/>
        </w:rPr>
        <w:t>链条协同，</w:t>
      </w:r>
      <w:r>
        <w:rPr>
          <w:rFonts w:hint="eastAsia" w:ascii="仿宋_GB2312" w:hAnsi="Times New Roman" w:eastAsia="仿宋_GB2312" w:cs="Times New Roman"/>
          <w:bCs/>
          <w:color w:val="auto"/>
          <w:sz w:val="32"/>
          <w:szCs w:val="32"/>
        </w:rPr>
        <w:t>打造特色药物研发中心和产业化高地</w:t>
      </w:r>
      <w:r>
        <w:rPr>
          <w:rFonts w:hint="default" w:ascii="仿宋_GB2312" w:hAnsi="Times New Roman" w:eastAsia="仿宋_GB2312" w:cs="Times New Roman"/>
          <w:bCs/>
          <w:color w:val="auto"/>
          <w:sz w:val="32"/>
          <w:szCs w:val="32"/>
          <w:lang w:eastAsia="zh-CN"/>
        </w:rPr>
        <w:t>。</w:t>
      </w:r>
    </w:p>
    <w:p w14:paraId="6552C1F7">
      <w:pPr>
        <w:spacing w:line="560" w:lineRule="exact"/>
        <w:ind w:firstLine="640" w:firstLineChars="200"/>
        <w:rPr>
          <w:rFonts w:hint="eastAsia" w:ascii="仿宋_GB2312" w:hAnsi="Times New Roman" w:eastAsia="仿宋_GB2312" w:cs="Times New Roman"/>
          <w:b/>
          <w:bCs/>
          <w:color w:val="auto"/>
          <w:sz w:val="32"/>
          <w:szCs w:val="22"/>
        </w:rPr>
      </w:pPr>
      <w:r>
        <w:rPr>
          <w:rFonts w:hint="eastAsia" w:ascii="仿宋_GB2312" w:hAnsi="Times New Roman" w:eastAsia="仿宋_GB2312" w:cs="Times New Roman"/>
          <w:b w:val="0"/>
          <w:bCs w:val="0"/>
          <w:color w:val="auto"/>
          <w:sz w:val="32"/>
          <w:szCs w:val="22"/>
        </w:rPr>
        <w:t>——生物</w:t>
      </w:r>
      <w:r>
        <w:rPr>
          <w:rFonts w:hint="eastAsia" w:ascii="仿宋_GB2312" w:hAnsi="Times New Roman" w:eastAsia="仿宋_GB2312" w:cs="Times New Roman"/>
          <w:b w:val="0"/>
          <w:bCs w:val="0"/>
          <w:color w:val="auto"/>
          <w:sz w:val="32"/>
          <w:szCs w:val="22"/>
          <w:lang w:val="en-US" w:eastAsia="zh-CN"/>
        </w:rPr>
        <w:t>制品</w:t>
      </w:r>
      <w:r>
        <w:rPr>
          <w:rFonts w:hint="eastAsia" w:ascii="仿宋_GB2312" w:hAnsi="Times New Roman" w:eastAsia="仿宋_GB2312" w:cs="Times New Roman"/>
          <w:b w:val="0"/>
          <w:bCs w:val="0"/>
          <w:color w:val="auto"/>
          <w:sz w:val="32"/>
          <w:szCs w:val="22"/>
        </w:rPr>
        <w:t>。</w:t>
      </w:r>
      <w:r>
        <w:rPr>
          <w:rFonts w:hint="eastAsia" w:ascii="Times New Roman" w:hAnsi="Times New Roman" w:eastAsia="仿宋_GB2312" w:cs="Times New Roman"/>
          <w:color w:val="auto"/>
          <w:sz w:val="32"/>
          <w:szCs w:val="22"/>
        </w:rPr>
        <w:t>立足抗体药物偶联、双特异</w:t>
      </w:r>
      <w:r>
        <w:rPr>
          <w:rFonts w:hint="eastAsia" w:ascii="仿宋_GB2312" w:hAnsi="仿宋_GB2312" w:eastAsia="仿宋_GB2312" w:cs="仿宋_GB2312"/>
          <w:color w:val="auto"/>
          <w:sz w:val="32"/>
          <w:szCs w:val="22"/>
        </w:rPr>
        <w:t>T-cell Engager、</w:t>
      </w:r>
      <w:r>
        <w:rPr>
          <w:rFonts w:hint="eastAsia" w:ascii="Times New Roman" w:hAnsi="Times New Roman" w:eastAsia="仿宋_GB2312" w:cs="Times New Roman"/>
          <w:color w:val="auto"/>
          <w:sz w:val="32"/>
          <w:szCs w:val="22"/>
        </w:rPr>
        <w:t>细胞治疗、纳米药物递送等生物药研发平台优势，重点突破重组抗体、药物偶联物、药物递送、核酸药物非病毒载体等关键技术，</w:t>
      </w:r>
      <w:r>
        <w:rPr>
          <w:rFonts w:hint="eastAsia" w:ascii="Times New Roman" w:hAnsi="Times New Roman" w:eastAsia="仿宋_GB2312" w:cs="Times New Roman"/>
          <w:color w:val="auto"/>
          <w:sz w:val="32"/>
          <w:szCs w:val="22"/>
          <w:lang w:val="en-US" w:eastAsia="zh-CN"/>
        </w:rPr>
        <w:t>重点发展分子类、蛋白类、细胞类</w:t>
      </w:r>
      <w:r>
        <w:rPr>
          <w:rFonts w:hint="eastAsia" w:ascii="Times New Roman" w:hAnsi="Times New Roman" w:eastAsia="仿宋_GB2312" w:cs="Times New Roman"/>
          <w:color w:val="auto"/>
          <w:sz w:val="32"/>
          <w:szCs w:val="22"/>
        </w:rPr>
        <w:t>生物制剂</w:t>
      </w:r>
      <w:r>
        <w:rPr>
          <w:rFonts w:hint="eastAsia" w:ascii="Times New Roman" w:hAnsi="Times New Roman" w:eastAsia="仿宋_GB2312" w:cs="Times New Roman"/>
          <w:color w:val="auto"/>
          <w:sz w:val="32"/>
          <w:szCs w:val="22"/>
          <w:lang w:val="en-US" w:eastAsia="zh-CN"/>
        </w:rPr>
        <w:t>及病毒递送载体，做强基于抗肿瘤、自身免疫性疾病的人源化或全人源抗体</w:t>
      </w:r>
      <w:r>
        <w:rPr>
          <w:rFonts w:hint="eastAsia" w:ascii="Times New Roman" w:hAnsi="Times New Roman" w:eastAsia="仿宋_GB2312" w:cs="Times New Roman"/>
          <w:color w:val="auto"/>
          <w:sz w:val="32"/>
          <w:szCs w:val="22"/>
        </w:rPr>
        <w:t>、抗体偶联药物、双特异性抗体</w:t>
      </w:r>
      <w:r>
        <w:rPr>
          <w:rFonts w:hint="eastAsia" w:ascii="仿宋_GB2312" w:hAnsi="仿宋_GB2312" w:eastAsia="仿宋_GB2312" w:cs="仿宋_GB2312"/>
          <w:color w:val="auto"/>
          <w:sz w:val="32"/>
          <w:szCs w:val="22"/>
        </w:rPr>
        <w:t>、Fc融合蛋白</w:t>
      </w:r>
      <w:r>
        <w:rPr>
          <w:rFonts w:hint="eastAsia" w:ascii="仿宋_GB2312" w:hAnsi="仿宋_GB2312" w:eastAsia="仿宋_GB2312" w:cs="仿宋_GB2312"/>
          <w:color w:val="auto"/>
          <w:sz w:val="32"/>
          <w:szCs w:val="22"/>
          <w:lang w:val="en-US" w:eastAsia="zh-CN"/>
        </w:rPr>
        <w:t>等</w:t>
      </w:r>
      <w:r>
        <w:rPr>
          <w:rFonts w:hint="eastAsia" w:ascii="仿宋_GB2312" w:hAnsi="仿宋_GB2312" w:eastAsia="仿宋_GB2312" w:cs="仿宋_GB2312"/>
          <w:color w:val="auto"/>
          <w:sz w:val="32"/>
          <w:szCs w:val="22"/>
        </w:rPr>
        <w:t>抗体药物</w:t>
      </w:r>
      <w:r>
        <w:rPr>
          <w:rFonts w:hint="eastAsia" w:ascii="仿宋_GB2312" w:hAnsi="仿宋_GB2312" w:eastAsia="仿宋_GB2312" w:cs="仿宋_GB2312"/>
          <w:color w:val="auto"/>
          <w:sz w:val="32"/>
          <w:szCs w:val="22"/>
          <w:lang w:eastAsia="zh-CN"/>
        </w:rPr>
        <w:t>，</w:t>
      </w:r>
      <w:r>
        <w:rPr>
          <w:rFonts w:hint="eastAsia" w:ascii="仿宋_GB2312" w:hAnsi="仿宋_GB2312" w:eastAsia="仿宋_GB2312" w:cs="仿宋_GB2312"/>
          <w:color w:val="auto"/>
          <w:sz w:val="32"/>
          <w:szCs w:val="22"/>
          <w:lang w:val="en-US" w:eastAsia="zh-CN"/>
        </w:rPr>
        <w:t>引领发展</w:t>
      </w:r>
      <w:r>
        <w:rPr>
          <w:rFonts w:hint="eastAsia" w:ascii="仿宋_GB2312" w:hAnsi="仿宋_GB2312" w:eastAsia="仿宋_GB2312" w:cs="仿宋_GB2312"/>
          <w:color w:val="auto"/>
          <w:sz w:val="32"/>
          <w:szCs w:val="22"/>
        </w:rPr>
        <w:t>基因工程疫苗</w:t>
      </w:r>
      <w:r>
        <w:rPr>
          <w:rFonts w:hint="eastAsia" w:ascii="仿宋_GB2312" w:hAnsi="仿宋_GB2312" w:eastAsia="仿宋_GB2312" w:cs="仿宋_GB2312"/>
          <w:color w:val="auto"/>
          <w:sz w:val="32"/>
          <w:szCs w:val="22"/>
          <w:lang w:eastAsia="zh-CN"/>
        </w:rPr>
        <w:t>、</w:t>
      </w:r>
      <w:r>
        <w:rPr>
          <w:rFonts w:hint="eastAsia" w:ascii="仿宋_GB2312" w:hAnsi="仿宋_GB2312" w:eastAsia="仿宋_GB2312" w:cs="仿宋_GB2312"/>
          <w:color w:val="auto"/>
          <w:sz w:val="32"/>
          <w:szCs w:val="22"/>
        </w:rPr>
        <w:t>核酸疫苗、病毒载体疫苗、mRNA疫</w:t>
      </w:r>
      <w:r>
        <w:rPr>
          <w:rFonts w:hint="eastAsia" w:ascii="Times New Roman" w:hAnsi="Times New Roman" w:eastAsia="仿宋_GB2312" w:cs="Times New Roman"/>
          <w:color w:val="auto"/>
          <w:sz w:val="32"/>
          <w:szCs w:val="22"/>
        </w:rPr>
        <w:t>苗、多联多价疫苗</w:t>
      </w:r>
      <w:r>
        <w:rPr>
          <w:rFonts w:hint="eastAsia" w:ascii="Times New Roman" w:hAnsi="Times New Roman" w:eastAsia="仿宋_GB2312" w:cs="Times New Roman"/>
          <w:color w:val="auto"/>
          <w:sz w:val="32"/>
          <w:szCs w:val="22"/>
          <w:lang w:val="en-US" w:eastAsia="zh-CN"/>
        </w:rPr>
        <w:t>等</w:t>
      </w:r>
      <w:r>
        <w:rPr>
          <w:rFonts w:hint="eastAsia" w:ascii="Times New Roman" w:hAnsi="Times New Roman" w:eastAsia="仿宋_GB2312" w:cs="Times New Roman"/>
          <w:color w:val="auto"/>
          <w:sz w:val="32"/>
          <w:szCs w:val="22"/>
        </w:rPr>
        <w:t>新型疫苗</w:t>
      </w:r>
      <w:r>
        <w:rPr>
          <w:rFonts w:hint="eastAsia" w:ascii="Times New Roman" w:hAnsi="Times New Roman" w:eastAsia="仿宋_GB2312" w:cs="Times New Roman"/>
          <w:color w:val="auto"/>
          <w:sz w:val="32"/>
          <w:szCs w:val="22"/>
          <w:lang w:val="en-US" w:eastAsia="zh-CN"/>
        </w:rPr>
        <w:t>，巩固发展</w:t>
      </w:r>
      <w:r>
        <w:rPr>
          <w:rFonts w:hint="eastAsia" w:ascii="Times New Roman" w:hAnsi="Times New Roman" w:eastAsia="仿宋_GB2312" w:cs="Times New Roman"/>
          <w:color w:val="auto"/>
          <w:sz w:val="32"/>
          <w:szCs w:val="22"/>
        </w:rPr>
        <w:t>酶替代重组蛋白药物、重组生长激素、重组胰岛素、重组人白蛋白等重组蛋白</w:t>
      </w:r>
      <w:r>
        <w:rPr>
          <w:rFonts w:hint="eastAsia" w:ascii="Times New Roman" w:hAnsi="Times New Roman" w:eastAsia="仿宋_GB2312" w:cs="Times New Roman"/>
          <w:color w:val="auto"/>
          <w:sz w:val="32"/>
          <w:szCs w:val="22"/>
          <w:lang w:eastAsia="zh-CN"/>
        </w:rPr>
        <w:t>，</w:t>
      </w:r>
      <w:r>
        <w:rPr>
          <w:rFonts w:hint="eastAsia" w:ascii="Times New Roman" w:hAnsi="Times New Roman" w:eastAsia="仿宋_GB2312" w:cs="Times New Roman"/>
          <w:color w:val="auto"/>
          <w:sz w:val="32"/>
          <w:szCs w:val="22"/>
        </w:rPr>
        <w:t>打造生物</w:t>
      </w:r>
      <w:r>
        <w:rPr>
          <w:rFonts w:hint="eastAsia" w:ascii="Times New Roman" w:hAnsi="Times New Roman" w:eastAsia="仿宋_GB2312" w:cs="Times New Roman"/>
          <w:color w:val="auto"/>
          <w:sz w:val="32"/>
          <w:szCs w:val="22"/>
          <w:lang w:val="en-US" w:eastAsia="zh-CN"/>
        </w:rPr>
        <w:t>制品</w:t>
      </w:r>
      <w:r>
        <w:rPr>
          <w:rFonts w:hint="eastAsia" w:ascii="Times New Roman" w:hAnsi="Times New Roman" w:eastAsia="仿宋_GB2312" w:cs="Times New Roman"/>
          <w:color w:val="auto"/>
          <w:sz w:val="32"/>
          <w:szCs w:val="22"/>
        </w:rPr>
        <w:t>创新高地。</w:t>
      </w:r>
    </w:p>
    <w:p w14:paraId="00D59A8A">
      <w:pPr>
        <w:spacing w:line="560" w:lineRule="exact"/>
        <w:ind w:firstLine="640" w:firstLineChars="200"/>
        <w:rPr>
          <w:rFonts w:hint="eastAsia" w:ascii="仿宋_GB2312" w:hAnsi="Times New Roman" w:eastAsia="仿宋_GB2312" w:cs="Times New Roman"/>
          <w:b/>
          <w:bCs/>
          <w:color w:val="auto"/>
          <w:sz w:val="32"/>
          <w:szCs w:val="22"/>
        </w:rPr>
      </w:pPr>
      <w:r>
        <w:rPr>
          <w:rFonts w:hint="eastAsia" w:ascii="仿宋_GB2312" w:hAnsi="Times New Roman" w:eastAsia="仿宋_GB2312" w:cs="Times New Roman"/>
          <w:b w:val="0"/>
          <w:bCs w:val="0"/>
          <w:color w:val="auto"/>
          <w:sz w:val="32"/>
          <w:szCs w:val="22"/>
        </w:rPr>
        <w:t>——高端医疗器械。</w:t>
      </w:r>
      <w:r>
        <w:rPr>
          <w:rFonts w:hint="eastAsia" w:ascii="Times New Roman" w:hAnsi="Times New Roman" w:eastAsia="仿宋_GB2312" w:cs="Times New Roman"/>
          <w:b w:val="0"/>
          <w:bCs w:val="0"/>
          <w:color w:val="auto"/>
          <w:sz w:val="32"/>
          <w:szCs w:val="22"/>
        </w:rPr>
        <w:t>把</w:t>
      </w:r>
      <w:r>
        <w:rPr>
          <w:rFonts w:hint="eastAsia" w:ascii="Times New Roman" w:hAnsi="Times New Roman" w:eastAsia="仿宋_GB2312" w:cs="Times New Roman"/>
          <w:color w:val="auto"/>
          <w:sz w:val="32"/>
          <w:szCs w:val="22"/>
        </w:rPr>
        <w:t>握高端医疗器械国产替代、数智创新趋势，</w:t>
      </w:r>
      <w:r>
        <w:rPr>
          <w:rFonts w:ascii="Times New Roman" w:hAnsi="Times New Roman" w:eastAsia="仿宋_GB2312" w:cs="Times New Roman"/>
          <w:color w:val="auto"/>
          <w:sz w:val="32"/>
          <w:szCs w:val="22"/>
        </w:rPr>
        <w:t>建设</w:t>
      </w:r>
      <w:r>
        <w:rPr>
          <w:rFonts w:hint="eastAsia" w:ascii="仿宋_GB2312" w:hAnsi="仿宋_GB2312" w:eastAsia="仿宋_GB2312" w:cs="仿宋_GB2312"/>
          <w:color w:val="auto"/>
          <w:sz w:val="32"/>
          <w:szCs w:val="22"/>
        </w:rPr>
        <w:t>IVD</w:t>
      </w:r>
      <w:r>
        <w:rPr>
          <w:rFonts w:ascii="Times New Roman" w:hAnsi="Times New Roman" w:eastAsia="仿宋_GB2312" w:cs="Times New Roman"/>
          <w:color w:val="auto"/>
          <w:sz w:val="32"/>
          <w:szCs w:val="22"/>
        </w:rPr>
        <w:t>医疗器械产业园，突破体外诊断设备、生物膜等核心产品，</w:t>
      </w:r>
      <w:r>
        <w:rPr>
          <w:rFonts w:hint="eastAsia" w:ascii="Times New Roman" w:hAnsi="Times New Roman" w:eastAsia="仿宋_GB2312" w:cs="Times New Roman"/>
          <w:color w:val="auto"/>
          <w:sz w:val="32"/>
          <w:szCs w:val="22"/>
        </w:rPr>
        <w:t>在体外诊断、植介入器械、海洋生物医用材料等细分领域做深做精，</w:t>
      </w:r>
      <w:r>
        <w:rPr>
          <w:rFonts w:ascii="Times New Roman" w:hAnsi="Times New Roman" w:eastAsia="仿宋_GB2312" w:cs="Times New Roman"/>
          <w:color w:val="auto"/>
          <w:sz w:val="32"/>
          <w:szCs w:val="22"/>
        </w:rPr>
        <w:t>前瞻布局智能医疗装备新赛道</w:t>
      </w:r>
      <w:r>
        <w:rPr>
          <w:rFonts w:hint="eastAsia" w:ascii="Times New Roman" w:hAnsi="Times New Roman" w:eastAsia="仿宋_GB2312" w:cs="Times New Roman"/>
          <w:color w:val="auto"/>
          <w:sz w:val="32"/>
          <w:szCs w:val="22"/>
        </w:rPr>
        <w:t>，</w:t>
      </w:r>
      <w:r>
        <w:rPr>
          <w:rFonts w:hint="eastAsia" w:ascii="Times New Roman" w:hAnsi="Times New Roman" w:eastAsia="仿宋_GB2312" w:cs="Times New Roman"/>
          <w:color w:val="auto"/>
          <w:kern w:val="2"/>
          <w:sz w:val="32"/>
          <w:szCs w:val="22"/>
          <w:lang w:val="en-US" w:eastAsia="zh-CN" w:bidi="ar"/>
        </w:rPr>
        <w:t>研发智能微压氧舱、便携式康复氧疗、智能按摩、生理监测及居家康复监测设备</w:t>
      </w:r>
      <w:r>
        <w:rPr>
          <w:rFonts w:hint="eastAsia" w:ascii="Times New Roman" w:hAnsi="Times New Roman" w:eastAsia="仿宋_GB2312" w:cs="Times New Roman"/>
          <w:color w:val="auto"/>
          <w:kern w:val="2"/>
          <w:sz w:val="32"/>
          <w:szCs w:val="22"/>
          <w:lang w:eastAsia="zh-CN" w:bidi="ar"/>
        </w:rPr>
        <w:t>，</w:t>
      </w:r>
      <w:r>
        <w:rPr>
          <w:rFonts w:hint="eastAsia" w:ascii="Times New Roman" w:hAnsi="Times New Roman" w:eastAsia="仿宋_GB2312" w:cs="Times New Roman"/>
          <w:color w:val="auto"/>
          <w:kern w:val="2"/>
          <w:sz w:val="32"/>
          <w:szCs w:val="22"/>
          <w:lang w:val="en-US" w:eastAsia="zh-CN" w:bidi="ar"/>
        </w:rPr>
        <w:t>打造“医疗器械+健康服务”融合发展新业态，积极开发康复机器人，</w:t>
      </w:r>
      <w:r>
        <w:rPr>
          <w:rFonts w:hint="eastAsia" w:ascii="Times New Roman" w:hAnsi="Times New Roman" w:eastAsia="仿宋_GB2312" w:cs="Times New Roman"/>
          <w:color w:val="auto"/>
          <w:sz w:val="32"/>
          <w:szCs w:val="22"/>
        </w:rPr>
        <w:t>促进本地创新产品在公立医疗机构的采购与应用，壮大高端医疗器械产业集群。</w:t>
      </w:r>
    </w:p>
    <w:p w14:paraId="7675EF7E">
      <w:pPr>
        <w:spacing w:line="560" w:lineRule="exact"/>
        <w:ind w:firstLine="640" w:firstLineChars="200"/>
        <w:rPr>
          <w:rFonts w:hint="eastAsia" w:ascii="仿宋_GB2312" w:hAnsi="Times New Roman" w:eastAsia="仿宋_GB2312" w:cs="Times New Roman"/>
          <w:b/>
          <w:bCs/>
          <w:color w:val="auto"/>
          <w:sz w:val="32"/>
          <w:szCs w:val="22"/>
        </w:rPr>
      </w:pPr>
      <w:r>
        <w:rPr>
          <w:rFonts w:hint="eastAsia" w:ascii="仿宋_GB2312" w:hAnsi="Times New Roman" w:eastAsia="仿宋_GB2312" w:cs="Times New Roman"/>
          <w:b w:val="0"/>
          <w:bCs w:val="0"/>
          <w:color w:val="auto"/>
          <w:sz w:val="32"/>
          <w:szCs w:val="22"/>
        </w:rPr>
        <w:t>——</w:t>
      </w:r>
      <w:r>
        <w:rPr>
          <w:rFonts w:hint="eastAsia" w:ascii="仿宋_GB2312" w:hAnsi="Times New Roman" w:eastAsia="仿宋_GB2312" w:cs="Times New Roman"/>
          <w:b w:val="0"/>
          <w:bCs w:val="0"/>
          <w:color w:val="auto"/>
          <w:sz w:val="32"/>
          <w:szCs w:val="22"/>
          <w:lang w:val="en-US" w:eastAsia="zh-CN"/>
        </w:rPr>
        <w:t>保健与特膳</w:t>
      </w:r>
      <w:r>
        <w:rPr>
          <w:rFonts w:hint="eastAsia" w:ascii="仿宋_GB2312" w:hAnsi="Times New Roman" w:eastAsia="仿宋_GB2312" w:cs="Times New Roman"/>
          <w:b w:val="0"/>
          <w:bCs w:val="0"/>
          <w:color w:val="auto"/>
          <w:sz w:val="32"/>
          <w:szCs w:val="22"/>
        </w:rPr>
        <w:t>食品。</w:t>
      </w:r>
      <w:r>
        <w:rPr>
          <w:rFonts w:hint="eastAsia" w:ascii="Times New Roman" w:hAnsi="Times New Roman" w:eastAsia="仿宋_GB2312" w:cs="Times New Roman"/>
          <w:color w:val="auto"/>
          <w:sz w:val="32"/>
          <w:szCs w:val="22"/>
        </w:rPr>
        <w:t>搭建食品药品中试研发基地和检验检测平台，大力吸引</w:t>
      </w:r>
      <w:r>
        <w:rPr>
          <w:rFonts w:hint="eastAsia" w:ascii="Times New Roman" w:hAnsi="Times New Roman" w:eastAsia="仿宋_GB2312" w:cs="Times New Roman"/>
          <w:color w:val="auto"/>
          <w:sz w:val="32"/>
          <w:szCs w:val="22"/>
          <w:lang w:val="en-US" w:eastAsia="zh-CN"/>
        </w:rPr>
        <w:t>保健与特膳</w:t>
      </w:r>
      <w:r>
        <w:rPr>
          <w:rFonts w:hint="eastAsia" w:ascii="Times New Roman" w:hAnsi="Times New Roman" w:eastAsia="仿宋_GB2312" w:cs="Times New Roman"/>
          <w:color w:val="auto"/>
          <w:sz w:val="32"/>
          <w:szCs w:val="22"/>
        </w:rPr>
        <w:t>食品研发生产企业集聚，推进</w:t>
      </w:r>
      <w:r>
        <w:rPr>
          <w:rFonts w:ascii="Times New Roman" w:hAnsi="Times New Roman" w:eastAsia="仿宋_GB2312" w:cs="Times New Roman"/>
          <w:color w:val="auto"/>
          <w:sz w:val="32"/>
          <w:szCs w:val="22"/>
        </w:rPr>
        <w:t>特殊医学用途配方食品、新型保健食品、高端</w:t>
      </w:r>
      <w:r>
        <w:rPr>
          <w:rFonts w:hint="eastAsia" w:ascii="Times New Roman" w:hAnsi="Times New Roman" w:eastAsia="仿宋_GB2312" w:cs="Times New Roman"/>
          <w:color w:val="auto"/>
          <w:sz w:val="32"/>
          <w:szCs w:val="22"/>
        </w:rPr>
        <w:t>健康食品</w:t>
      </w:r>
      <w:r>
        <w:rPr>
          <w:rFonts w:ascii="Times New Roman" w:hAnsi="Times New Roman" w:eastAsia="仿宋_GB2312" w:cs="Times New Roman"/>
          <w:color w:val="auto"/>
          <w:sz w:val="32"/>
          <w:szCs w:val="22"/>
        </w:rPr>
        <w:t>的科技研发和应用，</w:t>
      </w:r>
      <w:r>
        <w:rPr>
          <w:rFonts w:ascii="仿宋_GB2312" w:hAnsi="Times New Roman" w:eastAsia="仿宋_GB2312" w:cs="Times New Roman"/>
          <w:bCs/>
          <w:color w:val="auto"/>
          <w:sz w:val="32"/>
          <w:szCs w:val="32"/>
        </w:rPr>
        <w:t>完善从原料研发到终端产品的全链条生态，</w:t>
      </w:r>
      <w:r>
        <w:rPr>
          <w:rFonts w:hint="eastAsia" w:ascii="Times New Roman" w:hAnsi="Times New Roman" w:eastAsia="仿宋_GB2312" w:cs="Times New Roman"/>
          <w:color w:val="auto"/>
          <w:sz w:val="32"/>
          <w:szCs w:val="22"/>
        </w:rPr>
        <w:t>强化制度创新提高特殊食品获批效率，培育形成</w:t>
      </w:r>
      <w:r>
        <w:rPr>
          <w:rFonts w:ascii="仿宋_GB2312" w:hAnsi="Times New Roman" w:eastAsia="仿宋_GB2312" w:cs="Times New Roman"/>
          <w:bCs/>
          <w:color w:val="auto"/>
          <w:sz w:val="32"/>
          <w:szCs w:val="32"/>
        </w:rPr>
        <w:t>超千种</w:t>
      </w:r>
      <w:r>
        <w:rPr>
          <w:rFonts w:hint="eastAsia" w:ascii="仿宋_GB2312" w:hAnsi="Times New Roman" w:eastAsia="仿宋_GB2312" w:cs="Times New Roman"/>
          <w:bCs/>
          <w:color w:val="auto"/>
          <w:sz w:val="32"/>
          <w:szCs w:val="32"/>
          <w:lang w:val="en-US" w:eastAsia="zh-CN"/>
        </w:rPr>
        <w:t>特殊食品</w:t>
      </w:r>
      <w:r>
        <w:rPr>
          <w:rFonts w:ascii="仿宋_GB2312" w:hAnsi="Times New Roman" w:eastAsia="仿宋_GB2312" w:cs="Times New Roman"/>
          <w:bCs/>
          <w:color w:val="auto"/>
          <w:sz w:val="32"/>
          <w:szCs w:val="32"/>
        </w:rPr>
        <w:t>产品矩阵</w:t>
      </w:r>
      <w:r>
        <w:rPr>
          <w:rFonts w:hint="eastAsia" w:ascii="仿宋_GB2312" w:hAnsi="Times New Roman" w:eastAsia="仿宋_GB2312" w:cs="Times New Roman"/>
          <w:bCs/>
          <w:color w:val="auto"/>
          <w:sz w:val="32"/>
          <w:szCs w:val="32"/>
          <w:lang w:eastAsia="zh-CN"/>
        </w:rPr>
        <w:t>。</w:t>
      </w:r>
    </w:p>
    <w:p w14:paraId="59960365">
      <w:pPr>
        <w:spacing w:line="560" w:lineRule="exact"/>
        <w:ind w:firstLine="640" w:firstLineChars="200"/>
        <w:rPr>
          <w:rFonts w:ascii="Times New Roman" w:hAnsi="Times New Roman" w:eastAsia="仿宋_GB2312" w:cs="Times New Roman"/>
          <w:color w:val="auto"/>
          <w:sz w:val="32"/>
          <w:szCs w:val="22"/>
        </w:rPr>
      </w:pPr>
      <w:r>
        <w:rPr>
          <w:rFonts w:hint="eastAsia" w:ascii="仿宋_GB2312" w:hAnsi="Times New Roman" w:eastAsia="仿宋_GB2312" w:cs="Times New Roman"/>
          <w:b w:val="0"/>
          <w:bCs w:val="0"/>
          <w:color w:val="auto"/>
          <w:sz w:val="32"/>
          <w:szCs w:val="22"/>
        </w:rPr>
        <w:t>——医疗康养服务。</w:t>
      </w:r>
      <w:r>
        <w:rPr>
          <w:rFonts w:hint="eastAsia" w:ascii="Times New Roman" w:hAnsi="Times New Roman" w:eastAsia="仿宋_GB2312" w:cs="Times New Roman"/>
          <w:color w:val="auto"/>
          <w:sz w:val="32"/>
          <w:szCs w:val="22"/>
        </w:rPr>
        <w:t>聚焦多层次多样化医疗康养服务需求，依托海洋资源优势，加大医疗康养机构引进，重点发展消费医疗、</w:t>
      </w:r>
      <w:r>
        <w:rPr>
          <w:rFonts w:hint="eastAsia" w:ascii="Times New Roman" w:hAnsi="Times New Roman" w:eastAsia="仿宋_GB2312" w:cs="Times New Roman"/>
          <w:color w:val="auto"/>
          <w:sz w:val="32"/>
          <w:szCs w:val="22"/>
          <w:lang w:val="en-US" w:eastAsia="zh-CN"/>
        </w:rPr>
        <w:t>健康管理、</w:t>
      </w:r>
      <w:r>
        <w:rPr>
          <w:rFonts w:hint="eastAsia" w:ascii="Times New Roman" w:hAnsi="Times New Roman" w:eastAsia="仿宋_GB2312" w:cs="Times New Roman"/>
          <w:color w:val="auto"/>
          <w:sz w:val="32"/>
          <w:szCs w:val="22"/>
        </w:rPr>
        <w:t>康养服务等赛道，</w:t>
      </w:r>
      <w:r>
        <w:rPr>
          <w:rFonts w:hint="eastAsia" w:ascii="Times New Roman" w:hAnsi="Times New Roman" w:eastAsia="仿宋_GB2312" w:cs="Times New Roman"/>
          <w:color w:val="auto"/>
          <w:kern w:val="2"/>
          <w:sz w:val="32"/>
          <w:szCs w:val="22"/>
          <w:lang w:val="en-US" w:eastAsia="zh-CN" w:bidi="ar"/>
        </w:rPr>
        <w:t>推动康养服务与医疗、旅游、地产等行业深度融合，开发以气候疗愈、海滨康复为特色的康养旅居产品，</w:t>
      </w:r>
      <w:r>
        <w:rPr>
          <w:rFonts w:hint="eastAsia" w:ascii="Times New Roman" w:hAnsi="Times New Roman" w:eastAsia="仿宋_GB2312" w:cs="Times New Roman"/>
          <w:color w:val="auto"/>
          <w:sz w:val="32"/>
          <w:szCs w:val="22"/>
        </w:rPr>
        <w:t>打造医疗康养服务首选地。</w:t>
      </w:r>
    </w:p>
    <w:p w14:paraId="6B0D0E35">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51" w:name="_Toc8451"/>
      <w:bookmarkStart w:id="52" w:name="_Toc230591537"/>
      <w:bookmarkStart w:id="53" w:name="_Toc174"/>
      <w:bookmarkStart w:id="54" w:name="_Toc27755"/>
      <w:bookmarkStart w:id="55" w:name="_Toc19529"/>
      <w:bookmarkStart w:id="56" w:name="_Toc230188699"/>
      <w:r>
        <w:rPr>
          <w:rFonts w:hint="eastAsia" w:ascii="黑体" w:hAnsi="黑体" w:eastAsia="黑体" w:cs="Times New Roman"/>
          <w:b w:val="0"/>
          <w:bCs w:val="0"/>
          <w:color w:val="auto"/>
          <w:kern w:val="2"/>
          <w:sz w:val="32"/>
          <w:szCs w:val="32"/>
          <w:lang w:val="en-US" w:eastAsia="zh-CN" w:bidi="ar-SA"/>
        </w:rPr>
        <w:t>第二节  做优航空航天产业</w:t>
      </w:r>
      <w:bookmarkEnd w:id="51"/>
      <w:bookmarkEnd w:id="52"/>
      <w:bookmarkEnd w:id="53"/>
      <w:bookmarkEnd w:id="54"/>
      <w:bookmarkEnd w:id="55"/>
      <w:bookmarkEnd w:id="56"/>
    </w:p>
    <w:p w14:paraId="6EE70342">
      <w:pPr>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rPr>
        <w:t>抢抓航空航天产业加速发展战略机遇，深度融入国家战略全局和省市航空航天产业总体布局，以空天高性能特种装备核心组件省级战略性新兴产业集群为牵引，聚焦卫星总装测试、卫星关键部组件研制、航空</w:t>
      </w:r>
      <w:r>
        <w:rPr>
          <w:rFonts w:hint="eastAsia" w:ascii="仿宋_GB2312" w:hAnsi="仿宋_GB2312" w:eastAsia="仿宋_GB2312" w:cs="仿宋_GB2312"/>
          <w:color w:val="auto"/>
          <w:sz w:val="32"/>
          <w:szCs w:val="32"/>
          <w:lang w:val="en-US" w:eastAsia="zh-CN"/>
        </w:rPr>
        <w:t>航天</w:t>
      </w:r>
      <w:r>
        <w:rPr>
          <w:rFonts w:hint="eastAsia" w:ascii="仿宋_GB2312" w:hAnsi="仿宋_GB2312" w:eastAsia="仿宋_GB2312" w:cs="仿宋_GB2312"/>
          <w:color w:val="auto"/>
          <w:sz w:val="32"/>
          <w:szCs w:val="32"/>
        </w:rPr>
        <w:t>核心零部件、空天信息应用</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rPr>
        <w:t>重点细分领域，着力补短板、强弱项、塑优势，持续提升产业集群完整性、协同性和核心竞</w:t>
      </w:r>
      <w:r>
        <w:rPr>
          <w:rFonts w:hint="eastAsia" w:ascii="仿宋_GB2312" w:hAnsi="仿宋_GB2312" w:eastAsia="仿宋_GB2312" w:cs="仿宋_GB2312"/>
          <w:color w:val="auto"/>
          <w:sz w:val="32"/>
          <w:szCs w:val="32"/>
          <w:highlight w:val="none"/>
        </w:rPr>
        <w:t>争力。</w:t>
      </w:r>
      <w:r>
        <w:rPr>
          <w:rFonts w:hint="eastAsia" w:ascii="仿宋_GB2312" w:hAnsi="仿宋_GB2312" w:eastAsia="仿宋_GB2312" w:cs="仿宋_GB2312"/>
          <w:color w:val="auto"/>
          <w:sz w:val="32"/>
          <w:szCs w:val="22"/>
          <w:highlight w:val="none"/>
          <w:u w:val="none"/>
        </w:rPr>
        <w:t>到20</w:t>
      </w:r>
      <w:r>
        <w:rPr>
          <w:rFonts w:hint="eastAsia" w:ascii="仿宋_GB2312" w:hAnsi="仿宋_GB2312" w:eastAsia="仿宋_GB2312" w:cs="仿宋_GB2312"/>
          <w:color w:val="auto"/>
          <w:sz w:val="32"/>
          <w:szCs w:val="22"/>
          <w:highlight w:val="none"/>
          <w:u w:val="none"/>
          <w:lang w:val="en-US" w:eastAsia="zh-CN"/>
        </w:rPr>
        <w:t>30</w:t>
      </w:r>
      <w:r>
        <w:rPr>
          <w:rFonts w:hint="eastAsia" w:ascii="仿宋_GB2312" w:hAnsi="仿宋_GB2312" w:eastAsia="仿宋_GB2312" w:cs="仿宋_GB2312"/>
          <w:color w:val="auto"/>
          <w:sz w:val="32"/>
          <w:szCs w:val="22"/>
          <w:highlight w:val="none"/>
          <w:u w:val="none"/>
        </w:rPr>
        <w:t>年，</w:t>
      </w:r>
      <w:r>
        <w:rPr>
          <w:rFonts w:hint="eastAsia" w:ascii="仿宋_GB2312" w:hAnsi="仿宋_GB2312" w:eastAsia="仿宋_GB2312" w:cs="仿宋_GB2312"/>
          <w:color w:val="auto"/>
          <w:sz w:val="32"/>
          <w:szCs w:val="22"/>
          <w:highlight w:val="none"/>
          <w:u w:val="none"/>
          <w:lang w:val="en-US" w:eastAsia="zh-CN"/>
        </w:rPr>
        <w:t>航空航天产业实现</w:t>
      </w:r>
      <w:r>
        <w:rPr>
          <w:rFonts w:hint="eastAsia" w:ascii="仿宋_GB2312" w:hAnsi="仿宋_GB2312" w:eastAsia="仿宋_GB2312" w:cs="仿宋_GB2312"/>
          <w:color w:val="auto"/>
          <w:sz w:val="32"/>
          <w:szCs w:val="22"/>
          <w:highlight w:val="none"/>
          <w:u w:val="none"/>
        </w:rPr>
        <w:t>企业能级全面跃升、产业载体提档升级、公共服务平台夯基固本</w:t>
      </w:r>
      <w:r>
        <w:rPr>
          <w:rFonts w:hint="eastAsia" w:ascii="仿宋_GB2312" w:hAnsi="仿宋_GB2312" w:eastAsia="仿宋_GB2312" w:cs="仿宋_GB2312"/>
          <w:color w:val="auto"/>
          <w:sz w:val="32"/>
          <w:szCs w:val="22"/>
          <w:highlight w:val="none"/>
          <w:u w:val="none"/>
          <w:lang w:eastAsia="zh-CN"/>
        </w:rPr>
        <w:t>，</w:t>
      </w:r>
      <w:r>
        <w:rPr>
          <w:rFonts w:hint="eastAsia" w:ascii="仿宋_GB2312" w:hAnsi="仿宋_GB2312" w:eastAsia="仿宋_GB2312" w:cs="仿宋_GB2312"/>
          <w:color w:val="auto"/>
          <w:sz w:val="32"/>
          <w:szCs w:val="22"/>
          <w:highlight w:val="none"/>
          <w:u w:val="none"/>
          <w:lang w:val="en-US" w:eastAsia="zh-CN"/>
        </w:rPr>
        <w:t>产业链总产值突破100亿元。</w:t>
      </w:r>
    </w:p>
    <w:p w14:paraId="2F74EC7F">
      <w:pPr>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Times New Roman" w:eastAsia="仿宋_GB2312" w:cs="Times New Roman"/>
          <w:b w:val="0"/>
          <w:bCs w:val="0"/>
          <w:color w:val="auto"/>
          <w:sz w:val="32"/>
          <w:szCs w:val="22"/>
        </w:rPr>
        <w:t>——卫星总装测试。</w:t>
      </w:r>
      <w:r>
        <w:rPr>
          <w:rFonts w:hint="eastAsia" w:ascii="仿宋_GB2312" w:hAnsi="仿宋_GB2312" w:eastAsia="仿宋_GB2312" w:cs="仿宋_GB2312"/>
          <w:b w:val="0"/>
          <w:bCs w:val="0"/>
          <w:color w:val="auto"/>
          <w:sz w:val="32"/>
          <w:szCs w:val="32"/>
          <w:lang w:val="en-US" w:eastAsia="zh-CN"/>
        </w:rPr>
        <w:t>聚</w:t>
      </w:r>
      <w:r>
        <w:rPr>
          <w:rFonts w:hint="eastAsia" w:ascii="仿宋_GB2312" w:hAnsi="仿宋_GB2312" w:eastAsia="仿宋_GB2312" w:cs="仿宋_GB2312"/>
          <w:color w:val="auto"/>
          <w:sz w:val="32"/>
          <w:szCs w:val="32"/>
          <w:lang w:val="en-US" w:eastAsia="zh-CN"/>
        </w:rPr>
        <w:t>焦</w:t>
      </w:r>
      <w:r>
        <w:rPr>
          <w:rFonts w:hint="eastAsia" w:ascii="仿宋_GB2312" w:hAnsi="仿宋_GB2312" w:eastAsia="仿宋_GB2312" w:cs="仿宋_GB2312"/>
          <w:color w:val="auto"/>
          <w:sz w:val="32"/>
          <w:szCs w:val="32"/>
        </w:rPr>
        <w:t>新一代平板式卫星、微纳卫星领域，</w:t>
      </w:r>
      <w:r>
        <w:rPr>
          <w:rFonts w:hint="eastAsia" w:ascii="仿宋_GB2312" w:hAnsi="仿宋_GB2312" w:eastAsia="仿宋_GB2312" w:cs="仿宋_GB2312"/>
          <w:color w:val="auto"/>
          <w:kern w:val="2"/>
          <w:sz w:val="32"/>
          <w:szCs w:val="32"/>
          <w:highlight w:val="none"/>
          <w:lang w:val="en-US" w:eastAsia="zh-CN" w:bidi="ar"/>
        </w:rPr>
        <w:t>探索设立商业卫星总装产线，加快建设卫星互联网产业园，谋划建设卫星智能制造基地、商业航天试验检测公共服务平台，</w:t>
      </w:r>
      <w:r>
        <w:rPr>
          <w:rFonts w:hint="eastAsia" w:ascii="仿宋_GB2312" w:hAnsi="仿宋_GB2312" w:eastAsia="仿宋_GB2312" w:cs="仿宋_GB2312"/>
          <w:color w:val="auto"/>
          <w:sz w:val="32"/>
          <w:szCs w:val="32"/>
        </w:rPr>
        <w:t>全面提升商业卫星整星规模化制造能力，</w:t>
      </w:r>
      <w:r>
        <w:rPr>
          <w:rFonts w:hint="eastAsia" w:ascii="仿宋_GB2312" w:hAnsi="仿宋_GB2312" w:eastAsia="仿宋_GB2312" w:cs="仿宋_GB2312"/>
          <w:color w:val="auto"/>
          <w:sz w:val="32"/>
          <w:szCs w:val="32"/>
          <w:highlight w:val="none"/>
          <w:lang w:val="en-US" w:eastAsia="zh-CN"/>
        </w:rPr>
        <w:t>形成年产不低于100颗卫星的批量交付能力，成功进入国家卫星互联网巨型星座的核心供应链体系，</w:t>
      </w:r>
      <w:r>
        <w:rPr>
          <w:rFonts w:hint="eastAsia" w:ascii="仿宋_GB2312" w:hAnsi="仿宋_GB2312" w:eastAsia="仿宋_GB2312" w:cs="仿宋_GB2312"/>
          <w:color w:val="auto"/>
          <w:sz w:val="32"/>
          <w:szCs w:val="32"/>
          <w:highlight w:val="none"/>
        </w:rPr>
        <w:t>打造商业卫星制造高地，实现从技术优势向产业竞争优势的关键跨越。</w:t>
      </w:r>
    </w:p>
    <w:p w14:paraId="33A17ECF">
      <w:pPr>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Times New Roman" w:eastAsia="仿宋_GB2312" w:cs="Times New Roman"/>
          <w:b w:val="0"/>
          <w:bCs w:val="0"/>
          <w:color w:val="auto"/>
          <w:sz w:val="32"/>
          <w:szCs w:val="22"/>
          <w:highlight w:val="none"/>
        </w:rPr>
        <w:t>——卫星关键部组件研制。</w:t>
      </w:r>
      <w:r>
        <w:rPr>
          <w:rFonts w:hint="eastAsia" w:ascii="仿宋_GB2312" w:hAnsi="仿宋_GB2312" w:eastAsia="仿宋_GB2312" w:cs="仿宋_GB2312"/>
          <w:color w:val="auto"/>
          <w:sz w:val="32"/>
          <w:szCs w:val="32"/>
          <w:highlight w:val="none"/>
        </w:rPr>
        <w:t>聚焦国家空间基础设施自主可控战略需求，巩固提升综合电子、姿态与轨道控制、测控通信、结构热控、电源管理等卫星全分系统的完整技术优势，推动产品向高功率密度电源模块、天基5G承载通信载荷、星间激光通信处理终端、S/C频段天线等关键载荷产品延伸，</w:t>
      </w:r>
      <w:r>
        <w:rPr>
          <w:rFonts w:hint="eastAsia" w:ascii="仿宋_GB2312" w:hAnsi="仿宋_GB2312" w:eastAsia="仿宋_GB2312" w:cs="仿宋_GB2312"/>
          <w:color w:val="auto"/>
          <w:sz w:val="32"/>
          <w:szCs w:val="32"/>
          <w:highlight w:val="none"/>
          <w:u w:val="none"/>
          <w:lang w:val="en-US" w:eastAsia="zh-CN"/>
        </w:rPr>
        <w:t>强化卫星全流程智能测试、机载系统检测设备软件开发等关键环节的核心能力，</w:t>
      </w:r>
      <w:r>
        <w:rPr>
          <w:rFonts w:hint="eastAsia" w:ascii="仿宋_GB2312" w:hAnsi="仿宋_GB2312" w:eastAsia="仿宋_GB2312" w:cs="仿宋_GB2312"/>
          <w:color w:val="auto"/>
          <w:sz w:val="32"/>
          <w:szCs w:val="32"/>
          <w:highlight w:val="none"/>
        </w:rPr>
        <w:t>打造卫星部组件核心配套基地。</w:t>
      </w:r>
    </w:p>
    <w:p w14:paraId="558A874A">
      <w:pPr>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Times New Roman" w:eastAsia="仿宋_GB2312" w:cs="Times New Roman"/>
          <w:b w:val="0"/>
          <w:bCs w:val="0"/>
          <w:color w:val="auto"/>
          <w:sz w:val="32"/>
          <w:szCs w:val="22"/>
          <w:highlight w:val="none"/>
        </w:rPr>
        <w:t>——航空</w:t>
      </w:r>
      <w:r>
        <w:rPr>
          <w:rFonts w:hint="eastAsia" w:ascii="仿宋_GB2312" w:hAnsi="Times New Roman" w:eastAsia="仿宋_GB2312" w:cs="Times New Roman"/>
          <w:b w:val="0"/>
          <w:bCs w:val="0"/>
          <w:color w:val="auto"/>
          <w:sz w:val="32"/>
          <w:szCs w:val="22"/>
          <w:highlight w:val="none"/>
          <w:lang w:val="en-US" w:eastAsia="zh-CN"/>
        </w:rPr>
        <w:t>航天</w:t>
      </w:r>
      <w:r>
        <w:rPr>
          <w:rFonts w:hint="eastAsia" w:ascii="仿宋_GB2312" w:hAnsi="Times New Roman" w:eastAsia="仿宋_GB2312" w:cs="Times New Roman"/>
          <w:b w:val="0"/>
          <w:bCs w:val="0"/>
          <w:color w:val="auto"/>
          <w:sz w:val="32"/>
          <w:szCs w:val="22"/>
          <w:highlight w:val="none"/>
        </w:rPr>
        <w:t>核心零部件配套。</w:t>
      </w:r>
      <w:r>
        <w:rPr>
          <w:rFonts w:hint="eastAsia" w:ascii="仿宋_GB2312" w:hAnsi="仿宋_GB2312" w:eastAsia="仿宋_GB2312" w:cs="仿宋_GB2312"/>
          <w:color w:val="auto"/>
          <w:sz w:val="32"/>
          <w:szCs w:val="32"/>
          <w:highlight w:val="none"/>
        </w:rPr>
        <w:t>聚焦国家商用大飞机与航空发动机重大战略需求，重点突破高可靠航电系统与高性能紧固件、结构件核心技术，</w:t>
      </w:r>
      <w:r>
        <w:rPr>
          <w:rFonts w:hint="eastAsia" w:ascii="仿宋_GB2312" w:hAnsi="仿宋_GB2312" w:eastAsia="仿宋_GB2312" w:cs="仿宋_GB2312"/>
          <w:color w:val="auto"/>
          <w:sz w:val="32"/>
          <w:szCs w:val="40"/>
          <w:highlight w:val="none"/>
        </w:rPr>
        <w:t>攻关高端元器件，培育星箭关键零部件、无人机等配套</w:t>
      </w:r>
      <w:r>
        <w:rPr>
          <w:rFonts w:hint="eastAsia" w:ascii="仿宋_GB2312" w:hAnsi="仿宋_GB2312" w:eastAsia="仿宋_GB2312" w:cs="仿宋_GB2312"/>
          <w:color w:val="auto"/>
          <w:sz w:val="32"/>
          <w:szCs w:val="40"/>
          <w:highlight w:val="none"/>
          <w:lang w:val="en-US" w:eastAsia="zh-CN"/>
        </w:rPr>
        <w:t>领域，</w:t>
      </w:r>
      <w:r>
        <w:rPr>
          <w:rFonts w:hint="eastAsia" w:ascii="仿宋_GB2312" w:hAnsi="仿宋_GB2312" w:eastAsia="仿宋_GB2312" w:cs="仿宋_GB2312"/>
          <w:color w:val="auto"/>
          <w:sz w:val="32"/>
          <w:szCs w:val="32"/>
          <w:highlight w:val="none"/>
        </w:rPr>
        <w:t>并向高端金属材料制备、精密锻造等上游环节及航空维修等下游高附加值环节延伸，构建自主可控、协同高效的完整产业体系，打造航空零部件先进智造中心。</w:t>
      </w:r>
    </w:p>
    <w:p w14:paraId="465EC392">
      <w:pPr>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Times New Roman" w:eastAsia="仿宋_GB2312" w:cs="Times New Roman"/>
          <w:b w:val="0"/>
          <w:bCs w:val="0"/>
          <w:color w:val="auto"/>
          <w:sz w:val="32"/>
          <w:szCs w:val="22"/>
          <w:highlight w:val="none"/>
        </w:rPr>
        <w:t>——</w:t>
      </w:r>
      <w:r>
        <w:rPr>
          <w:rFonts w:hint="eastAsia" w:ascii="仿宋_GB2312" w:hAnsi="Times New Roman" w:eastAsia="仿宋_GB2312" w:cs="Times New Roman"/>
          <w:b w:val="0"/>
          <w:bCs w:val="0"/>
          <w:color w:val="auto"/>
          <w:sz w:val="32"/>
          <w:szCs w:val="32"/>
          <w:highlight w:val="none"/>
          <w:lang w:val="en-US" w:eastAsia="zh-CN"/>
        </w:rPr>
        <w:t>空天信息应用</w:t>
      </w:r>
      <w:r>
        <w:rPr>
          <w:rFonts w:hint="eastAsia" w:ascii="仿宋_GB2312" w:hAnsi="Times New Roman" w:eastAsia="仿宋_GB2312" w:cs="Times New Roman"/>
          <w:b w:val="0"/>
          <w:bCs w:val="0"/>
          <w:color w:val="auto"/>
          <w:sz w:val="32"/>
          <w:szCs w:val="32"/>
          <w:highlight w:val="none"/>
        </w:rPr>
        <w:t>。</w:t>
      </w:r>
      <w:r>
        <w:rPr>
          <w:rFonts w:hint="eastAsia" w:ascii="仿宋_GB2312" w:hAnsi="仿宋_GB2312" w:eastAsia="仿宋_GB2312" w:cs="仿宋_GB2312"/>
          <w:color w:val="auto"/>
          <w:sz w:val="32"/>
          <w:szCs w:val="40"/>
          <w:highlight w:val="none"/>
        </w:rPr>
        <w:t>依托省级战略性新兴产业集群承载作用，做强通导遥一体化应用，布局空天地一体通信系统，</w:t>
      </w:r>
      <w:r>
        <w:rPr>
          <w:rFonts w:hint="eastAsia" w:ascii="仿宋_GB2312" w:hAnsi="仿宋_GB2312" w:eastAsia="仿宋_GB2312" w:cs="仿宋_GB2312"/>
          <w:color w:val="auto"/>
          <w:sz w:val="32"/>
          <w:szCs w:val="40"/>
          <w:highlight w:val="none"/>
          <w:u w:val="none"/>
          <w:lang w:val="en-US" w:eastAsia="zh-CN"/>
        </w:rPr>
        <w:t>提升北斗导航、高精度定位领域技术服务、检测认证能力，打造面向智慧城市、智慧交通、智慧港口、智慧海洋、应急管理等领域的空天地一体、通导遥协同的融合应用创新生态。</w:t>
      </w:r>
    </w:p>
    <w:p w14:paraId="3E7515A6">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highlight w:val="none"/>
          <w:lang w:val="en-US" w:eastAsia="zh-CN" w:bidi="ar-SA"/>
        </w:rPr>
      </w:pPr>
      <w:bookmarkStart w:id="57" w:name="_Toc230188700"/>
      <w:bookmarkStart w:id="58" w:name="_Toc18011"/>
      <w:bookmarkStart w:id="59" w:name="_Toc230591538"/>
      <w:bookmarkStart w:id="60" w:name="_Toc11766"/>
      <w:bookmarkStart w:id="61" w:name="_Toc4150"/>
      <w:bookmarkStart w:id="62" w:name="_Toc4332"/>
      <w:r>
        <w:rPr>
          <w:rFonts w:hint="eastAsia" w:ascii="黑体" w:hAnsi="黑体" w:eastAsia="黑体" w:cs="Times New Roman"/>
          <w:b w:val="0"/>
          <w:bCs w:val="0"/>
          <w:color w:val="auto"/>
          <w:kern w:val="2"/>
          <w:sz w:val="32"/>
          <w:szCs w:val="32"/>
          <w:highlight w:val="none"/>
          <w:lang w:val="en-US" w:eastAsia="zh-CN" w:bidi="ar-SA"/>
        </w:rPr>
        <w:t>第三节  做大海洋工程产业</w:t>
      </w:r>
      <w:bookmarkEnd w:id="57"/>
      <w:bookmarkEnd w:id="58"/>
      <w:bookmarkEnd w:id="59"/>
      <w:bookmarkEnd w:id="60"/>
      <w:bookmarkEnd w:id="61"/>
      <w:bookmarkEnd w:id="62"/>
    </w:p>
    <w:p w14:paraId="67EED577">
      <w:pPr>
        <w:spacing w:line="560" w:lineRule="exact"/>
        <w:ind w:firstLine="640" w:firstLineChars="200"/>
        <w:rPr>
          <w:rFonts w:hint="eastAsia" w:ascii="仿宋_GB2312" w:hAnsi="仿宋_GB2312" w:eastAsia="仿宋_GB2312" w:cs="仿宋_GB2312"/>
          <w:color w:val="auto"/>
          <w:sz w:val="32"/>
          <w:szCs w:val="22"/>
          <w:highlight w:val="none"/>
        </w:rPr>
      </w:pPr>
      <w:bookmarkStart w:id="63" w:name="_Hlk208392175"/>
      <w:r>
        <w:rPr>
          <w:rFonts w:hint="eastAsia" w:ascii="仿宋_GB2312" w:hAnsi="仿宋_GB2312" w:eastAsia="仿宋_GB2312" w:cs="仿宋_GB2312"/>
          <w:color w:val="auto"/>
          <w:kern w:val="2"/>
          <w:sz w:val="32"/>
          <w:szCs w:val="22"/>
          <w:lang w:val="en-US" w:eastAsia="zh-CN" w:bidi="ar"/>
        </w:rPr>
        <w:t>立足海洋资源禀赋与产业发展基础，深入落实海洋强国战略，坚持陆海统筹、产服融合、提质增效发展导向，统筹推动海洋产业协同提质发展。</w:t>
      </w:r>
      <w:r>
        <w:rPr>
          <w:rFonts w:hint="eastAsia" w:ascii="仿宋_GB2312" w:hAnsi="仿宋_GB2312" w:eastAsia="仿宋_GB2312" w:cs="仿宋_GB2312"/>
          <w:color w:val="auto"/>
          <w:sz w:val="32"/>
          <w:szCs w:val="22"/>
          <w:highlight w:val="none"/>
        </w:rPr>
        <w:t>充分发挥</w:t>
      </w:r>
      <w:r>
        <w:rPr>
          <w:rFonts w:hint="eastAsia" w:ascii="仿宋_GB2312" w:hAnsi="仿宋_GB2312" w:eastAsia="仿宋_GB2312" w:cs="仿宋_GB2312"/>
          <w:color w:val="auto"/>
          <w:sz w:val="32"/>
          <w:szCs w:val="22"/>
          <w:highlight w:val="none"/>
          <w:lang w:val="en-US" w:eastAsia="zh-CN"/>
        </w:rPr>
        <w:t>海洋工程</w:t>
      </w:r>
      <w:r>
        <w:rPr>
          <w:rFonts w:hint="eastAsia" w:ascii="仿宋_GB2312" w:hAnsi="仿宋_GB2312" w:eastAsia="仿宋_GB2312" w:cs="仿宋_GB2312"/>
          <w:color w:val="auto"/>
          <w:sz w:val="32"/>
          <w:szCs w:val="22"/>
          <w:highlight w:val="none"/>
        </w:rPr>
        <w:t>研发创新资源优势，强化海工装备研发设计能力，攻坚海洋新材料技术研发，</w:t>
      </w:r>
      <w:r>
        <w:rPr>
          <w:rFonts w:hint="eastAsia" w:ascii="仿宋_GB2312" w:hAnsi="仿宋_GB2312" w:eastAsia="仿宋_GB2312" w:cs="仿宋_GB2312"/>
          <w:color w:val="auto"/>
          <w:kern w:val="2"/>
          <w:sz w:val="32"/>
          <w:szCs w:val="22"/>
          <w:highlight w:val="none"/>
          <w:lang w:bidi="ar"/>
        </w:rPr>
        <w:t>培育海上新能源新兴业态</w:t>
      </w:r>
      <w:r>
        <w:rPr>
          <w:rFonts w:hint="eastAsia" w:ascii="仿宋_GB2312" w:hAnsi="仿宋_GB2312" w:eastAsia="仿宋_GB2312" w:cs="仿宋_GB2312"/>
          <w:color w:val="auto"/>
          <w:sz w:val="32"/>
          <w:szCs w:val="22"/>
          <w:highlight w:val="none"/>
        </w:rPr>
        <w:t>，</w:t>
      </w:r>
      <w:r>
        <w:rPr>
          <w:rFonts w:hint="eastAsia" w:ascii="仿宋_GB2312" w:hAnsi="仿宋_GB2312" w:eastAsia="仿宋_GB2312" w:cs="仿宋_GB2312"/>
          <w:color w:val="auto"/>
          <w:kern w:val="2"/>
          <w:sz w:val="32"/>
          <w:szCs w:val="22"/>
          <w:lang w:val="en-US" w:eastAsia="zh-CN" w:bidi="ar"/>
        </w:rPr>
        <w:t>做大做强海工配套服务等重点领域，持续推动传统海洋产业转型升级、</w:t>
      </w:r>
      <w:r>
        <w:rPr>
          <w:rFonts w:hint="eastAsia" w:ascii="仿宋_GB2312" w:hAnsi="仿宋_GB2312" w:eastAsia="仿宋_GB2312" w:cs="仿宋_GB2312"/>
          <w:color w:val="auto"/>
          <w:sz w:val="32"/>
          <w:szCs w:val="22"/>
          <w:highlight w:val="none"/>
        </w:rPr>
        <w:t>海洋工程产业链条延伸、产业配套能级跃迁。</w:t>
      </w:r>
      <w:r>
        <w:rPr>
          <w:rFonts w:hint="eastAsia" w:ascii="仿宋_GB2312" w:hAnsi="仿宋_GB2312" w:eastAsia="仿宋_GB2312" w:cs="仿宋_GB2312"/>
          <w:color w:val="auto"/>
          <w:sz w:val="32"/>
          <w:szCs w:val="22"/>
          <w:highlight w:val="none"/>
          <w:u w:val="none"/>
          <w:lang w:val="en-US" w:eastAsia="zh-CN"/>
        </w:rPr>
        <w:t>到2030年，海洋工程产业实现</w:t>
      </w:r>
      <w:r>
        <w:rPr>
          <w:rFonts w:hint="eastAsia" w:ascii="仿宋_GB2312" w:hAnsi="仿宋_GB2312" w:eastAsia="仿宋_GB2312" w:cs="仿宋_GB2312"/>
          <w:color w:val="auto"/>
          <w:sz w:val="32"/>
          <w:szCs w:val="22"/>
          <w:highlight w:val="none"/>
        </w:rPr>
        <w:t>创新引领、载体支撑、联盟联动、陆海协同</w:t>
      </w:r>
      <w:r>
        <w:rPr>
          <w:rFonts w:hint="eastAsia" w:ascii="仿宋_GB2312" w:hAnsi="仿宋_GB2312" w:eastAsia="仿宋_GB2312" w:cs="仿宋_GB2312"/>
          <w:color w:val="auto"/>
          <w:sz w:val="32"/>
          <w:szCs w:val="22"/>
          <w:highlight w:val="none"/>
          <w:lang w:val="en-US" w:eastAsia="zh-CN"/>
        </w:rPr>
        <w:t>的</w:t>
      </w:r>
      <w:r>
        <w:rPr>
          <w:rFonts w:hint="eastAsia" w:ascii="仿宋_GB2312" w:hAnsi="仿宋_GB2312" w:eastAsia="仿宋_GB2312" w:cs="仿宋_GB2312"/>
          <w:color w:val="auto"/>
          <w:sz w:val="32"/>
          <w:szCs w:val="22"/>
          <w:highlight w:val="none"/>
          <w:u w:val="none"/>
          <w:lang w:val="en-US" w:eastAsia="zh-CN"/>
        </w:rPr>
        <w:t>多业态深度融合发展</w:t>
      </w:r>
      <w:r>
        <w:rPr>
          <w:rFonts w:hint="eastAsia" w:ascii="仿宋_GB2312" w:hAnsi="仿宋_GB2312" w:eastAsia="仿宋_GB2312" w:cs="仿宋_GB2312"/>
          <w:color w:val="auto"/>
          <w:sz w:val="32"/>
          <w:szCs w:val="22"/>
          <w:highlight w:val="none"/>
        </w:rPr>
        <w:t>生态</w:t>
      </w:r>
      <w:r>
        <w:rPr>
          <w:rFonts w:hint="eastAsia" w:ascii="仿宋_GB2312" w:hAnsi="仿宋_GB2312" w:eastAsia="仿宋_GB2312" w:cs="仿宋_GB2312"/>
          <w:color w:val="auto"/>
          <w:sz w:val="32"/>
          <w:szCs w:val="22"/>
          <w:highlight w:val="none"/>
          <w:u w:val="none"/>
          <w:lang w:val="en-US" w:eastAsia="zh-CN"/>
        </w:rPr>
        <w:t>，</w:t>
      </w:r>
      <w:r>
        <w:rPr>
          <w:rFonts w:hint="eastAsia" w:ascii="仿宋_GB2312" w:hAnsi="仿宋_GB2312" w:eastAsia="仿宋_GB2312" w:cs="仿宋_GB2312"/>
          <w:color w:val="auto"/>
          <w:kern w:val="2"/>
          <w:sz w:val="32"/>
          <w:szCs w:val="22"/>
          <w:highlight w:val="none"/>
          <w:u w:val="none"/>
          <w:lang w:bidi="ar"/>
        </w:rPr>
        <w:t>产业链总产值突破</w:t>
      </w:r>
      <w:r>
        <w:rPr>
          <w:rFonts w:hint="eastAsia" w:ascii="仿宋_GB2312" w:hAnsi="仿宋_GB2312" w:eastAsia="仿宋_GB2312" w:cs="仿宋_GB2312"/>
          <w:color w:val="auto"/>
          <w:kern w:val="2"/>
          <w:sz w:val="32"/>
          <w:szCs w:val="22"/>
          <w:highlight w:val="none"/>
          <w:u w:val="none"/>
          <w:lang w:val="en-US" w:eastAsia="zh-CN" w:bidi="ar"/>
        </w:rPr>
        <w:t>30</w:t>
      </w:r>
      <w:r>
        <w:rPr>
          <w:rFonts w:hint="eastAsia" w:ascii="仿宋_GB2312" w:hAnsi="仿宋_GB2312" w:eastAsia="仿宋_GB2312" w:cs="仿宋_GB2312"/>
          <w:color w:val="auto"/>
          <w:kern w:val="2"/>
          <w:sz w:val="32"/>
          <w:szCs w:val="22"/>
          <w:highlight w:val="none"/>
          <w:u w:val="none"/>
          <w:lang w:bidi="ar"/>
        </w:rPr>
        <w:t>亿元</w:t>
      </w:r>
      <w:r>
        <w:rPr>
          <w:rFonts w:hint="eastAsia" w:ascii="仿宋_GB2312" w:hAnsi="仿宋_GB2312" w:eastAsia="仿宋_GB2312" w:cs="仿宋_GB2312"/>
          <w:color w:val="auto"/>
          <w:sz w:val="32"/>
          <w:szCs w:val="22"/>
          <w:highlight w:val="none"/>
          <w:u w:val="none"/>
          <w:lang w:val="en-US" w:eastAsia="zh-CN"/>
        </w:rPr>
        <w:t>。</w:t>
      </w:r>
    </w:p>
    <w:bookmarkEnd w:id="63"/>
    <w:p w14:paraId="34B7E44C">
      <w:pPr>
        <w:spacing w:line="560" w:lineRule="exact"/>
        <w:ind w:firstLine="640" w:firstLineChars="200"/>
        <w:rPr>
          <w:rFonts w:hint="eastAsia" w:ascii="仿宋_GB2312" w:hAnsi="仿宋_GB2312" w:eastAsia="仿宋_GB2312" w:cs="仿宋_GB2312"/>
          <w:color w:val="auto"/>
          <w:kern w:val="0"/>
          <w:sz w:val="32"/>
          <w:szCs w:val="32"/>
          <w:lang w:bidi="ar"/>
        </w:rPr>
      </w:pPr>
      <w:r>
        <w:rPr>
          <w:rFonts w:hint="eastAsia" w:ascii="仿宋_GB2312" w:hAnsi="Times New Roman" w:eastAsia="仿宋_GB2312" w:cs="Times New Roman"/>
          <w:b w:val="0"/>
          <w:bCs w:val="0"/>
          <w:color w:val="auto"/>
          <w:sz w:val="32"/>
          <w:szCs w:val="22"/>
        </w:rPr>
        <w:t>——海工装备。</w:t>
      </w:r>
      <w:r>
        <w:rPr>
          <w:rFonts w:hint="eastAsia" w:ascii="Times New Roman" w:hAnsi="Times New Roman" w:eastAsia="仿宋_GB2312" w:cs="Times New Roman"/>
          <w:color w:val="auto"/>
          <w:sz w:val="32"/>
          <w:szCs w:val="22"/>
        </w:rPr>
        <w:t>支持中集海洋工程研究院加强深海装备总包建造技术、海洋智能装备核心技术等关键共性技术攻关，打造“海洋工程前端研发设计中心”</w:t>
      </w:r>
      <w:r>
        <w:rPr>
          <w:rFonts w:hint="eastAsia" w:ascii="Times New Roman" w:hAnsi="Times New Roman" w:eastAsia="仿宋_GB2312" w:cs="Times New Roman"/>
          <w:color w:val="auto"/>
          <w:sz w:val="32"/>
          <w:szCs w:val="22"/>
          <w:lang w:eastAsia="zh-CN"/>
        </w:rPr>
        <w:t>。</w:t>
      </w:r>
      <w:r>
        <w:rPr>
          <w:rFonts w:ascii="仿宋_GB2312" w:hAnsi="仿宋_GB2312" w:eastAsia="仿宋_GB2312" w:cs="仿宋_GB2312"/>
          <w:color w:val="auto"/>
          <w:kern w:val="0"/>
          <w:sz w:val="32"/>
          <w:szCs w:val="32"/>
          <w:lang w:bidi="ar"/>
        </w:rPr>
        <w:t>加大海洋高压、强腐蚀、高振动、高噪音等离心泵关键技术创新与应用</w:t>
      </w:r>
      <w:r>
        <w:rPr>
          <w:rFonts w:hint="eastAsia" w:ascii="仿宋_GB2312" w:hAnsi="仿宋_GB2312" w:eastAsia="仿宋_GB2312" w:cs="仿宋_GB2312"/>
          <w:color w:val="auto"/>
          <w:kern w:val="0"/>
          <w:sz w:val="32"/>
          <w:szCs w:val="32"/>
          <w:lang w:eastAsia="zh-CN" w:bidi="ar"/>
        </w:rPr>
        <w:t>。</w:t>
      </w:r>
      <w:r>
        <w:rPr>
          <w:rFonts w:ascii="仿宋_GB2312" w:hAnsi="仿宋_GB2312" w:eastAsia="仿宋_GB2312" w:cs="仿宋_GB2312"/>
          <w:color w:val="auto"/>
          <w:kern w:val="0"/>
          <w:sz w:val="32"/>
          <w:szCs w:val="32"/>
          <w:lang w:bidi="ar"/>
        </w:rPr>
        <w:t>深耕动力定位设备、钻井系统专用装备</w:t>
      </w:r>
      <w:r>
        <w:rPr>
          <w:rFonts w:hint="eastAsia" w:ascii="仿宋_GB2312" w:hAnsi="仿宋_GB2312" w:eastAsia="仿宋_GB2312" w:cs="仿宋_GB2312"/>
          <w:color w:val="auto"/>
          <w:kern w:val="0"/>
          <w:sz w:val="32"/>
          <w:szCs w:val="32"/>
          <w:lang w:val="en-US" w:eastAsia="zh-CN" w:bidi="ar"/>
        </w:rPr>
        <w:t>等重点领域</w:t>
      </w:r>
      <w:r>
        <w:rPr>
          <w:rFonts w:ascii="仿宋_GB2312" w:hAnsi="仿宋_GB2312" w:eastAsia="仿宋_GB2312" w:cs="仿宋_GB2312"/>
          <w:color w:val="auto"/>
          <w:kern w:val="0"/>
          <w:sz w:val="32"/>
          <w:szCs w:val="32"/>
          <w:lang w:bidi="ar"/>
        </w:rPr>
        <w:t>，提升产品在国内海洋油气装备市场的占有率。聚焦海上风电主轴轴承、超大直径轴承等核心产品，突破热处理等</w:t>
      </w:r>
      <w:r>
        <w:rPr>
          <w:rFonts w:hint="eastAsia" w:ascii="仿宋_GB2312" w:hAnsi="仿宋_GB2312" w:eastAsia="仿宋_GB2312" w:cs="仿宋_GB2312"/>
          <w:color w:val="auto"/>
          <w:kern w:val="0"/>
          <w:sz w:val="32"/>
          <w:szCs w:val="32"/>
          <w:lang w:bidi="ar"/>
        </w:rPr>
        <w:t>“卡脖子”技术</w:t>
      </w:r>
      <w:r>
        <w:rPr>
          <w:rFonts w:ascii="仿宋_GB2312" w:hAnsi="仿宋_GB2312" w:eastAsia="仿宋_GB2312" w:cs="仿宋_GB2312"/>
          <w:color w:val="auto"/>
          <w:kern w:val="0"/>
          <w:sz w:val="32"/>
          <w:szCs w:val="32"/>
          <w:lang w:bidi="ar"/>
        </w:rPr>
        <w:t>，</w:t>
      </w:r>
      <w:r>
        <w:rPr>
          <w:rFonts w:ascii="Times New Roman" w:hAnsi="Times New Roman" w:eastAsia="仿宋_GB2312" w:cs="Times New Roman"/>
          <w:color w:val="auto"/>
          <w:kern w:val="0"/>
          <w:sz w:val="32"/>
          <w:szCs w:val="32"/>
          <w:lang w:bidi="ar"/>
        </w:rPr>
        <w:t>巩固风</w:t>
      </w:r>
      <w:r>
        <w:rPr>
          <w:rFonts w:ascii="仿宋_GB2312" w:hAnsi="仿宋_GB2312" w:eastAsia="仿宋_GB2312" w:cs="仿宋_GB2312"/>
          <w:color w:val="auto"/>
          <w:kern w:val="0"/>
          <w:sz w:val="32"/>
          <w:szCs w:val="32"/>
          <w:lang w:bidi="ar"/>
        </w:rPr>
        <w:t>电大尺寸变桨轴承国内领先地位。</w:t>
      </w:r>
      <w:r>
        <w:rPr>
          <w:rFonts w:hint="eastAsia" w:ascii="仿宋_GB2312" w:hAnsi="仿宋_GB2312" w:eastAsia="仿宋_GB2312" w:cs="仿宋_GB2312"/>
          <w:color w:val="auto"/>
          <w:kern w:val="0"/>
          <w:sz w:val="32"/>
          <w:szCs w:val="32"/>
          <w:lang w:bidi="ar"/>
        </w:rPr>
        <w:t>谋划建设“海工创新产业园”，推动中集“立管支撑系统”等制造业产业化项目落地。</w:t>
      </w:r>
    </w:p>
    <w:p w14:paraId="0DBE1460">
      <w:pPr>
        <w:spacing w:line="560" w:lineRule="exact"/>
        <w:ind w:firstLine="640" w:firstLineChars="200"/>
        <w:rPr>
          <w:rFonts w:hint="eastAsia" w:ascii="仿宋_GB2312" w:hAnsi="仿宋_GB2312" w:eastAsia="仿宋_GB2312" w:cs="仿宋_GB2312"/>
          <w:color w:val="auto"/>
          <w:kern w:val="0"/>
          <w:sz w:val="32"/>
          <w:szCs w:val="32"/>
          <w:lang w:bidi="ar"/>
        </w:rPr>
      </w:pPr>
      <w:r>
        <w:rPr>
          <w:rFonts w:hint="eastAsia" w:ascii="仿宋_GB2312" w:hAnsi="Times New Roman" w:eastAsia="仿宋_GB2312" w:cs="Times New Roman"/>
          <w:b w:val="0"/>
          <w:bCs w:val="0"/>
          <w:color w:val="auto"/>
          <w:sz w:val="32"/>
          <w:szCs w:val="22"/>
        </w:rPr>
        <w:t>——海洋新能源。</w:t>
      </w:r>
      <w:r>
        <w:rPr>
          <w:rFonts w:hint="eastAsia" w:ascii="仿宋_GB2312" w:hAnsi="仿宋_GB2312" w:eastAsia="仿宋_GB2312" w:cs="仿宋_GB2312"/>
          <w:b w:val="0"/>
          <w:bCs w:val="0"/>
          <w:color w:val="auto"/>
          <w:kern w:val="0"/>
          <w:sz w:val="32"/>
          <w:szCs w:val="32"/>
          <w:lang w:bidi="ar"/>
        </w:rPr>
        <w:t>全</w:t>
      </w:r>
      <w:r>
        <w:rPr>
          <w:rFonts w:hint="eastAsia" w:ascii="仿宋_GB2312" w:hAnsi="仿宋_GB2312" w:eastAsia="仿宋_GB2312" w:cs="仿宋_GB2312"/>
          <w:color w:val="auto"/>
          <w:kern w:val="0"/>
          <w:sz w:val="32"/>
          <w:szCs w:val="32"/>
          <w:highlight w:val="none"/>
          <w:lang w:bidi="ar"/>
        </w:rPr>
        <w:t>力推进中集与国家能</w:t>
      </w:r>
      <w:r>
        <w:rPr>
          <w:rFonts w:hint="eastAsia" w:ascii="仿宋_GB2312" w:hAnsi="仿宋_GB2312" w:eastAsia="仿宋_GB2312" w:cs="仿宋_GB2312"/>
          <w:color w:val="auto"/>
          <w:kern w:val="0"/>
          <w:sz w:val="32"/>
          <w:szCs w:val="32"/>
          <w:lang w:bidi="ar"/>
        </w:rPr>
        <w:t>源集团共建国家技术创新中心，整合海洋新能源</w:t>
      </w:r>
      <w:r>
        <w:rPr>
          <w:rFonts w:hint="eastAsia" w:ascii="仿宋_GB2312" w:hAnsi="仿宋_GB2312" w:eastAsia="仿宋_GB2312" w:cs="仿宋_GB2312"/>
          <w:color w:val="auto"/>
          <w:kern w:val="0"/>
          <w:sz w:val="32"/>
          <w:szCs w:val="32"/>
          <w:lang w:val="en-US" w:eastAsia="zh-CN" w:bidi="ar"/>
        </w:rPr>
        <w:t>产研链资源，打造区域能源装备创新高地</w:t>
      </w:r>
      <w:r>
        <w:rPr>
          <w:rFonts w:hint="eastAsia" w:ascii="仿宋_GB2312" w:hAnsi="仿宋_GB2312" w:eastAsia="仿宋_GB2312" w:cs="仿宋_GB2312"/>
          <w:color w:val="auto"/>
          <w:kern w:val="0"/>
          <w:sz w:val="32"/>
          <w:szCs w:val="32"/>
          <w:lang w:bidi="ar"/>
        </w:rPr>
        <w:t>。</w:t>
      </w:r>
      <w:r>
        <w:rPr>
          <w:rFonts w:hint="eastAsia" w:ascii="仿宋_GB2312" w:hAnsi="仿宋_GB2312" w:eastAsia="仿宋_GB2312" w:cs="仿宋_GB2312"/>
          <w:color w:val="auto"/>
          <w:kern w:val="0"/>
          <w:sz w:val="32"/>
          <w:szCs w:val="32"/>
          <w:lang w:val="en-US" w:eastAsia="zh-CN" w:bidi="ar"/>
        </w:rPr>
        <w:t>依托</w:t>
      </w:r>
      <w:r>
        <w:rPr>
          <w:rFonts w:hint="eastAsia" w:ascii="仿宋_GB2312" w:hAnsi="仿宋_GB2312" w:eastAsia="仿宋_GB2312" w:cs="仿宋_GB2312"/>
          <w:color w:val="auto"/>
          <w:kern w:val="0"/>
          <w:sz w:val="32"/>
          <w:szCs w:val="32"/>
          <w:lang w:bidi="ar"/>
        </w:rPr>
        <w:t>海上新质生产力实验场和海上光伏产业联盟，重点发展渔光互补、海上风电等新能源业态，打造“海洋新能源综合利用研究示范项目”。</w:t>
      </w:r>
      <w:r>
        <w:rPr>
          <w:rFonts w:hint="eastAsia" w:ascii="Times New Roman" w:hAnsi="Times New Roman" w:eastAsia="仿宋_GB2312" w:cs="Times New Roman"/>
          <w:color w:val="auto"/>
          <w:sz w:val="32"/>
          <w:szCs w:val="22"/>
          <w:lang w:bidi="ar"/>
        </w:rPr>
        <w:t>以海上光伏发电应用场景为突破口，拓展布局光伏高效电池片及组件、关键辅材、储能电池等光伏产业链，</w:t>
      </w:r>
      <w:r>
        <w:rPr>
          <w:rFonts w:hint="eastAsia" w:ascii="仿宋_GB2312" w:hAnsi="仿宋_GB2312" w:eastAsia="仿宋_GB2312" w:cs="仿宋_GB2312"/>
          <w:color w:val="auto"/>
          <w:kern w:val="0"/>
          <w:sz w:val="32"/>
          <w:szCs w:val="32"/>
          <w:lang w:bidi="ar"/>
        </w:rPr>
        <w:t>研发适配海上场景的储能设备</w:t>
      </w:r>
      <w:r>
        <w:rPr>
          <w:rFonts w:hint="eastAsia" w:ascii="仿宋_GB2312" w:hAnsi="仿宋_GB2312" w:eastAsia="仿宋_GB2312" w:cs="仿宋_GB2312"/>
          <w:color w:val="auto"/>
          <w:kern w:val="0"/>
          <w:sz w:val="32"/>
          <w:szCs w:val="32"/>
          <w:lang w:eastAsia="zh-CN" w:bidi="ar"/>
        </w:rPr>
        <w:t>，</w:t>
      </w:r>
      <w:r>
        <w:rPr>
          <w:rFonts w:hint="eastAsia" w:ascii="仿宋_GB2312" w:hAnsi="仿宋_GB2312" w:eastAsia="仿宋_GB2312" w:cs="仿宋_GB2312"/>
          <w:color w:val="auto"/>
          <w:kern w:val="0"/>
          <w:sz w:val="32"/>
          <w:szCs w:val="32"/>
          <w:lang w:bidi="ar"/>
        </w:rPr>
        <w:t>提升海上风电、光伏等新能源间歇性供电能力。</w:t>
      </w:r>
    </w:p>
    <w:p w14:paraId="00258843">
      <w:pPr>
        <w:spacing w:line="560" w:lineRule="exact"/>
        <w:ind w:firstLine="640" w:firstLineChars="200"/>
        <w:rPr>
          <w:rFonts w:hint="eastAsia" w:ascii="Times New Roman" w:hAnsi="Times New Roman" w:eastAsia="仿宋_GB2312" w:cs="Times New Roman"/>
          <w:color w:val="auto"/>
          <w:sz w:val="32"/>
          <w:szCs w:val="22"/>
        </w:rPr>
      </w:pPr>
      <w:r>
        <w:rPr>
          <w:rFonts w:hint="eastAsia" w:ascii="仿宋_GB2312" w:hAnsi="Times New Roman" w:eastAsia="仿宋_GB2312" w:cs="Times New Roman"/>
          <w:b w:val="0"/>
          <w:bCs w:val="0"/>
          <w:color w:val="auto"/>
          <w:sz w:val="32"/>
          <w:szCs w:val="22"/>
        </w:rPr>
        <w:t>——海洋新材料。</w:t>
      </w:r>
      <w:r>
        <w:rPr>
          <w:rFonts w:hint="eastAsia" w:ascii="仿宋_GB2312" w:hAnsi="仿宋_GB2312" w:eastAsia="仿宋_GB2312" w:cs="仿宋_GB2312"/>
          <w:color w:val="auto"/>
          <w:kern w:val="0"/>
          <w:sz w:val="32"/>
          <w:szCs w:val="32"/>
          <w:lang w:bidi="ar"/>
        </w:rPr>
        <w:t>完善“材料研发－中试生产－EPC总包－运维服务”的产业链条，依托海洋工程装备及材料创新创业共同体、中集集光</w:t>
      </w:r>
      <w:r>
        <w:rPr>
          <w:rFonts w:ascii="仿宋_GB2312" w:hAnsi="仿宋_GB2312" w:eastAsia="仿宋_GB2312" w:cs="仿宋_GB2312"/>
          <w:color w:val="auto"/>
          <w:kern w:val="0"/>
          <w:sz w:val="32"/>
          <w:szCs w:val="32"/>
          <w:lang w:bidi="ar"/>
        </w:rPr>
        <w:t>海上浮式光伏实证基地</w:t>
      </w:r>
      <w:r>
        <w:rPr>
          <w:rFonts w:hint="eastAsia" w:ascii="仿宋_GB2312" w:hAnsi="仿宋_GB2312" w:eastAsia="仿宋_GB2312" w:cs="仿宋_GB2312"/>
          <w:color w:val="auto"/>
          <w:kern w:val="0"/>
          <w:sz w:val="32"/>
          <w:szCs w:val="32"/>
          <w:lang w:bidi="ar"/>
        </w:rPr>
        <w:t>，重点推进</w:t>
      </w:r>
      <w:r>
        <w:rPr>
          <w:rFonts w:hint="eastAsia" w:ascii="Times New Roman" w:hAnsi="Times New Roman" w:eastAsia="仿宋_GB2312" w:cs="Times New Roman"/>
          <w:color w:val="auto"/>
          <w:sz w:val="32"/>
          <w:szCs w:val="22"/>
        </w:rPr>
        <w:t>海洋防腐新材料、</w:t>
      </w:r>
      <w:r>
        <w:rPr>
          <w:rFonts w:hint="eastAsia" w:ascii="仿宋_GB2312" w:hAnsi="仿宋_GB2312" w:eastAsia="仿宋_GB2312" w:cs="仿宋_GB2312"/>
          <w:color w:val="auto"/>
          <w:kern w:val="0"/>
          <w:sz w:val="32"/>
          <w:szCs w:val="32"/>
          <w:lang w:bidi="ar"/>
        </w:rPr>
        <w:t>深海浮力材料、</w:t>
      </w:r>
      <w:r>
        <w:rPr>
          <w:rFonts w:ascii="仿宋_GB2312" w:hAnsi="仿宋_GB2312" w:eastAsia="仿宋_GB2312" w:cs="仿宋_GB2312"/>
          <w:color w:val="auto"/>
          <w:kern w:val="0"/>
          <w:sz w:val="32"/>
          <w:szCs w:val="32"/>
          <w:lang w:bidi="ar"/>
        </w:rPr>
        <w:t>系泊材料</w:t>
      </w:r>
      <w:r>
        <w:rPr>
          <w:rFonts w:hint="eastAsia" w:ascii="仿宋_GB2312" w:hAnsi="仿宋_GB2312" w:eastAsia="仿宋_GB2312" w:cs="仿宋_GB2312"/>
          <w:color w:val="auto"/>
          <w:kern w:val="0"/>
          <w:sz w:val="32"/>
          <w:szCs w:val="32"/>
          <w:lang w:bidi="ar"/>
        </w:rPr>
        <w:t>、</w:t>
      </w:r>
      <w:r>
        <w:rPr>
          <w:rFonts w:hint="eastAsia" w:ascii="Times New Roman" w:hAnsi="Times New Roman" w:eastAsia="仿宋_GB2312" w:cs="Times New Roman"/>
          <w:color w:val="auto"/>
          <w:sz w:val="32"/>
          <w:szCs w:val="22"/>
        </w:rPr>
        <w:t>环保型海洋渔业防污材料等</w:t>
      </w:r>
      <w:r>
        <w:rPr>
          <w:rFonts w:hint="eastAsia" w:ascii="仿宋_GB2312" w:hAnsi="仿宋_GB2312" w:eastAsia="仿宋_GB2312" w:cs="仿宋_GB2312"/>
          <w:color w:val="auto"/>
          <w:kern w:val="0"/>
          <w:sz w:val="32"/>
          <w:szCs w:val="32"/>
          <w:lang w:bidi="ar"/>
        </w:rPr>
        <w:t>研发及产业化项目落地。</w:t>
      </w:r>
      <w:r>
        <w:rPr>
          <w:rFonts w:hint="eastAsia" w:ascii="Times New Roman" w:hAnsi="Times New Roman" w:eastAsia="仿宋_GB2312" w:cs="Times New Roman"/>
          <w:color w:val="auto"/>
          <w:sz w:val="32"/>
          <w:szCs w:val="22"/>
        </w:rPr>
        <w:t>搭建</w:t>
      </w:r>
      <w:r>
        <w:rPr>
          <w:rFonts w:hint="eastAsia" w:ascii="仿宋_GB2312" w:hAnsi="仿宋_GB2312" w:eastAsia="仿宋_GB2312" w:cs="仿宋_GB2312"/>
          <w:color w:val="auto"/>
          <w:kern w:val="0"/>
          <w:sz w:val="32"/>
          <w:szCs w:val="32"/>
          <w:lang w:bidi="ar"/>
        </w:rPr>
        <w:t>新型系泊材料和技术测试平台，</w:t>
      </w:r>
      <w:r>
        <w:rPr>
          <w:rFonts w:ascii="仿宋_GB2312" w:hAnsi="仿宋_GB2312" w:eastAsia="仿宋_GB2312" w:cs="仿宋_GB2312"/>
          <w:color w:val="auto"/>
          <w:kern w:val="0"/>
          <w:sz w:val="32"/>
          <w:szCs w:val="32"/>
          <w:lang w:bidi="ar"/>
        </w:rPr>
        <w:t>聚焦系泊材料性能验证、技术标准制定、产品认证检测</w:t>
      </w:r>
      <w:r>
        <w:rPr>
          <w:rFonts w:hint="eastAsia" w:ascii="仿宋_GB2312" w:hAnsi="仿宋_GB2312" w:eastAsia="仿宋_GB2312" w:cs="仿宋_GB2312"/>
          <w:color w:val="auto"/>
          <w:kern w:val="0"/>
          <w:sz w:val="32"/>
          <w:szCs w:val="32"/>
          <w:lang w:bidi="ar"/>
        </w:rPr>
        <w:t>服务，</w:t>
      </w:r>
      <w:r>
        <w:rPr>
          <w:rFonts w:ascii="仿宋_GB2312" w:hAnsi="仿宋_GB2312" w:eastAsia="仿宋_GB2312" w:cs="仿宋_GB2312"/>
          <w:color w:val="auto"/>
          <w:kern w:val="0"/>
          <w:sz w:val="32"/>
          <w:szCs w:val="32"/>
          <w:lang w:bidi="ar"/>
        </w:rPr>
        <w:t>加速系泊材料成果转化与产品迭代</w:t>
      </w:r>
      <w:r>
        <w:rPr>
          <w:rFonts w:hint="eastAsia" w:ascii="仿宋_GB2312" w:hAnsi="仿宋_GB2312" w:eastAsia="仿宋_GB2312" w:cs="仿宋_GB2312"/>
          <w:color w:val="auto"/>
          <w:kern w:val="0"/>
          <w:sz w:val="32"/>
          <w:szCs w:val="32"/>
          <w:lang w:bidi="ar"/>
        </w:rPr>
        <w:t>。</w:t>
      </w:r>
      <w:r>
        <w:rPr>
          <w:rFonts w:ascii="Times New Roman" w:hAnsi="Times New Roman" w:eastAsia="仿宋_GB2312" w:cs="Times New Roman"/>
          <w:color w:val="auto"/>
          <w:sz w:val="32"/>
          <w:szCs w:val="22"/>
        </w:rPr>
        <w:t>针对海工装备核心部件、深海结构件、海洋新能源装备关键基材</w:t>
      </w:r>
      <w:r>
        <w:rPr>
          <w:rFonts w:hint="eastAsia" w:ascii="Times New Roman" w:hAnsi="Times New Roman" w:eastAsia="仿宋_GB2312" w:cs="Times New Roman"/>
          <w:color w:val="auto"/>
          <w:sz w:val="32"/>
          <w:szCs w:val="22"/>
        </w:rPr>
        <w:t>，大力发展海洋生物新型功能纺织材料、特种纤维材料，布局特种金属及合金材料、非金属材料等。</w:t>
      </w:r>
    </w:p>
    <w:p w14:paraId="0947461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Times New Roman" w:eastAsia="仿宋_GB2312" w:cs="Times New Roman"/>
          <w:b w:val="0"/>
          <w:bCs w:val="0"/>
          <w:color w:val="auto"/>
          <w:sz w:val="32"/>
          <w:szCs w:val="22"/>
        </w:rPr>
        <w:t>——</w:t>
      </w:r>
      <w:r>
        <w:rPr>
          <w:rFonts w:hint="eastAsia" w:ascii="仿宋_GB2312" w:hAnsi="Times New Roman" w:eastAsia="仿宋_GB2312" w:cs="Times New Roman"/>
          <w:b w:val="0"/>
          <w:bCs w:val="0"/>
          <w:color w:val="auto"/>
          <w:kern w:val="2"/>
          <w:sz w:val="32"/>
          <w:szCs w:val="22"/>
          <w:lang w:val="en-US" w:eastAsia="zh-CN" w:bidi="ar"/>
        </w:rPr>
        <w:t>海工配套服务。</w:t>
      </w:r>
      <w:r>
        <w:rPr>
          <w:rFonts w:hint="eastAsia" w:ascii="仿宋_GB2312" w:hAnsi="仿宋_GB2312" w:eastAsia="仿宋_GB2312" w:cs="仿宋_GB2312"/>
          <w:color w:val="auto"/>
          <w:kern w:val="0"/>
          <w:sz w:val="32"/>
          <w:szCs w:val="32"/>
          <w:lang w:bidi="ar"/>
        </w:rPr>
        <w:t>依托链主企业带动作用，联动山东省海洋产权交易中心，搭建线上线下融合的海工装备贸易服务与产权交易一体化平台，拓展海工装备、海洋数据等交易品类，整合产权交易、物流、金融、保险、法律等配套服务资源，提供“产权流转-贸易洽谈-物流运输-金融保障-售后运维”一站式解决方案。以技术创新为牵引，</w:t>
      </w:r>
      <w:r>
        <w:rPr>
          <w:rFonts w:hint="eastAsia" w:ascii="仿宋_GB2312" w:hAnsi="仿宋_GB2312" w:eastAsia="仿宋_GB2312" w:cs="仿宋_GB2312"/>
          <w:color w:val="auto"/>
          <w:kern w:val="0"/>
          <w:sz w:val="32"/>
          <w:szCs w:val="32"/>
          <w:lang w:val="en-US" w:eastAsia="zh-CN" w:bidi="ar"/>
        </w:rPr>
        <w:t>发展</w:t>
      </w:r>
      <w:r>
        <w:rPr>
          <w:rFonts w:hint="eastAsia" w:ascii="仿宋_GB2312" w:hAnsi="仿宋_GB2312" w:eastAsia="仿宋_GB2312" w:cs="仿宋_GB2312"/>
          <w:color w:val="auto"/>
          <w:kern w:val="0"/>
          <w:sz w:val="32"/>
          <w:szCs w:val="32"/>
          <w:lang w:bidi="ar"/>
        </w:rPr>
        <w:t>海上风电运维服务、海洋环境实时监测、海洋工程技术服务等涉海服务</w:t>
      </w:r>
      <w:r>
        <w:rPr>
          <w:rFonts w:hint="eastAsia" w:ascii="仿宋_GB2312" w:hAnsi="仿宋_GB2312" w:eastAsia="仿宋_GB2312" w:cs="仿宋_GB2312"/>
          <w:color w:val="auto"/>
          <w:kern w:val="0"/>
          <w:sz w:val="32"/>
          <w:szCs w:val="32"/>
          <w:lang w:eastAsia="zh-CN" w:bidi="ar"/>
        </w:rPr>
        <w:t>，</w:t>
      </w:r>
      <w:r>
        <w:rPr>
          <w:rFonts w:hint="eastAsia" w:ascii="仿宋_GB2312" w:hAnsi="仿宋_GB2312" w:eastAsia="仿宋_GB2312" w:cs="仿宋_GB2312"/>
          <w:color w:val="auto"/>
          <w:kern w:val="0"/>
          <w:sz w:val="32"/>
          <w:szCs w:val="32"/>
          <w:lang w:val="en-US" w:eastAsia="zh-CN" w:bidi="ar"/>
        </w:rPr>
        <w:t>提升海洋信息服务等公共管理服务效能。深化智慧海洋建设，推动海洋工程产业与公共服务产业深度融合，</w:t>
      </w:r>
      <w:r>
        <w:rPr>
          <w:rFonts w:hint="eastAsia" w:ascii="仿宋_GB2312" w:hAnsi="仿宋_GB2312" w:eastAsia="仿宋_GB2312" w:cs="仿宋_GB2312"/>
          <w:color w:val="auto"/>
          <w:kern w:val="0"/>
          <w:sz w:val="32"/>
          <w:szCs w:val="32"/>
          <w:lang w:eastAsia="zh-CN" w:bidi="ar"/>
        </w:rPr>
        <w:t>延伸拓展产业链条，</w:t>
      </w:r>
      <w:r>
        <w:rPr>
          <w:rFonts w:hint="eastAsia" w:ascii="仿宋_GB2312" w:hAnsi="仿宋_GB2312" w:eastAsia="仿宋_GB2312" w:cs="仿宋_GB2312"/>
          <w:color w:val="auto"/>
          <w:kern w:val="0"/>
          <w:sz w:val="32"/>
          <w:szCs w:val="32"/>
          <w:lang w:bidi="ar"/>
        </w:rPr>
        <w:t>深化“海工+能源+渔业+文旅+产权”多业态融合发展模式</w:t>
      </w:r>
      <w:r>
        <w:rPr>
          <w:rFonts w:hint="eastAsia" w:ascii="仿宋_GB2312" w:hAnsi="仿宋_GB2312" w:eastAsia="仿宋_GB2312" w:cs="仿宋_GB2312"/>
          <w:color w:val="auto"/>
          <w:kern w:val="0"/>
          <w:sz w:val="32"/>
          <w:szCs w:val="32"/>
          <w:lang w:eastAsia="zh-CN" w:bidi="ar"/>
        </w:rPr>
        <w:t>，</w:t>
      </w:r>
      <w:r>
        <w:rPr>
          <w:rFonts w:hint="eastAsia" w:ascii="仿宋_GB2312" w:hAnsi="仿宋_GB2312" w:eastAsia="仿宋_GB2312" w:cs="仿宋_GB2312"/>
          <w:color w:val="auto"/>
          <w:kern w:val="0"/>
          <w:sz w:val="32"/>
          <w:szCs w:val="32"/>
          <w:lang w:val="en-US" w:eastAsia="zh-CN" w:bidi="ar"/>
        </w:rPr>
        <w:t>持续激活海洋经济发展活力，加快构建特色鲜明、配套完善的现代化海洋产业体系，助推高新区海洋经济高质量发展。</w:t>
      </w:r>
    </w:p>
    <w:p w14:paraId="037948E8">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64" w:name="_Toc230591539"/>
      <w:bookmarkStart w:id="65" w:name="_Toc27927"/>
      <w:bookmarkStart w:id="66" w:name="_Toc16553"/>
      <w:bookmarkStart w:id="67" w:name="_Toc209796037"/>
      <w:bookmarkStart w:id="68" w:name="_Toc230188701"/>
      <w:bookmarkStart w:id="69" w:name="_Toc28040"/>
      <w:bookmarkStart w:id="70" w:name="_Toc23974"/>
      <w:r>
        <w:rPr>
          <w:rFonts w:hint="eastAsia" w:ascii="黑体" w:hAnsi="黑体" w:eastAsia="黑体" w:cs="Times New Roman"/>
          <w:b w:val="0"/>
          <w:bCs w:val="0"/>
          <w:color w:val="auto"/>
          <w:kern w:val="2"/>
          <w:sz w:val="32"/>
          <w:szCs w:val="32"/>
          <w:lang w:val="en-US" w:eastAsia="zh-CN" w:bidi="ar-SA"/>
        </w:rPr>
        <w:t>第四节  繁荣发展现代服务业</w:t>
      </w:r>
      <w:bookmarkEnd w:id="64"/>
      <w:bookmarkEnd w:id="65"/>
      <w:bookmarkEnd w:id="66"/>
      <w:bookmarkEnd w:id="67"/>
      <w:bookmarkEnd w:id="68"/>
      <w:bookmarkEnd w:id="69"/>
      <w:bookmarkEnd w:id="70"/>
    </w:p>
    <w:p w14:paraId="5EEEA2C1">
      <w:pPr>
        <w:spacing w:line="560" w:lineRule="exact"/>
        <w:ind w:firstLine="640" w:firstLineChars="200"/>
        <w:rPr>
          <w:rFonts w:ascii="Times New Roman" w:hAnsi="Times New Roman" w:eastAsia="仿宋_GB2312" w:cs="Times New Roman"/>
          <w:color w:val="auto"/>
          <w:sz w:val="32"/>
          <w:szCs w:val="22"/>
        </w:rPr>
      </w:pPr>
      <w:r>
        <w:rPr>
          <w:rFonts w:hint="eastAsia" w:ascii="仿宋_GB2312" w:hAnsi="仿宋_GB2312" w:eastAsia="仿宋_GB2312" w:cs="仿宋_GB2312"/>
          <w:color w:val="auto"/>
          <w:sz w:val="32"/>
          <w:szCs w:val="22"/>
        </w:rPr>
        <w:t>深化现代服务业与制造业融合发展，聚焦数智服务、科技服务、现代金融、文化旅游、现代贸易等重点领域，打造全市服务经济发展高地。</w:t>
      </w:r>
    </w:p>
    <w:p w14:paraId="03E6A1FB">
      <w:pPr>
        <w:spacing w:line="560" w:lineRule="exact"/>
        <w:ind w:firstLine="640" w:firstLineChars="200"/>
        <w:rPr>
          <w:rFonts w:hint="eastAsia" w:ascii="Times New Roman" w:hAnsi="Times New Roman" w:eastAsia="仿宋_GB2312" w:cs="Times New Roman"/>
          <w:bCs/>
          <w:color w:val="auto"/>
          <w:sz w:val="32"/>
          <w:szCs w:val="32"/>
          <w:lang w:bidi="ar"/>
        </w:rPr>
      </w:pPr>
      <w:r>
        <w:rPr>
          <w:rFonts w:hint="eastAsia" w:ascii="楷体_GB2312" w:hAnsi="Times New Roman" w:eastAsia="楷体_GB2312" w:cs="Times New Roman"/>
          <w:color w:val="auto"/>
          <w:sz w:val="32"/>
          <w:szCs w:val="22"/>
        </w:rPr>
        <w:t>数智服务业。</w:t>
      </w:r>
      <w:r>
        <w:rPr>
          <w:rFonts w:hint="eastAsia" w:ascii="Times New Roman" w:hAnsi="Times New Roman" w:eastAsia="仿宋_GB2312" w:cs="Times New Roman"/>
          <w:bCs/>
          <w:color w:val="auto"/>
          <w:sz w:val="32"/>
          <w:szCs w:val="32"/>
          <w:lang w:bidi="ar"/>
        </w:rPr>
        <w:t>以人工智能赋能发展为主线，按照“高质量数据集+行业垂直模型+智能体+智能终端/智能装备”产业技术路径，重点发展人工智能</w:t>
      </w:r>
      <w:r>
        <w:rPr>
          <w:rFonts w:hint="eastAsia" w:ascii="Times New Roman" w:hAnsi="Times New Roman" w:eastAsia="仿宋_GB2312" w:cs="Times New Roman"/>
          <w:bCs/>
          <w:color w:val="auto"/>
          <w:sz w:val="32"/>
          <w:szCs w:val="32"/>
          <w:lang w:val="en-US" w:eastAsia="zh-CN" w:bidi="ar"/>
        </w:rPr>
        <w:t>+、</w:t>
      </w:r>
      <w:r>
        <w:rPr>
          <w:rFonts w:hint="eastAsia" w:ascii="Times New Roman" w:hAnsi="Times New Roman" w:eastAsia="仿宋_GB2312" w:cs="Times New Roman"/>
          <w:bCs/>
          <w:color w:val="auto"/>
          <w:sz w:val="32"/>
          <w:szCs w:val="32"/>
          <w:lang w:bidi="ar"/>
        </w:rPr>
        <w:t>软件</w:t>
      </w:r>
      <w:r>
        <w:rPr>
          <w:rFonts w:hint="eastAsia" w:ascii="Times New Roman" w:hAnsi="Times New Roman" w:eastAsia="仿宋_GB2312" w:cs="Times New Roman"/>
          <w:bCs/>
          <w:color w:val="auto"/>
          <w:sz w:val="32"/>
          <w:szCs w:val="32"/>
          <w:lang w:val="en-US" w:eastAsia="zh-CN" w:bidi="ar"/>
        </w:rPr>
        <w:t>信息</w:t>
      </w:r>
      <w:r>
        <w:rPr>
          <w:rFonts w:hint="eastAsia" w:ascii="Times New Roman" w:hAnsi="Times New Roman" w:eastAsia="仿宋_GB2312" w:cs="Times New Roman"/>
          <w:bCs/>
          <w:color w:val="auto"/>
          <w:sz w:val="32"/>
          <w:szCs w:val="32"/>
          <w:lang w:bidi="ar"/>
        </w:rPr>
        <w:t>、智能网联、数据要素四大领域，大力培育一批人工智能标志性产品，着力打造全市数智产业新兴高地，培育百亿级数智服务业产业集群。</w:t>
      </w:r>
    </w:p>
    <w:p w14:paraId="24AB97FA">
      <w:pPr>
        <w:spacing w:line="560" w:lineRule="exact"/>
        <w:ind w:firstLine="640" w:firstLineChars="200"/>
        <w:rPr>
          <w:rFonts w:hint="eastAsia" w:ascii="Times New Roman" w:hAnsi="Times New Roman" w:eastAsia="仿宋_GB2312" w:cs="Times New Roman"/>
          <w:bCs/>
          <w:color w:val="auto"/>
          <w:sz w:val="32"/>
          <w:szCs w:val="32"/>
          <w:lang w:bidi="ar"/>
        </w:rPr>
      </w:pPr>
      <w:r>
        <w:rPr>
          <w:rFonts w:hint="eastAsia" w:ascii="Times New Roman" w:hAnsi="Times New Roman" w:eastAsia="仿宋_GB2312" w:cs="Times New Roman"/>
          <w:b w:val="0"/>
          <w:bCs w:val="0"/>
          <w:color w:val="auto"/>
          <w:sz w:val="32"/>
          <w:szCs w:val="22"/>
        </w:rPr>
        <w:t>——</w:t>
      </w:r>
      <w:r>
        <w:rPr>
          <w:rFonts w:hint="eastAsia" w:ascii="Times New Roman" w:hAnsi="Times New Roman" w:eastAsia="仿宋_GB2312" w:cs="Times New Roman"/>
          <w:b w:val="0"/>
          <w:bCs w:val="0"/>
          <w:color w:val="auto"/>
          <w:sz w:val="32"/>
          <w:szCs w:val="32"/>
          <w:lang w:bidi="ar"/>
        </w:rPr>
        <w:t>人工智能+。</w:t>
      </w:r>
      <w:r>
        <w:rPr>
          <w:rFonts w:hint="eastAsia" w:ascii="Times New Roman" w:hAnsi="Times New Roman" w:eastAsia="仿宋_GB2312" w:cs="Times New Roman"/>
          <w:bCs/>
          <w:color w:val="auto"/>
          <w:kern w:val="2"/>
          <w:sz w:val="32"/>
          <w:szCs w:val="32"/>
          <w:lang w:val="en-US" w:eastAsia="zh-CN" w:bidi="ar"/>
        </w:rPr>
        <w:t>加快智能原生技术、产品和服务体系建设，</w:t>
      </w:r>
      <w:r>
        <w:rPr>
          <w:rFonts w:hint="eastAsia" w:ascii="Times New Roman" w:hAnsi="Times New Roman" w:eastAsia="仿宋_GB2312" w:cs="Times New Roman"/>
          <w:bCs/>
          <w:color w:val="auto"/>
          <w:kern w:val="2"/>
          <w:sz w:val="32"/>
          <w:szCs w:val="32"/>
          <w:lang w:bidi="ar"/>
        </w:rPr>
        <w:t>推动人工智能深度赋能生物医药、航空航天、海洋工程、未来新兴产业及民生政务领域</w:t>
      </w:r>
      <w:r>
        <w:rPr>
          <w:rFonts w:hint="eastAsia" w:ascii="Times New Roman" w:hAnsi="Times New Roman" w:eastAsia="仿宋_GB2312" w:cs="Times New Roman"/>
          <w:bCs/>
          <w:color w:val="auto"/>
          <w:kern w:val="2"/>
          <w:sz w:val="32"/>
          <w:szCs w:val="32"/>
          <w:lang w:eastAsia="zh-CN" w:bidi="ar"/>
        </w:rPr>
        <w:t>，</w:t>
      </w:r>
      <w:r>
        <w:rPr>
          <w:rFonts w:hint="eastAsia" w:ascii="Times New Roman" w:hAnsi="Times New Roman" w:eastAsia="仿宋_GB2312" w:cs="Times New Roman"/>
          <w:bCs/>
          <w:color w:val="auto"/>
          <w:sz w:val="32"/>
          <w:szCs w:val="32"/>
          <w:highlight w:val="none"/>
          <w:lang w:bidi="ar"/>
        </w:rPr>
        <w:t>推进新一代智能终端和</w:t>
      </w:r>
      <w:r>
        <w:rPr>
          <w:rFonts w:hint="eastAsia" w:ascii="Times New Roman" w:hAnsi="Times New Roman" w:eastAsia="仿宋_GB2312" w:cs="Times New Roman"/>
          <w:bCs/>
          <w:color w:val="auto"/>
          <w:sz w:val="32"/>
          <w:szCs w:val="32"/>
          <w:highlight w:val="none"/>
          <w:lang w:val="en-US" w:eastAsia="zh-CN" w:bidi="ar"/>
        </w:rPr>
        <w:t>行业</w:t>
      </w:r>
      <w:r>
        <w:rPr>
          <w:rFonts w:hint="eastAsia" w:ascii="Times New Roman" w:hAnsi="Times New Roman" w:eastAsia="仿宋_GB2312" w:cs="Times New Roman"/>
          <w:bCs/>
          <w:color w:val="auto"/>
          <w:sz w:val="32"/>
          <w:szCs w:val="32"/>
          <w:highlight w:val="none"/>
          <w:lang w:bidi="ar"/>
        </w:rPr>
        <w:t>智能体广泛应用，</w:t>
      </w:r>
      <w:r>
        <w:rPr>
          <w:rFonts w:hint="eastAsia" w:ascii="Times New Roman" w:hAnsi="Times New Roman" w:eastAsia="仿宋_GB2312" w:cs="Times New Roman"/>
          <w:bCs/>
          <w:color w:val="auto"/>
          <w:kern w:val="2"/>
          <w:sz w:val="32"/>
          <w:szCs w:val="32"/>
          <w:lang w:bidi="ar"/>
        </w:rPr>
        <w:t>支持大模型自主研发、算力训练与市场化推广，依托智能技术重塑产业服务全链条、全要素、全场景，形成一批人工智能+行业解决方案。依托山东省多模态数据智能分析与应用工程研究中心等创新载体，攻坚多模态数据融合、通用智能体搭建等</w:t>
      </w:r>
      <w:r>
        <w:rPr>
          <w:rFonts w:hint="eastAsia" w:ascii="仿宋_GB2312" w:hAnsi="仿宋_GB2312" w:eastAsia="仿宋_GB2312" w:cs="仿宋_GB2312"/>
          <w:bCs/>
          <w:color w:val="auto"/>
          <w:kern w:val="2"/>
          <w:sz w:val="32"/>
          <w:szCs w:val="32"/>
          <w:lang w:val="en-US" w:eastAsia="zh-CN" w:bidi="ar"/>
        </w:rPr>
        <w:t>AI</w:t>
      </w:r>
      <w:r>
        <w:rPr>
          <w:rFonts w:hint="eastAsia" w:ascii="仿宋_GB2312" w:hAnsi="仿宋_GB2312" w:eastAsia="仿宋_GB2312" w:cs="仿宋_GB2312"/>
          <w:bCs/>
          <w:color w:val="auto"/>
          <w:kern w:val="2"/>
          <w:sz w:val="32"/>
          <w:szCs w:val="32"/>
          <w:lang w:bidi="ar"/>
        </w:rPr>
        <w:t>核心算法，</w:t>
      </w:r>
      <w:r>
        <w:rPr>
          <w:rFonts w:hint="eastAsia" w:ascii="Times New Roman" w:hAnsi="Times New Roman" w:eastAsia="仿宋_GB2312" w:cs="Times New Roman"/>
          <w:b w:val="0"/>
          <w:bCs/>
          <w:color w:val="auto"/>
          <w:sz w:val="32"/>
          <w:szCs w:val="32"/>
          <w:highlight w:val="none"/>
          <w:lang w:bidi="ar"/>
        </w:rPr>
        <w:t>培育细分行业垂类数据大模型</w:t>
      </w:r>
      <w:r>
        <w:rPr>
          <w:rFonts w:hint="eastAsia" w:ascii="Times New Roman" w:hAnsi="Times New Roman" w:eastAsia="仿宋_GB2312" w:cs="Times New Roman"/>
          <w:b w:val="0"/>
          <w:bCs/>
          <w:color w:val="auto"/>
          <w:sz w:val="32"/>
          <w:szCs w:val="32"/>
          <w:highlight w:val="none"/>
          <w:lang w:eastAsia="zh-CN" w:bidi="ar"/>
        </w:rPr>
        <w:t>。</w:t>
      </w:r>
      <w:r>
        <w:rPr>
          <w:rFonts w:hint="eastAsia" w:ascii="Times New Roman" w:hAnsi="Times New Roman" w:eastAsia="仿宋_GB2312" w:cs="Times New Roman"/>
          <w:b w:val="0"/>
          <w:bCs/>
          <w:color w:val="auto"/>
          <w:sz w:val="32"/>
          <w:szCs w:val="32"/>
          <w:highlight w:val="none"/>
          <w:lang w:val="en-US" w:eastAsia="zh-CN" w:bidi="ar"/>
        </w:rPr>
        <w:t>鼓励企业以智能机器人、智能解决方案为突破口，</w:t>
      </w:r>
      <w:r>
        <w:rPr>
          <w:rFonts w:hint="eastAsia" w:ascii="Times New Roman" w:hAnsi="Times New Roman" w:eastAsia="仿宋_GB2312" w:cs="Times New Roman"/>
          <w:bCs/>
          <w:color w:val="auto"/>
          <w:kern w:val="2"/>
          <w:sz w:val="32"/>
          <w:szCs w:val="32"/>
          <w:lang w:bidi="ar"/>
        </w:rPr>
        <w:t>持续推动人工智能与</w:t>
      </w:r>
      <w:r>
        <w:rPr>
          <w:rFonts w:hint="eastAsia" w:ascii="Times New Roman" w:hAnsi="Times New Roman" w:eastAsia="仿宋_GB2312" w:cs="Times New Roman"/>
          <w:bCs/>
          <w:color w:val="auto"/>
          <w:kern w:val="2"/>
          <w:sz w:val="32"/>
          <w:szCs w:val="32"/>
          <w:lang w:val="en-US" w:eastAsia="zh-CN" w:bidi="ar"/>
        </w:rPr>
        <w:t>产业发展、</w:t>
      </w:r>
      <w:r>
        <w:rPr>
          <w:rFonts w:hint="eastAsia" w:ascii="Times New Roman" w:hAnsi="Times New Roman" w:eastAsia="仿宋_GB2312" w:cs="Times New Roman"/>
          <w:bCs/>
          <w:color w:val="auto"/>
          <w:kern w:val="2"/>
          <w:sz w:val="32"/>
          <w:szCs w:val="32"/>
          <w:lang w:bidi="ar"/>
        </w:rPr>
        <w:t>消费升级、民生保障、数字政务、企业跨境发展等领域深度耦合，以智能技术全面激活经济社会发展新动能。</w:t>
      </w:r>
    </w:p>
    <w:p w14:paraId="41E0C1D2">
      <w:pPr>
        <w:spacing w:line="560" w:lineRule="exact"/>
        <w:ind w:firstLine="640" w:firstLineChars="200"/>
        <w:rPr>
          <w:rFonts w:hint="eastAsia" w:ascii="仿宋_GB2312" w:hAnsi="仿宋_GB2312" w:eastAsia="仿宋_GB2312" w:cs="仿宋_GB2312"/>
          <w:b w:val="0"/>
          <w:bCs/>
          <w:color w:val="auto"/>
          <w:sz w:val="32"/>
          <w:szCs w:val="32"/>
          <w:lang w:bidi="ar"/>
        </w:rPr>
      </w:pPr>
      <w:r>
        <w:rPr>
          <w:rFonts w:hint="eastAsia" w:ascii="Times New Roman" w:hAnsi="Times New Roman" w:eastAsia="仿宋_GB2312" w:cs="Times New Roman"/>
          <w:b w:val="0"/>
          <w:bCs/>
          <w:color w:val="auto"/>
          <w:sz w:val="32"/>
          <w:szCs w:val="32"/>
          <w:lang w:bidi="ar"/>
        </w:rPr>
        <w:t>——软件</w:t>
      </w:r>
      <w:r>
        <w:rPr>
          <w:rFonts w:hint="eastAsia" w:ascii="Times New Roman" w:hAnsi="Times New Roman" w:eastAsia="仿宋_GB2312" w:cs="Times New Roman"/>
          <w:b w:val="0"/>
          <w:bCs/>
          <w:color w:val="auto"/>
          <w:sz w:val="32"/>
          <w:szCs w:val="32"/>
          <w:lang w:val="en-US" w:eastAsia="zh-CN" w:bidi="ar"/>
        </w:rPr>
        <w:t>信息</w:t>
      </w:r>
      <w:r>
        <w:rPr>
          <w:rFonts w:hint="eastAsia" w:ascii="Times New Roman" w:hAnsi="Times New Roman" w:eastAsia="仿宋_GB2312" w:cs="Times New Roman"/>
          <w:b w:val="0"/>
          <w:bCs/>
          <w:color w:val="auto"/>
          <w:sz w:val="32"/>
          <w:szCs w:val="32"/>
          <w:lang w:bidi="ar"/>
        </w:rPr>
        <w:t>。</w:t>
      </w:r>
      <w:r>
        <w:rPr>
          <w:rFonts w:hint="eastAsia" w:ascii="Times New Roman" w:hAnsi="Times New Roman" w:eastAsia="仿宋_GB2312" w:cs="Times New Roman"/>
          <w:bCs/>
          <w:color w:val="auto"/>
          <w:sz w:val="32"/>
          <w:szCs w:val="32"/>
          <w:lang w:bidi="ar"/>
        </w:rPr>
        <w:t>聚</w:t>
      </w:r>
      <w:r>
        <w:rPr>
          <w:rFonts w:hint="eastAsia" w:ascii="仿宋_GB2312" w:hAnsi="仿宋_GB2312" w:eastAsia="仿宋_GB2312" w:cs="仿宋_GB2312"/>
          <w:b w:val="0"/>
          <w:bCs/>
          <w:color w:val="auto"/>
          <w:sz w:val="32"/>
          <w:szCs w:val="32"/>
          <w:lang w:bidi="ar"/>
        </w:rPr>
        <w:t>焦大模型引领、数据资产化、</w:t>
      </w:r>
      <w:r>
        <w:rPr>
          <w:rFonts w:hint="eastAsia" w:ascii="仿宋_GB2312" w:hAnsi="仿宋_GB2312" w:eastAsia="仿宋_GB2312" w:cs="仿宋_GB2312"/>
          <w:b w:val="0"/>
          <w:bCs/>
          <w:color w:val="auto"/>
          <w:sz w:val="32"/>
          <w:szCs w:val="32"/>
          <w:lang w:val="en-US" w:eastAsia="zh-CN" w:bidi="ar"/>
        </w:rPr>
        <w:t>产业</w:t>
      </w:r>
      <w:r>
        <w:rPr>
          <w:rFonts w:hint="eastAsia" w:ascii="仿宋_GB2312" w:hAnsi="仿宋_GB2312" w:eastAsia="仿宋_GB2312" w:cs="仿宋_GB2312"/>
          <w:b w:val="0"/>
          <w:bCs/>
          <w:color w:val="auto"/>
          <w:sz w:val="32"/>
          <w:szCs w:val="32"/>
          <w:lang w:bidi="ar"/>
        </w:rPr>
        <w:t>数字化转型</w:t>
      </w:r>
      <w:r>
        <w:rPr>
          <w:rFonts w:hint="eastAsia" w:ascii="仿宋_GB2312" w:hAnsi="仿宋_GB2312" w:eastAsia="仿宋_GB2312" w:cs="仿宋_GB2312"/>
          <w:b w:val="0"/>
          <w:bCs/>
          <w:color w:val="auto"/>
          <w:sz w:val="32"/>
          <w:szCs w:val="32"/>
          <w:lang w:val="en-US" w:eastAsia="zh-CN" w:bidi="ar"/>
        </w:rPr>
        <w:t>发展</w:t>
      </w:r>
      <w:r>
        <w:rPr>
          <w:rFonts w:hint="eastAsia" w:ascii="仿宋_GB2312" w:hAnsi="仿宋_GB2312" w:eastAsia="仿宋_GB2312" w:cs="仿宋_GB2312"/>
          <w:b w:val="0"/>
          <w:bCs/>
          <w:color w:val="auto"/>
          <w:sz w:val="32"/>
          <w:szCs w:val="32"/>
          <w:lang w:bidi="ar"/>
        </w:rPr>
        <w:t>方向，围绕开源</w:t>
      </w:r>
      <w:r>
        <w:rPr>
          <w:rFonts w:hint="eastAsia" w:ascii="仿宋_GB2312" w:hAnsi="仿宋_GB2312" w:eastAsia="仿宋_GB2312" w:cs="仿宋_GB2312"/>
          <w:b w:val="0"/>
          <w:bCs/>
          <w:color w:val="auto"/>
          <w:sz w:val="32"/>
          <w:szCs w:val="32"/>
          <w:lang w:val="en-US" w:eastAsia="zh-CN" w:bidi="ar"/>
        </w:rPr>
        <w:t>协同</w:t>
      </w:r>
      <w:r>
        <w:rPr>
          <w:rFonts w:hint="eastAsia" w:ascii="仿宋_GB2312" w:hAnsi="仿宋_GB2312" w:eastAsia="仿宋_GB2312" w:cs="仿宋_GB2312"/>
          <w:b w:val="0"/>
          <w:bCs/>
          <w:color w:val="auto"/>
          <w:sz w:val="32"/>
          <w:szCs w:val="32"/>
          <w:lang w:bidi="ar"/>
        </w:rPr>
        <w:t>、云</w:t>
      </w:r>
      <w:r>
        <w:rPr>
          <w:rFonts w:hint="eastAsia" w:ascii="仿宋_GB2312" w:hAnsi="仿宋_GB2312" w:eastAsia="仿宋_GB2312" w:cs="仿宋_GB2312"/>
          <w:b w:val="0"/>
          <w:bCs/>
          <w:color w:val="auto"/>
          <w:sz w:val="32"/>
          <w:szCs w:val="32"/>
          <w:lang w:val="en-US" w:eastAsia="zh-CN" w:bidi="ar"/>
        </w:rPr>
        <w:t>端部署</w:t>
      </w:r>
      <w:r>
        <w:rPr>
          <w:rFonts w:hint="eastAsia" w:ascii="仿宋_GB2312" w:hAnsi="仿宋_GB2312" w:eastAsia="仿宋_GB2312" w:cs="仿宋_GB2312"/>
          <w:b w:val="0"/>
          <w:bCs/>
          <w:color w:val="auto"/>
          <w:sz w:val="32"/>
          <w:szCs w:val="32"/>
          <w:lang w:bidi="ar"/>
        </w:rPr>
        <w:t>、平台</w:t>
      </w:r>
      <w:r>
        <w:rPr>
          <w:rFonts w:hint="eastAsia" w:ascii="仿宋_GB2312" w:hAnsi="仿宋_GB2312" w:eastAsia="仿宋_GB2312" w:cs="仿宋_GB2312"/>
          <w:b w:val="0"/>
          <w:bCs/>
          <w:color w:val="auto"/>
          <w:sz w:val="32"/>
          <w:szCs w:val="32"/>
          <w:lang w:val="en-US" w:eastAsia="zh-CN" w:bidi="ar"/>
        </w:rPr>
        <w:t>赋能</w:t>
      </w:r>
      <w:r>
        <w:rPr>
          <w:rFonts w:hint="eastAsia" w:ascii="仿宋_GB2312" w:hAnsi="仿宋_GB2312" w:eastAsia="仿宋_GB2312" w:cs="仿宋_GB2312"/>
          <w:b w:val="0"/>
          <w:bCs/>
          <w:color w:val="auto"/>
          <w:sz w:val="32"/>
          <w:szCs w:val="32"/>
          <w:lang w:bidi="ar"/>
        </w:rPr>
        <w:t>、软硬件一体化</w:t>
      </w:r>
      <w:r>
        <w:rPr>
          <w:rFonts w:hint="eastAsia" w:ascii="仿宋_GB2312" w:hAnsi="仿宋_GB2312" w:eastAsia="仿宋_GB2312" w:cs="仿宋_GB2312"/>
          <w:b w:val="0"/>
          <w:bCs/>
          <w:color w:val="auto"/>
          <w:sz w:val="32"/>
          <w:szCs w:val="32"/>
          <w:lang w:val="en-US" w:eastAsia="zh-CN" w:bidi="ar"/>
        </w:rPr>
        <w:t>产业</w:t>
      </w:r>
      <w:r>
        <w:rPr>
          <w:rFonts w:hint="eastAsia" w:ascii="仿宋_GB2312" w:hAnsi="仿宋_GB2312" w:eastAsia="仿宋_GB2312" w:cs="仿宋_GB2312"/>
          <w:b w:val="0"/>
          <w:bCs/>
          <w:color w:val="auto"/>
          <w:sz w:val="32"/>
          <w:szCs w:val="32"/>
          <w:lang w:bidi="ar"/>
        </w:rPr>
        <w:t>趋势，</w:t>
      </w:r>
      <w:r>
        <w:rPr>
          <w:rFonts w:hint="eastAsia" w:ascii="仿宋_GB2312" w:hAnsi="仿宋_GB2312" w:eastAsia="仿宋_GB2312" w:cs="仿宋_GB2312"/>
          <w:b w:val="0"/>
          <w:bCs/>
          <w:color w:val="auto"/>
          <w:sz w:val="32"/>
          <w:szCs w:val="32"/>
          <w:lang w:val="en-US" w:eastAsia="zh-CN" w:bidi="ar"/>
        </w:rPr>
        <w:t>聚焦智能制造</w:t>
      </w:r>
      <w:r>
        <w:rPr>
          <w:rFonts w:hint="eastAsia" w:ascii="仿宋_GB2312" w:hAnsi="仿宋_GB2312" w:eastAsia="仿宋_GB2312" w:cs="仿宋_GB2312"/>
          <w:b w:val="0"/>
          <w:bCs/>
          <w:color w:val="auto"/>
          <w:sz w:val="32"/>
          <w:szCs w:val="32"/>
          <w:lang w:bidi="ar"/>
        </w:rPr>
        <w:t>、</w:t>
      </w:r>
      <w:r>
        <w:rPr>
          <w:rFonts w:hint="eastAsia" w:ascii="仿宋_GB2312" w:hAnsi="仿宋_GB2312" w:eastAsia="仿宋_GB2312" w:cs="仿宋_GB2312"/>
          <w:b w:val="0"/>
          <w:bCs/>
          <w:color w:val="auto"/>
          <w:sz w:val="32"/>
          <w:szCs w:val="32"/>
          <w:lang w:val="en-US" w:eastAsia="zh-CN" w:bidi="ar"/>
        </w:rPr>
        <w:t>港航</w:t>
      </w:r>
      <w:r>
        <w:rPr>
          <w:rFonts w:hint="eastAsia" w:ascii="仿宋_GB2312" w:hAnsi="仿宋_GB2312" w:eastAsia="仿宋_GB2312" w:cs="仿宋_GB2312"/>
          <w:b w:val="0"/>
          <w:bCs/>
          <w:color w:val="auto"/>
          <w:sz w:val="32"/>
          <w:szCs w:val="32"/>
          <w:lang w:bidi="ar"/>
        </w:rPr>
        <w:t>物流</w:t>
      </w:r>
      <w:r>
        <w:rPr>
          <w:rFonts w:hint="eastAsia" w:ascii="仿宋_GB2312" w:hAnsi="仿宋_GB2312" w:eastAsia="仿宋_GB2312" w:cs="仿宋_GB2312"/>
          <w:b w:val="0"/>
          <w:bCs/>
          <w:color w:val="auto"/>
          <w:sz w:val="32"/>
          <w:szCs w:val="32"/>
          <w:lang w:eastAsia="zh-CN" w:bidi="ar"/>
        </w:rPr>
        <w:t>、</w:t>
      </w:r>
      <w:r>
        <w:rPr>
          <w:rFonts w:hint="eastAsia" w:ascii="仿宋_GB2312" w:hAnsi="仿宋_GB2312" w:eastAsia="仿宋_GB2312" w:cs="仿宋_GB2312"/>
          <w:b w:val="0"/>
          <w:bCs/>
          <w:color w:val="auto"/>
          <w:sz w:val="32"/>
          <w:szCs w:val="32"/>
          <w:lang w:val="en-US" w:eastAsia="zh-CN" w:bidi="ar"/>
        </w:rPr>
        <w:t>智慧城市、智能驾驶、电力能源</w:t>
      </w:r>
      <w:r>
        <w:rPr>
          <w:rFonts w:hint="eastAsia" w:ascii="仿宋_GB2312" w:hAnsi="仿宋_GB2312" w:eastAsia="仿宋_GB2312" w:cs="仿宋_GB2312"/>
          <w:b w:val="0"/>
          <w:bCs/>
          <w:color w:val="auto"/>
          <w:sz w:val="32"/>
          <w:szCs w:val="32"/>
          <w:lang w:bidi="ar"/>
        </w:rPr>
        <w:t>等</w:t>
      </w:r>
      <w:r>
        <w:rPr>
          <w:rFonts w:hint="eastAsia" w:ascii="仿宋_GB2312" w:hAnsi="仿宋_GB2312" w:eastAsia="仿宋_GB2312" w:cs="仿宋_GB2312"/>
          <w:b w:val="0"/>
          <w:bCs/>
          <w:color w:val="auto"/>
          <w:sz w:val="32"/>
          <w:szCs w:val="32"/>
          <w:lang w:val="en-US" w:eastAsia="zh-CN" w:bidi="ar"/>
        </w:rPr>
        <w:t>重点领域</w:t>
      </w:r>
      <w:r>
        <w:rPr>
          <w:rFonts w:hint="eastAsia" w:ascii="仿宋_GB2312" w:hAnsi="仿宋_GB2312" w:eastAsia="仿宋_GB2312" w:cs="仿宋_GB2312"/>
          <w:b w:val="0"/>
          <w:bCs/>
          <w:color w:val="auto"/>
          <w:sz w:val="32"/>
          <w:szCs w:val="32"/>
          <w:lang w:bidi="ar"/>
        </w:rPr>
        <w:t>，重点</w:t>
      </w:r>
      <w:r>
        <w:rPr>
          <w:rFonts w:hint="eastAsia" w:ascii="仿宋_GB2312" w:hAnsi="仿宋_GB2312" w:eastAsia="仿宋_GB2312" w:cs="仿宋_GB2312"/>
          <w:b w:val="0"/>
          <w:bCs/>
          <w:color w:val="auto"/>
          <w:sz w:val="32"/>
          <w:szCs w:val="32"/>
          <w:lang w:val="en-US" w:eastAsia="zh-CN" w:bidi="ar"/>
        </w:rPr>
        <w:t>攻关</w:t>
      </w:r>
      <w:r>
        <w:rPr>
          <w:rFonts w:hint="eastAsia" w:ascii="仿宋_GB2312" w:hAnsi="仿宋_GB2312" w:eastAsia="仿宋_GB2312" w:cs="仿宋_GB2312"/>
          <w:b w:val="0"/>
          <w:bCs/>
          <w:color w:val="auto"/>
          <w:sz w:val="32"/>
          <w:szCs w:val="32"/>
          <w:lang w:bidi="ar"/>
        </w:rPr>
        <w:t>行业专用</w:t>
      </w:r>
      <w:r>
        <w:rPr>
          <w:rFonts w:hint="eastAsia" w:ascii="仿宋_GB2312" w:hAnsi="仿宋_GB2312" w:eastAsia="仿宋_GB2312" w:cs="仿宋_GB2312"/>
          <w:b w:val="0"/>
          <w:bCs/>
          <w:color w:val="auto"/>
          <w:sz w:val="32"/>
          <w:szCs w:val="32"/>
          <w:lang w:val="en-US" w:eastAsia="zh-CN" w:bidi="ar"/>
        </w:rPr>
        <w:t>定制</w:t>
      </w:r>
      <w:r>
        <w:rPr>
          <w:rFonts w:hint="eastAsia" w:ascii="仿宋_GB2312" w:hAnsi="仿宋_GB2312" w:eastAsia="仿宋_GB2312" w:cs="仿宋_GB2312"/>
          <w:b w:val="0"/>
          <w:bCs/>
          <w:color w:val="auto"/>
          <w:sz w:val="32"/>
          <w:szCs w:val="32"/>
          <w:lang w:bidi="ar"/>
        </w:rPr>
        <w:t>软件，</w:t>
      </w:r>
      <w:r>
        <w:rPr>
          <w:rFonts w:hint="eastAsia" w:ascii="仿宋_GB2312" w:hAnsi="仿宋_GB2312" w:eastAsia="仿宋_GB2312" w:cs="仿宋_GB2312"/>
          <w:b w:val="0"/>
          <w:bCs/>
          <w:color w:val="auto"/>
          <w:sz w:val="32"/>
          <w:szCs w:val="32"/>
          <w:lang w:val="en-US" w:eastAsia="zh-CN" w:bidi="ar"/>
        </w:rPr>
        <w:t>大力研发</w:t>
      </w:r>
      <w:r>
        <w:rPr>
          <w:rFonts w:hint="eastAsia" w:ascii="仿宋_GB2312" w:hAnsi="仿宋_GB2312" w:eastAsia="仿宋_GB2312" w:cs="仿宋_GB2312"/>
          <w:b w:val="0"/>
          <w:bCs/>
          <w:color w:val="auto"/>
          <w:sz w:val="32"/>
          <w:szCs w:val="32"/>
          <w:lang w:bidi="ar"/>
        </w:rPr>
        <w:t>大模型</w:t>
      </w:r>
      <w:r>
        <w:rPr>
          <w:rFonts w:hint="eastAsia" w:ascii="仿宋_GB2312" w:hAnsi="仿宋_GB2312" w:eastAsia="仿宋_GB2312" w:cs="仿宋_GB2312"/>
          <w:b w:val="0"/>
          <w:bCs/>
          <w:color w:val="auto"/>
          <w:sz w:val="32"/>
          <w:szCs w:val="32"/>
          <w:lang w:val="en-US" w:eastAsia="zh-CN" w:bidi="ar"/>
        </w:rPr>
        <w:t>赋能</w:t>
      </w:r>
      <w:r>
        <w:rPr>
          <w:rFonts w:hint="eastAsia" w:ascii="仿宋_GB2312" w:hAnsi="仿宋_GB2312" w:eastAsia="仿宋_GB2312" w:cs="仿宋_GB2312"/>
          <w:b w:val="0"/>
          <w:bCs/>
          <w:color w:val="auto"/>
          <w:sz w:val="32"/>
          <w:szCs w:val="32"/>
          <w:lang w:bidi="ar"/>
        </w:rPr>
        <w:t>高端软件产品，培育</w:t>
      </w:r>
      <w:r>
        <w:rPr>
          <w:rFonts w:hint="eastAsia" w:ascii="仿宋_GB2312" w:hAnsi="仿宋_GB2312" w:eastAsia="仿宋_GB2312" w:cs="仿宋_GB2312"/>
          <w:b w:val="0"/>
          <w:bCs/>
          <w:color w:val="auto"/>
          <w:sz w:val="32"/>
          <w:szCs w:val="32"/>
          <w:lang w:val="en-US" w:eastAsia="zh-CN" w:bidi="ar"/>
        </w:rPr>
        <w:t>适配</w:t>
      </w:r>
      <w:r>
        <w:rPr>
          <w:rFonts w:hint="eastAsia" w:ascii="仿宋_GB2312" w:hAnsi="仿宋_GB2312" w:eastAsia="仿宋_GB2312" w:cs="仿宋_GB2312"/>
          <w:b w:val="0"/>
          <w:bCs/>
          <w:color w:val="auto"/>
          <w:sz w:val="32"/>
          <w:szCs w:val="32"/>
          <w:lang w:bidi="ar"/>
        </w:rPr>
        <w:t>行业智能体平台的操作系统、数据库与</w:t>
      </w:r>
      <w:r>
        <w:rPr>
          <w:rFonts w:hint="eastAsia" w:ascii="仿宋_GB2312" w:hAnsi="仿宋_GB2312" w:eastAsia="仿宋_GB2312" w:cs="仿宋_GB2312"/>
          <w:b w:val="0"/>
          <w:bCs/>
          <w:color w:val="auto"/>
          <w:sz w:val="32"/>
          <w:szCs w:val="32"/>
          <w:lang w:val="en-US" w:eastAsia="zh-CN" w:bidi="ar"/>
        </w:rPr>
        <w:t>行业</w:t>
      </w:r>
      <w:r>
        <w:rPr>
          <w:rFonts w:hint="eastAsia" w:ascii="仿宋_GB2312" w:hAnsi="仿宋_GB2312" w:eastAsia="仿宋_GB2312" w:cs="仿宋_GB2312"/>
          <w:b w:val="0"/>
          <w:bCs/>
          <w:color w:val="auto"/>
          <w:sz w:val="32"/>
          <w:szCs w:val="32"/>
          <w:lang w:bidi="ar"/>
        </w:rPr>
        <w:t>应用软件。</w:t>
      </w:r>
      <w:r>
        <w:rPr>
          <w:rFonts w:hint="eastAsia" w:ascii="仿宋_GB2312" w:hAnsi="仿宋_GB2312" w:eastAsia="仿宋_GB2312" w:cs="仿宋_GB2312"/>
          <w:b w:val="0"/>
          <w:bCs/>
          <w:color w:val="auto"/>
          <w:sz w:val="32"/>
          <w:szCs w:val="32"/>
          <w:lang w:val="en-US" w:eastAsia="zh-CN" w:bidi="ar"/>
        </w:rPr>
        <w:t>前瞻</w:t>
      </w:r>
      <w:r>
        <w:rPr>
          <w:rFonts w:hint="eastAsia" w:ascii="仿宋_GB2312" w:hAnsi="仿宋_GB2312" w:eastAsia="仿宋_GB2312" w:cs="仿宋_GB2312"/>
          <w:b w:val="0"/>
          <w:bCs/>
          <w:color w:val="auto"/>
          <w:sz w:val="32"/>
          <w:szCs w:val="32"/>
          <w:lang w:bidi="ar"/>
        </w:rPr>
        <w:t>布局AI</w:t>
      </w:r>
      <w:r>
        <w:rPr>
          <w:rFonts w:hint="eastAsia" w:ascii="仿宋_GB2312" w:hAnsi="仿宋_GB2312" w:eastAsia="仿宋_GB2312" w:cs="仿宋_GB2312"/>
          <w:b w:val="0"/>
          <w:bCs/>
          <w:color w:val="auto"/>
          <w:sz w:val="32"/>
          <w:szCs w:val="32"/>
          <w:lang w:val="en-US" w:eastAsia="zh-CN" w:bidi="ar"/>
        </w:rPr>
        <w:t>原生</w:t>
      </w:r>
      <w:r>
        <w:rPr>
          <w:rFonts w:hint="eastAsia" w:ascii="仿宋_GB2312" w:hAnsi="仿宋_GB2312" w:eastAsia="仿宋_GB2312" w:cs="仿宋_GB2312"/>
          <w:b w:val="0"/>
          <w:bCs/>
          <w:color w:val="auto"/>
          <w:sz w:val="32"/>
          <w:szCs w:val="32"/>
          <w:lang w:bidi="ar"/>
        </w:rPr>
        <w:t>软件、数字孪生、元宇宙等</w:t>
      </w:r>
      <w:r>
        <w:rPr>
          <w:rFonts w:hint="eastAsia" w:ascii="仿宋_GB2312" w:hAnsi="仿宋_GB2312" w:eastAsia="仿宋_GB2312" w:cs="仿宋_GB2312"/>
          <w:b w:val="0"/>
          <w:bCs/>
          <w:color w:val="auto"/>
          <w:sz w:val="32"/>
          <w:szCs w:val="32"/>
          <w:lang w:val="en-US" w:eastAsia="zh-CN" w:bidi="ar"/>
        </w:rPr>
        <w:t>前沿</w:t>
      </w:r>
      <w:r>
        <w:rPr>
          <w:rFonts w:hint="eastAsia" w:ascii="仿宋_GB2312" w:hAnsi="仿宋_GB2312" w:eastAsia="仿宋_GB2312" w:cs="仿宋_GB2312"/>
          <w:b w:val="0"/>
          <w:bCs/>
          <w:color w:val="auto"/>
          <w:sz w:val="32"/>
          <w:szCs w:val="32"/>
          <w:lang w:bidi="ar"/>
        </w:rPr>
        <w:t>软件</w:t>
      </w:r>
      <w:r>
        <w:rPr>
          <w:rFonts w:hint="eastAsia" w:ascii="仿宋_GB2312" w:hAnsi="仿宋_GB2312" w:eastAsia="仿宋_GB2312" w:cs="仿宋_GB2312"/>
          <w:b w:val="0"/>
          <w:bCs/>
          <w:color w:val="auto"/>
          <w:sz w:val="32"/>
          <w:szCs w:val="32"/>
          <w:lang w:val="en-US" w:eastAsia="zh-CN" w:bidi="ar"/>
        </w:rPr>
        <w:t>赛道</w:t>
      </w:r>
      <w:r>
        <w:rPr>
          <w:rFonts w:hint="eastAsia" w:ascii="仿宋_GB2312" w:hAnsi="仿宋_GB2312" w:eastAsia="仿宋_GB2312" w:cs="仿宋_GB2312"/>
          <w:b w:val="0"/>
          <w:bCs/>
          <w:color w:val="auto"/>
          <w:sz w:val="32"/>
          <w:szCs w:val="32"/>
          <w:lang w:bidi="ar"/>
        </w:rPr>
        <w:t>。</w:t>
      </w:r>
      <w:r>
        <w:rPr>
          <w:rFonts w:hint="eastAsia" w:ascii="仿宋_GB2312" w:hAnsi="仿宋_GB2312" w:eastAsia="仿宋_GB2312" w:cs="仿宋_GB2312"/>
          <w:b w:val="0"/>
          <w:bCs/>
          <w:color w:val="auto"/>
          <w:sz w:val="32"/>
          <w:szCs w:val="32"/>
          <w:lang w:val="en-US" w:eastAsia="zh-CN" w:bidi="ar"/>
        </w:rPr>
        <w:t>做强</w:t>
      </w:r>
      <w:r>
        <w:rPr>
          <w:rFonts w:hint="eastAsia" w:ascii="仿宋_GB2312" w:hAnsi="仿宋_GB2312" w:eastAsia="仿宋_GB2312" w:cs="仿宋_GB2312"/>
          <w:b w:val="0"/>
          <w:bCs/>
          <w:color w:val="auto"/>
          <w:sz w:val="32"/>
          <w:szCs w:val="32"/>
          <w:lang w:bidi="ar"/>
        </w:rPr>
        <w:t>软件</w:t>
      </w:r>
      <w:r>
        <w:rPr>
          <w:rFonts w:hint="eastAsia" w:ascii="仿宋_GB2312" w:hAnsi="仿宋_GB2312" w:eastAsia="仿宋_GB2312" w:cs="仿宋_GB2312"/>
          <w:b w:val="0"/>
          <w:bCs/>
          <w:color w:val="auto"/>
          <w:sz w:val="32"/>
          <w:szCs w:val="32"/>
          <w:lang w:val="en-US" w:eastAsia="zh-CN" w:bidi="ar"/>
        </w:rPr>
        <w:t>检验检测产业</w:t>
      </w:r>
      <w:r>
        <w:rPr>
          <w:rFonts w:hint="eastAsia" w:ascii="仿宋_GB2312" w:hAnsi="仿宋_GB2312" w:eastAsia="仿宋_GB2312" w:cs="仿宋_GB2312"/>
          <w:b w:val="0"/>
          <w:bCs/>
          <w:color w:val="auto"/>
          <w:sz w:val="32"/>
          <w:szCs w:val="32"/>
          <w:lang w:eastAsia="zh-CN" w:bidi="ar"/>
        </w:rPr>
        <w:t>，</w:t>
      </w:r>
      <w:r>
        <w:rPr>
          <w:rFonts w:hint="eastAsia" w:ascii="仿宋_GB2312" w:hAnsi="仿宋_GB2312" w:eastAsia="仿宋_GB2312" w:cs="仿宋_GB2312"/>
          <w:b w:val="0"/>
          <w:bCs/>
          <w:color w:val="auto"/>
          <w:sz w:val="32"/>
          <w:szCs w:val="32"/>
          <w:lang w:bidi="ar"/>
        </w:rPr>
        <w:t>依托具备CMA、CNAS资质的中科软件测评中心，延</w:t>
      </w:r>
      <w:r>
        <w:rPr>
          <w:rFonts w:hint="eastAsia" w:ascii="仿宋_GB2312" w:hAnsi="仿宋_GB2312" w:eastAsia="仿宋_GB2312" w:cs="仿宋_GB2312"/>
          <w:b w:val="0"/>
          <w:bCs/>
          <w:color w:val="auto"/>
          <w:sz w:val="32"/>
          <w:szCs w:val="32"/>
          <w:lang w:val="en-US" w:eastAsia="zh-CN" w:bidi="ar"/>
        </w:rPr>
        <w:t>伸完善</w:t>
      </w:r>
      <w:r>
        <w:rPr>
          <w:rFonts w:hint="eastAsia" w:ascii="仿宋_GB2312" w:hAnsi="仿宋_GB2312" w:eastAsia="仿宋_GB2312" w:cs="仿宋_GB2312"/>
          <w:b w:val="0"/>
          <w:bCs/>
          <w:color w:val="auto"/>
          <w:sz w:val="32"/>
          <w:szCs w:val="32"/>
          <w:lang w:bidi="ar"/>
        </w:rPr>
        <w:t>软件检测产业链</w:t>
      </w:r>
      <w:r>
        <w:rPr>
          <w:rFonts w:hint="eastAsia" w:ascii="仿宋_GB2312" w:hAnsi="仿宋_GB2312" w:eastAsia="仿宋_GB2312" w:cs="仿宋_GB2312"/>
          <w:b w:val="0"/>
          <w:bCs/>
          <w:color w:val="auto"/>
          <w:sz w:val="32"/>
          <w:szCs w:val="32"/>
          <w:lang w:val="en-US" w:eastAsia="zh-CN" w:bidi="ar"/>
        </w:rPr>
        <w:t>条</w:t>
      </w:r>
      <w:r>
        <w:rPr>
          <w:rFonts w:hint="eastAsia" w:ascii="仿宋_GB2312" w:hAnsi="仿宋_GB2312" w:eastAsia="仿宋_GB2312" w:cs="仿宋_GB2312"/>
          <w:b w:val="0"/>
          <w:bCs/>
          <w:color w:val="auto"/>
          <w:sz w:val="32"/>
          <w:szCs w:val="32"/>
          <w:lang w:bidi="ar"/>
        </w:rPr>
        <w:t>。</w:t>
      </w:r>
    </w:p>
    <w:p w14:paraId="6678727F">
      <w:pPr>
        <w:spacing w:line="560" w:lineRule="exact"/>
        <w:ind w:firstLine="640" w:firstLineChars="200"/>
        <w:rPr>
          <w:rFonts w:hint="eastAsia" w:ascii="仿宋_GB2312" w:hAnsi="仿宋_GB2312" w:eastAsia="仿宋_GB2312" w:cs="仿宋_GB2312"/>
          <w:b w:val="0"/>
          <w:bCs/>
          <w:color w:val="auto"/>
          <w:sz w:val="32"/>
          <w:szCs w:val="32"/>
          <w:lang w:bidi="ar"/>
        </w:rPr>
      </w:pPr>
      <w:r>
        <w:rPr>
          <w:rFonts w:hint="eastAsia" w:ascii="仿宋_GB2312" w:hAnsi="仿宋_GB2312" w:eastAsia="仿宋_GB2312" w:cs="仿宋_GB2312"/>
          <w:b w:val="0"/>
          <w:bCs/>
          <w:color w:val="auto"/>
          <w:sz w:val="32"/>
          <w:szCs w:val="32"/>
          <w:lang w:bidi="ar"/>
        </w:rPr>
        <w:t>——智能网联。面向海陆空交通物联、智能制造物联等需求，加强云管端网统筹布局，重点发展车联网、港航智联、低空智联、工业互联网等领域。</w:t>
      </w:r>
      <w:r>
        <w:rPr>
          <w:rFonts w:hint="eastAsia" w:ascii="仿宋_GB2312" w:hAnsi="仿宋_GB2312" w:eastAsia="仿宋_GB2312" w:cs="仿宋_GB2312"/>
          <w:b w:val="0"/>
          <w:bCs/>
          <w:color w:val="auto"/>
          <w:sz w:val="32"/>
          <w:szCs w:val="22"/>
        </w:rPr>
        <w:t>依托汉鑫空地一体化AI城市管控体系示范项目，赋能未来交通和空地一体化城市管控体系建设</w:t>
      </w:r>
      <w:r>
        <w:rPr>
          <w:rFonts w:hint="eastAsia" w:ascii="仿宋_GB2312" w:hAnsi="仿宋_GB2312" w:eastAsia="仿宋_GB2312" w:cs="仿宋_GB2312"/>
          <w:b w:val="0"/>
          <w:bCs/>
          <w:color w:val="auto"/>
          <w:sz w:val="32"/>
          <w:szCs w:val="32"/>
          <w:lang w:bidi="ar"/>
        </w:rPr>
        <w:t>。支持企业以智能机器人、智能工厂解决方案应用场景为突破口，推动数智技术与制造深度融合，实现装备、工艺、软件和系统的研发与应用突破。聚焦海洋气象预报、深远海养殖等领域，开发海洋人工智能大模型，突破海洋数字孪生、海洋多模态智能计算等技术。</w:t>
      </w:r>
    </w:p>
    <w:p w14:paraId="35CD70D7">
      <w:pPr>
        <w:spacing w:line="560" w:lineRule="exact"/>
        <w:ind w:firstLine="640" w:firstLineChars="200"/>
        <w:rPr>
          <w:rFonts w:ascii="Times New Roman" w:hAnsi="Times New Roman" w:eastAsia="仿宋_GB2312" w:cs="Times New Roman"/>
          <w:color w:val="auto"/>
          <w:sz w:val="32"/>
          <w:szCs w:val="22"/>
          <w:highlight w:val="none"/>
        </w:rPr>
      </w:pPr>
      <w:r>
        <w:rPr>
          <w:rFonts w:hint="eastAsia" w:ascii="仿宋_GB2312" w:hAnsi="仿宋_GB2312" w:eastAsia="仿宋_GB2312" w:cs="仿宋_GB2312"/>
          <w:b w:val="0"/>
          <w:bCs/>
          <w:color w:val="auto"/>
          <w:sz w:val="32"/>
          <w:szCs w:val="32"/>
          <w:lang w:bidi="ar"/>
        </w:rPr>
        <w:t>——数据要素。以数据创新应用为牵引，</w:t>
      </w:r>
      <w:r>
        <w:rPr>
          <w:rFonts w:hint="eastAsia" w:ascii="仿宋_GB2312" w:hAnsi="仿宋_GB2312" w:eastAsia="仿宋_GB2312" w:cs="仿宋_GB2312"/>
          <w:b w:val="0"/>
          <w:bCs/>
          <w:color w:val="auto"/>
          <w:sz w:val="32"/>
          <w:szCs w:val="32"/>
          <w:highlight w:val="none"/>
          <w:lang w:val="en-US" w:eastAsia="zh-CN" w:bidi="ar"/>
        </w:rPr>
        <w:t>贯通数据</w:t>
      </w:r>
      <w:r>
        <w:rPr>
          <w:rFonts w:hint="eastAsia" w:ascii="仿宋_GB2312" w:hAnsi="仿宋_GB2312" w:eastAsia="仿宋_GB2312" w:cs="仿宋_GB2312"/>
          <w:b w:val="0"/>
          <w:bCs/>
          <w:color w:val="auto"/>
          <w:sz w:val="32"/>
          <w:szCs w:val="32"/>
          <w:highlight w:val="none"/>
          <w:lang w:bidi="ar"/>
        </w:rPr>
        <w:t>汇集</w:t>
      </w:r>
      <w:r>
        <w:rPr>
          <w:rFonts w:hint="eastAsia" w:ascii="仿宋_GB2312" w:hAnsi="仿宋_GB2312" w:eastAsia="仿宋_GB2312" w:cs="仿宋_GB2312"/>
          <w:b w:val="0"/>
          <w:bCs/>
          <w:color w:val="auto"/>
          <w:sz w:val="32"/>
          <w:szCs w:val="32"/>
          <w:highlight w:val="none"/>
          <w:lang w:eastAsia="zh-CN" w:bidi="ar"/>
        </w:rPr>
        <w:t>、</w:t>
      </w:r>
      <w:r>
        <w:rPr>
          <w:rFonts w:hint="eastAsia" w:ascii="仿宋_GB2312" w:hAnsi="仿宋_GB2312" w:eastAsia="仿宋_GB2312" w:cs="仿宋_GB2312"/>
          <w:b w:val="0"/>
          <w:bCs/>
          <w:color w:val="auto"/>
          <w:sz w:val="32"/>
          <w:szCs w:val="32"/>
          <w:highlight w:val="none"/>
          <w:lang w:bidi="ar"/>
        </w:rPr>
        <w:t>流</w:t>
      </w:r>
      <w:r>
        <w:rPr>
          <w:rFonts w:hint="eastAsia" w:ascii="Times New Roman" w:hAnsi="Times New Roman" w:eastAsia="仿宋_GB2312" w:cs="Times New Roman"/>
          <w:bCs/>
          <w:color w:val="auto"/>
          <w:sz w:val="32"/>
          <w:szCs w:val="32"/>
          <w:highlight w:val="none"/>
          <w:lang w:bidi="ar"/>
        </w:rPr>
        <w:t>通</w:t>
      </w:r>
      <w:r>
        <w:rPr>
          <w:rFonts w:hint="eastAsia" w:ascii="Times New Roman" w:hAnsi="Times New Roman" w:eastAsia="仿宋_GB2312" w:cs="Times New Roman"/>
          <w:bCs/>
          <w:color w:val="auto"/>
          <w:sz w:val="32"/>
          <w:szCs w:val="32"/>
          <w:highlight w:val="none"/>
          <w:lang w:val="en-US" w:eastAsia="zh-CN" w:bidi="ar"/>
        </w:rPr>
        <w:t>交易、场景</w:t>
      </w:r>
      <w:r>
        <w:rPr>
          <w:rFonts w:hint="eastAsia" w:ascii="Times New Roman" w:hAnsi="Times New Roman" w:eastAsia="仿宋_GB2312" w:cs="Times New Roman"/>
          <w:bCs/>
          <w:color w:val="auto"/>
          <w:sz w:val="32"/>
          <w:szCs w:val="32"/>
          <w:highlight w:val="none"/>
          <w:lang w:bidi="ar"/>
        </w:rPr>
        <w:t>应用</w:t>
      </w:r>
      <w:r>
        <w:rPr>
          <w:rFonts w:hint="eastAsia" w:ascii="Times New Roman" w:hAnsi="Times New Roman" w:eastAsia="仿宋_GB2312" w:cs="Times New Roman"/>
          <w:bCs/>
          <w:color w:val="auto"/>
          <w:sz w:val="32"/>
          <w:szCs w:val="32"/>
          <w:highlight w:val="none"/>
          <w:lang w:eastAsia="zh-CN" w:bidi="ar"/>
        </w:rPr>
        <w:t>、</w:t>
      </w:r>
      <w:r>
        <w:rPr>
          <w:rFonts w:hint="eastAsia" w:ascii="Times New Roman" w:hAnsi="Times New Roman" w:eastAsia="仿宋_GB2312" w:cs="Times New Roman"/>
          <w:bCs/>
          <w:color w:val="auto"/>
          <w:sz w:val="32"/>
          <w:szCs w:val="32"/>
          <w:highlight w:val="none"/>
          <w:lang w:val="en-US" w:eastAsia="zh-CN" w:bidi="ar"/>
        </w:rPr>
        <w:t>产业</w:t>
      </w:r>
      <w:r>
        <w:rPr>
          <w:rFonts w:hint="eastAsia" w:ascii="Times New Roman" w:hAnsi="Times New Roman" w:eastAsia="仿宋_GB2312" w:cs="Times New Roman"/>
          <w:bCs/>
          <w:color w:val="auto"/>
          <w:sz w:val="32"/>
          <w:szCs w:val="32"/>
          <w:highlight w:val="none"/>
          <w:lang w:bidi="ar"/>
        </w:rPr>
        <w:t>生态</w:t>
      </w:r>
      <w:r>
        <w:rPr>
          <w:rFonts w:hint="eastAsia" w:ascii="Times New Roman" w:hAnsi="Times New Roman" w:eastAsia="仿宋_GB2312" w:cs="Times New Roman"/>
          <w:bCs/>
          <w:color w:val="auto"/>
          <w:sz w:val="32"/>
          <w:szCs w:val="32"/>
          <w:highlight w:val="none"/>
          <w:lang w:val="en-US" w:eastAsia="zh-CN" w:bidi="ar"/>
        </w:rPr>
        <w:t>全链条</w:t>
      </w:r>
      <w:r>
        <w:rPr>
          <w:rFonts w:hint="eastAsia" w:ascii="Times New Roman" w:hAnsi="Times New Roman" w:eastAsia="仿宋_GB2312" w:cs="Times New Roman"/>
          <w:bCs/>
          <w:color w:val="auto"/>
          <w:sz w:val="32"/>
          <w:szCs w:val="32"/>
          <w:highlight w:val="none"/>
          <w:lang w:bidi="ar"/>
        </w:rPr>
        <w:t>。做强</w:t>
      </w:r>
      <w:r>
        <w:rPr>
          <w:rFonts w:hint="eastAsia" w:ascii="Times New Roman" w:hAnsi="Times New Roman" w:eastAsia="仿宋_GB2312" w:cs="Times New Roman"/>
          <w:bCs/>
          <w:color w:val="auto"/>
          <w:sz w:val="32"/>
          <w:szCs w:val="32"/>
          <w:highlight w:val="none"/>
          <w:lang w:val="en-US" w:eastAsia="zh-CN" w:bidi="ar"/>
        </w:rPr>
        <w:t>大</w:t>
      </w:r>
      <w:r>
        <w:rPr>
          <w:rFonts w:hint="eastAsia" w:ascii="Times New Roman" w:hAnsi="Times New Roman" w:eastAsia="仿宋_GB2312" w:cs="Times New Roman"/>
          <w:bCs/>
          <w:color w:val="auto"/>
          <w:sz w:val="32"/>
          <w:szCs w:val="32"/>
          <w:highlight w:val="none"/>
          <w:lang w:bidi="ar"/>
        </w:rPr>
        <w:t>数据创新应用</w:t>
      </w:r>
      <w:r>
        <w:rPr>
          <w:rFonts w:hint="eastAsia" w:ascii="Times New Roman" w:hAnsi="Times New Roman" w:eastAsia="仿宋_GB2312" w:cs="Times New Roman"/>
          <w:bCs/>
          <w:color w:val="auto"/>
          <w:sz w:val="32"/>
          <w:szCs w:val="32"/>
          <w:highlight w:val="none"/>
          <w:lang w:val="en-US" w:eastAsia="zh-CN" w:bidi="ar"/>
        </w:rPr>
        <w:t>供给</w:t>
      </w:r>
      <w:r>
        <w:rPr>
          <w:rFonts w:hint="eastAsia" w:ascii="Times New Roman" w:hAnsi="Times New Roman" w:eastAsia="仿宋_GB2312" w:cs="Times New Roman"/>
          <w:bCs/>
          <w:color w:val="auto"/>
          <w:sz w:val="32"/>
          <w:szCs w:val="32"/>
          <w:highlight w:val="none"/>
          <w:lang w:bidi="ar"/>
        </w:rPr>
        <w:t>，</w:t>
      </w:r>
      <w:r>
        <w:rPr>
          <w:rFonts w:hint="eastAsia" w:ascii="Times New Roman" w:hAnsi="Times New Roman" w:eastAsia="仿宋_GB2312" w:cs="Times New Roman"/>
          <w:bCs/>
          <w:color w:val="auto"/>
          <w:sz w:val="32"/>
          <w:szCs w:val="32"/>
          <w:highlight w:val="none"/>
          <w:lang w:val="en-US" w:eastAsia="zh-CN" w:bidi="ar"/>
        </w:rPr>
        <w:t>培育</w:t>
      </w:r>
      <w:r>
        <w:rPr>
          <w:rFonts w:hint="eastAsia" w:ascii="Times New Roman" w:hAnsi="Times New Roman" w:eastAsia="仿宋_GB2312" w:cs="Times New Roman"/>
          <w:bCs/>
          <w:color w:val="auto"/>
          <w:sz w:val="32"/>
          <w:szCs w:val="32"/>
          <w:highlight w:val="none"/>
          <w:lang w:bidi="ar"/>
        </w:rPr>
        <w:t>数据集、</w:t>
      </w:r>
      <w:r>
        <w:rPr>
          <w:rFonts w:hint="eastAsia" w:ascii="Times New Roman" w:hAnsi="Times New Roman" w:eastAsia="仿宋_GB2312" w:cs="Times New Roman"/>
          <w:bCs/>
          <w:color w:val="auto"/>
          <w:sz w:val="32"/>
          <w:szCs w:val="32"/>
          <w:highlight w:val="none"/>
          <w:lang w:val="en-US" w:eastAsia="zh-CN" w:bidi="ar"/>
        </w:rPr>
        <w:t>行业</w:t>
      </w:r>
      <w:r>
        <w:rPr>
          <w:rFonts w:hint="eastAsia" w:ascii="Times New Roman" w:hAnsi="Times New Roman" w:eastAsia="仿宋_GB2312" w:cs="Times New Roman"/>
          <w:bCs/>
          <w:color w:val="auto"/>
          <w:sz w:val="32"/>
          <w:szCs w:val="32"/>
          <w:highlight w:val="none"/>
          <w:lang w:bidi="ar"/>
        </w:rPr>
        <w:t>数据模型、</w:t>
      </w:r>
      <w:r>
        <w:rPr>
          <w:rFonts w:hint="eastAsia" w:ascii="Times New Roman" w:hAnsi="Times New Roman" w:eastAsia="仿宋_GB2312" w:cs="Times New Roman"/>
          <w:bCs/>
          <w:color w:val="auto"/>
          <w:sz w:val="32"/>
          <w:szCs w:val="32"/>
          <w:highlight w:val="none"/>
          <w:lang w:val="en-US" w:eastAsia="zh-CN" w:bidi="ar"/>
        </w:rPr>
        <w:t>标准化</w:t>
      </w:r>
      <w:r>
        <w:rPr>
          <w:rFonts w:hint="eastAsia" w:ascii="Times New Roman" w:hAnsi="Times New Roman" w:eastAsia="仿宋_GB2312" w:cs="Times New Roman"/>
          <w:bCs/>
          <w:color w:val="auto"/>
          <w:sz w:val="32"/>
          <w:szCs w:val="32"/>
          <w:highlight w:val="none"/>
          <w:lang w:bidi="ar"/>
        </w:rPr>
        <w:t>数据接口、</w:t>
      </w:r>
      <w:r>
        <w:rPr>
          <w:rFonts w:hint="eastAsia" w:ascii="Times New Roman" w:hAnsi="Times New Roman" w:eastAsia="仿宋_GB2312" w:cs="Times New Roman"/>
          <w:bCs/>
          <w:color w:val="auto"/>
          <w:sz w:val="32"/>
          <w:szCs w:val="32"/>
          <w:highlight w:val="none"/>
          <w:lang w:val="en-US" w:eastAsia="zh-CN" w:bidi="ar"/>
        </w:rPr>
        <w:t>行业</w:t>
      </w:r>
      <w:r>
        <w:rPr>
          <w:rFonts w:hint="eastAsia" w:ascii="Times New Roman" w:hAnsi="Times New Roman" w:eastAsia="仿宋_GB2312" w:cs="Times New Roman"/>
          <w:bCs/>
          <w:color w:val="auto"/>
          <w:sz w:val="32"/>
          <w:szCs w:val="32"/>
          <w:highlight w:val="none"/>
          <w:lang w:bidi="ar"/>
        </w:rPr>
        <w:t>算法</w:t>
      </w:r>
      <w:r>
        <w:rPr>
          <w:rFonts w:hint="eastAsia" w:ascii="Times New Roman" w:hAnsi="Times New Roman" w:eastAsia="仿宋_GB2312" w:cs="Times New Roman"/>
          <w:bCs/>
          <w:color w:val="auto"/>
          <w:sz w:val="32"/>
          <w:szCs w:val="32"/>
          <w:highlight w:val="none"/>
          <w:lang w:val="en-US" w:eastAsia="zh-CN" w:bidi="ar"/>
        </w:rPr>
        <w:t>工具</w:t>
      </w:r>
      <w:r>
        <w:rPr>
          <w:rFonts w:hint="eastAsia" w:ascii="Times New Roman" w:hAnsi="Times New Roman" w:eastAsia="仿宋_GB2312" w:cs="Times New Roman"/>
          <w:bCs/>
          <w:color w:val="auto"/>
          <w:sz w:val="32"/>
          <w:szCs w:val="32"/>
          <w:highlight w:val="none"/>
          <w:lang w:bidi="ar"/>
        </w:rPr>
        <w:t>等</w:t>
      </w:r>
      <w:r>
        <w:rPr>
          <w:rFonts w:hint="eastAsia" w:ascii="Times New Roman" w:hAnsi="Times New Roman" w:eastAsia="仿宋_GB2312" w:cs="Times New Roman"/>
          <w:bCs/>
          <w:color w:val="auto"/>
          <w:sz w:val="32"/>
          <w:szCs w:val="32"/>
          <w:highlight w:val="none"/>
          <w:lang w:val="en-US" w:eastAsia="zh-CN" w:bidi="ar"/>
        </w:rPr>
        <w:t>数据产品</w:t>
      </w:r>
      <w:r>
        <w:rPr>
          <w:rFonts w:hint="eastAsia" w:ascii="Times New Roman" w:hAnsi="Times New Roman" w:eastAsia="仿宋_GB2312" w:cs="Times New Roman"/>
          <w:bCs/>
          <w:color w:val="auto"/>
          <w:sz w:val="32"/>
          <w:szCs w:val="32"/>
          <w:highlight w:val="none"/>
          <w:lang w:bidi="ar"/>
        </w:rPr>
        <w:t>。做深数据技术</w:t>
      </w:r>
      <w:r>
        <w:rPr>
          <w:rFonts w:hint="eastAsia" w:ascii="Times New Roman" w:hAnsi="Times New Roman" w:eastAsia="仿宋_GB2312" w:cs="Times New Roman"/>
          <w:bCs/>
          <w:color w:val="auto"/>
          <w:sz w:val="32"/>
          <w:szCs w:val="32"/>
          <w:highlight w:val="none"/>
          <w:lang w:val="en-US" w:eastAsia="zh-CN" w:bidi="ar"/>
        </w:rPr>
        <w:t>外包</w:t>
      </w:r>
      <w:r>
        <w:rPr>
          <w:rFonts w:hint="eastAsia" w:ascii="Times New Roman" w:hAnsi="Times New Roman" w:eastAsia="仿宋_GB2312" w:cs="Times New Roman"/>
          <w:bCs/>
          <w:color w:val="auto"/>
          <w:sz w:val="32"/>
          <w:szCs w:val="32"/>
          <w:highlight w:val="none"/>
          <w:lang w:bidi="ar"/>
        </w:rPr>
        <w:t>服务，</w:t>
      </w:r>
      <w:r>
        <w:rPr>
          <w:rFonts w:hint="eastAsia" w:ascii="Times New Roman" w:hAnsi="Times New Roman" w:eastAsia="仿宋_GB2312" w:cs="Times New Roman"/>
          <w:bCs/>
          <w:color w:val="auto"/>
          <w:sz w:val="32"/>
          <w:szCs w:val="32"/>
          <w:highlight w:val="none"/>
          <w:lang w:val="en-US" w:eastAsia="zh-CN" w:bidi="ar"/>
        </w:rPr>
        <w:t>拓展</w:t>
      </w:r>
      <w:r>
        <w:rPr>
          <w:rFonts w:hint="eastAsia" w:ascii="Times New Roman" w:hAnsi="Times New Roman" w:eastAsia="仿宋_GB2312" w:cs="Times New Roman"/>
          <w:bCs/>
          <w:color w:val="auto"/>
          <w:sz w:val="32"/>
          <w:szCs w:val="32"/>
          <w:highlight w:val="none"/>
          <w:lang w:bidi="ar"/>
        </w:rPr>
        <w:t>数据采集、</w:t>
      </w:r>
      <w:r>
        <w:rPr>
          <w:rFonts w:hint="eastAsia" w:ascii="Times New Roman" w:hAnsi="Times New Roman" w:eastAsia="仿宋_GB2312" w:cs="Times New Roman"/>
          <w:bCs/>
          <w:color w:val="auto"/>
          <w:sz w:val="32"/>
          <w:szCs w:val="32"/>
          <w:highlight w:val="none"/>
          <w:lang w:val="en-US" w:eastAsia="zh-CN" w:bidi="ar"/>
        </w:rPr>
        <w:t>清洗加工、智能研判</w:t>
      </w:r>
      <w:r>
        <w:rPr>
          <w:rFonts w:hint="eastAsia" w:ascii="Times New Roman" w:hAnsi="Times New Roman" w:eastAsia="仿宋_GB2312" w:cs="Times New Roman"/>
          <w:bCs/>
          <w:color w:val="auto"/>
          <w:sz w:val="32"/>
          <w:szCs w:val="32"/>
          <w:highlight w:val="none"/>
          <w:lang w:bidi="ar"/>
        </w:rPr>
        <w:t>等</w:t>
      </w:r>
      <w:r>
        <w:rPr>
          <w:rFonts w:hint="eastAsia" w:ascii="Times New Roman" w:hAnsi="Times New Roman" w:eastAsia="仿宋_GB2312" w:cs="Times New Roman"/>
          <w:bCs/>
          <w:color w:val="auto"/>
          <w:sz w:val="32"/>
          <w:szCs w:val="32"/>
          <w:highlight w:val="none"/>
          <w:lang w:val="en-US" w:eastAsia="zh-CN" w:bidi="ar"/>
        </w:rPr>
        <w:t>专业</w:t>
      </w:r>
      <w:r>
        <w:rPr>
          <w:rFonts w:hint="eastAsia" w:ascii="Times New Roman" w:hAnsi="Times New Roman" w:eastAsia="仿宋_GB2312" w:cs="Times New Roman"/>
          <w:bCs/>
          <w:color w:val="auto"/>
          <w:sz w:val="32"/>
          <w:szCs w:val="32"/>
          <w:highlight w:val="none"/>
          <w:lang w:bidi="ar"/>
        </w:rPr>
        <w:t>技术服务。</w:t>
      </w:r>
      <w:r>
        <w:rPr>
          <w:rFonts w:hint="eastAsia" w:ascii="Times New Roman" w:hAnsi="Times New Roman" w:eastAsia="仿宋_GB2312" w:cs="Times New Roman"/>
          <w:bCs/>
          <w:color w:val="auto"/>
          <w:sz w:val="32"/>
          <w:szCs w:val="32"/>
          <w:highlight w:val="none"/>
          <w:lang w:val="en-US" w:eastAsia="zh-CN" w:bidi="ar"/>
        </w:rPr>
        <w:t>支持可信数据空间建设，推动多源数据融合利用。发展</w:t>
      </w:r>
      <w:r>
        <w:rPr>
          <w:rFonts w:hint="eastAsia" w:ascii="Times New Roman" w:hAnsi="Times New Roman" w:eastAsia="仿宋_GB2312" w:cs="Times New Roman"/>
          <w:bCs/>
          <w:color w:val="auto"/>
          <w:sz w:val="32"/>
          <w:szCs w:val="32"/>
          <w:highlight w:val="none"/>
          <w:lang w:bidi="ar"/>
        </w:rPr>
        <w:t>数据安全服务，</w:t>
      </w:r>
      <w:r>
        <w:rPr>
          <w:rFonts w:hint="eastAsia" w:ascii="Times New Roman" w:hAnsi="Times New Roman" w:eastAsia="仿宋_GB2312" w:cs="Times New Roman"/>
          <w:color w:val="auto"/>
          <w:sz w:val="32"/>
          <w:szCs w:val="22"/>
          <w:highlight w:val="none"/>
        </w:rPr>
        <w:t>攻关数据加密、隐私计算、数据合规管控等核心安全技术。</w:t>
      </w:r>
    </w:p>
    <w:p w14:paraId="7F49EA4B">
      <w:pPr>
        <w:widowControl/>
        <w:spacing w:line="560" w:lineRule="exact"/>
        <w:ind w:firstLine="640" w:firstLineChars="200"/>
        <w:rPr>
          <w:rFonts w:ascii="Times New Roman" w:hAnsi="Times New Roman" w:eastAsia="仿宋_GB2312" w:cs="Times New Roman"/>
          <w:color w:val="auto"/>
          <w:sz w:val="32"/>
          <w:szCs w:val="32"/>
          <w:lang w:bidi="ar"/>
        </w:rPr>
      </w:pPr>
      <w:r>
        <w:rPr>
          <w:rFonts w:hint="eastAsia" w:ascii="楷体_GB2312" w:hAnsi="Times New Roman" w:eastAsia="楷体_GB2312" w:cs="Times New Roman"/>
          <w:color w:val="auto"/>
          <w:sz w:val="32"/>
          <w:szCs w:val="22"/>
        </w:rPr>
        <w:t>科技服务业。</w:t>
      </w:r>
      <w:r>
        <w:rPr>
          <w:rFonts w:hint="eastAsia" w:ascii="Times New Roman" w:hAnsi="Times New Roman" w:eastAsia="仿宋_GB2312" w:cs="Times New Roman"/>
          <w:color w:val="auto"/>
          <w:sz w:val="32"/>
          <w:szCs w:val="32"/>
          <w:lang w:bidi="ar"/>
        </w:rPr>
        <w:t>顺应新一轮科技革命和产业变革趋势，紧扣科技服务业高端化、智能化、绿色化、融合化</w:t>
      </w:r>
      <w:r>
        <w:rPr>
          <w:rFonts w:ascii="Times New Roman" w:hAnsi="Times New Roman" w:eastAsia="仿宋_GB2312" w:cs="Times New Roman"/>
          <w:color w:val="auto"/>
          <w:sz w:val="32"/>
          <w:szCs w:val="32"/>
          <w:lang w:bidi="ar"/>
        </w:rPr>
        <w:t>发展方向，构建以</w:t>
      </w:r>
      <w:r>
        <w:rPr>
          <w:rFonts w:hint="eastAsia" w:ascii="Times New Roman" w:hAnsi="Times New Roman" w:eastAsia="仿宋_GB2312" w:cs="Times New Roman"/>
          <w:color w:val="auto"/>
          <w:sz w:val="32"/>
          <w:szCs w:val="32"/>
          <w:lang w:bidi="ar"/>
        </w:rPr>
        <w:t>研发设计服务</w:t>
      </w:r>
      <w:r>
        <w:rPr>
          <w:rFonts w:ascii="Times New Roman" w:hAnsi="Times New Roman" w:eastAsia="仿宋_GB2312" w:cs="Times New Roman"/>
          <w:color w:val="auto"/>
          <w:sz w:val="32"/>
          <w:szCs w:val="32"/>
          <w:lang w:bidi="ar"/>
        </w:rPr>
        <w:t>、</w:t>
      </w:r>
      <w:r>
        <w:rPr>
          <w:rFonts w:hint="eastAsia" w:ascii="Times New Roman" w:hAnsi="Times New Roman" w:eastAsia="仿宋_GB2312" w:cs="Times New Roman"/>
          <w:color w:val="auto"/>
          <w:sz w:val="32"/>
          <w:szCs w:val="32"/>
          <w:lang w:bidi="ar"/>
        </w:rPr>
        <w:t>检验检测认证</w:t>
      </w:r>
      <w:r>
        <w:rPr>
          <w:rFonts w:ascii="Times New Roman" w:hAnsi="Times New Roman" w:eastAsia="仿宋_GB2312" w:cs="Times New Roman"/>
          <w:color w:val="auto"/>
          <w:sz w:val="32"/>
          <w:szCs w:val="32"/>
          <w:lang w:bidi="ar"/>
        </w:rPr>
        <w:t>、</w:t>
      </w:r>
      <w:r>
        <w:rPr>
          <w:rFonts w:hint="eastAsia" w:ascii="Times New Roman" w:hAnsi="Times New Roman" w:eastAsia="仿宋_GB2312" w:cs="Times New Roman"/>
          <w:color w:val="auto"/>
          <w:sz w:val="32"/>
          <w:szCs w:val="32"/>
          <w:lang w:bidi="ar"/>
        </w:rPr>
        <w:t>科技成果转化</w:t>
      </w:r>
      <w:r>
        <w:rPr>
          <w:rFonts w:ascii="Times New Roman" w:hAnsi="Times New Roman" w:eastAsia="仿宋_GB2312" w:cs="Times New Roman"/>
          <w:color w:val="auto"/>
          <w:sz w:val="32"/>
          <w:szCs w:val="32"/>
          <w:lang w:bidi="ar"/>
        </w:rPr>
        <w:t>为</w:t>
      </w:r>
      <w:r>
        <w:rPr>
          <w:rFonts w:hint="eastAsia" w:ascii="Times New Roman" w:hAnsi="Times New Roman" w:eastAsia="仿宋_GB2312" w:cs="Times New Roman"/>
          <w:color w:val="auto"/>
          <w:sz w:val="32"/>
          <w:szCs w:val="32"/>
          <w:lang w:bidi="ar"/>
        </w:rPr>
        <w:t>重点的</w:t>
      </w:r>
      <w:r>
        <w:rPr>
          <w:rFonts w:ascii="Times New Roman" w:hAnsi="Times New Roman" w:eastAsia="仿宋_GB2312" w:cs="Times New Roman"/>
          <w:color w:val="auto"/>
          <w:sz w:val="32"/>
          <w:szCs w:val="32"/>
          <w:lang w:bidi="ar"/>
        </w:rPr>
        <w:t>科技服务体系</w:t>
      </w:r>
      <w:r>
        <w:rPr>
          <w:rFonts w:hint="eastAsia" w:ascii="Times New Roman" w:hAnsi="Times New Roman" w:eastAsia="仿宋_GB2312" w:cs="Times New Roman"/>
          <w:color w:val="auto"/>
          <w:sz w:val="32"/>
          <w:szCs w:val="32"/>
          <w:lang w:bidi="ar"/>
        </w:rPr>
        <w:t>，</w:t>
      </w:r>
      <w:r>
        <w:rPr>
          <w:rFonts w:ascii="Times New Roman" w:hAnsi="Times New Roman" w:eastAsia="仿宋_GB2312" w:cs="Times New Roman"/>
          <w:color w:val="auto"/>
          <w:sz w:val="32"/>
          <w:szCs w:val="32"/>
          <w:lang w:bidi="ar"/>
        </w:rPr>
        <w:t>打造高附加值、强竞争力的科技服务业集群，</w:t>
      </w:r>
      <w:r>
        <w:rPr>
          <w:rFonts w:hint="eastAsia" w:ascii="Times New Roman" w:hAnsi="Times New Roman" w:eastAsia="仿宋_GB2312" w:cs="Times New Roman"/>
          <w:bCs/>
          <w:color w:val="auto"/>
          <w:sz w:val="32"/>
          <w:szCs w:val="32"/>
          <w:lang w:bidi="ar"/>
        </w:rPr>
        <w:t>推动科技服务成为产业生态的关键支撑与核心增长点。</w:t>
      </w:r>
    </w:p>
    <w:p w14:paraId="74432B3E">
      <w:pPr>
        <w:spacing w:line="560" w:lineRule="exact"/>
        <w:ind w:firstLine="640" w:firstLineChars="200"/>
        <w:rPr>
          <w:rFonts w:ascii="Times New Roman" w:hAnsi="Times New Roman" w:eastAsia="仿宋_GB2312" w:cs="Times New Roman"/>
          <w:b w:val="0"/>
          <w:bCs/>
          <w:color w:val="auto"/>
          <w:sz w:val="32"/>
          <w:szCs w:val="32"/>
          <w:lang w:bidi="ar"/>
        </w:rPr>
      </w:pPr>
      <w:r>
        <w:rPr>
          <w:rFonts w:hint="eastAsia" w:ascii="Times New Roman" w:hAnsi="Times New Roman" w:eastAsia="仿宋_GB2312" w:cs="Times New Roman"/>
          <w:b w:val="0"/>
          <w:bCs/>
          <w:color w:val="auto"/>
          <w:sz w:val="32"/>
          <w:szCs w:val="32"/>
          <w:lang w:bidi="ar"/>
        </w:rPr>
        <w:t>——研发设计服务。增强创新药新靶点、新机制、新结构等方面的研发服务能力，提升体外诊断、植介入器械等领域医疗器械研发外包服务水平，推进生物模型、核心算法等工具和平台开发应用。加强车联网、低空经济等领域工程和技术研发，支持研发一批原创性实验室原型样机、试验产品。</w:t>
      </w:r>
      <w:r>
        <w:rPr>
          <w:rFonts w:ascii="Times New Roman" w:hAnsi="Times New Roman" w:eastAsia="仿宋_GB2312" w:cs="Times New Roman"/>
          <w:b w:val="0"/>
          <w:bCs/>
          <w:color w:val="auto"/>
          <w:sz w:val="32"/>
          <w:szCs w:val="32"/>
          <w:lang w:bidi="ar"/>
        </w:rPr>
        <w:t>聚焦工业设计、航空维修等领域，推动先进设计理念与研发制造流程深度融合，发展创新设计、仿真优化与快速原型服务</w:t>
      </w:r>
      <w:r>
        <w:rPr>
          <w:rFonts w:hint="eastAsia" w:ascii="Times New Roman" w:hAnsi="Times New Roman" w:eastAsia="仿宋_GB2312" w:cs="Times New Roman"/>
          <w:b w:val="0"/>
          <w:bCs/>
          <w:color w:val="auto"/>
          <w:sz w:val="32"/>
          <w:szCs w:val="32"/>
          <w:lang w:bidi="ar"/>
        </w:rPr>
        <w:t>。</w:t>
      </w:r>
      <w:r>
        <w:rPr>
          <w:rFonts w:ascii="Times New Roman" w:hAnsi="Times New Roman" w:eastAsia="仿宋_GB2312" w:cs="Times New Roman"/>
          <w:b w:val="0"/>
          <w:bCs/>
          <w:color w:val="auto"/>
          <w:sz w:val="32"/>
          <w:szCs w:val="32"/>
          <w:lang w:bidi="ar"/>
        </w:rPr>
        <w:t xml:space="preserve"> </w:t>
      </w:r>
    </w:p>
    <w:p w14:paraId="4FDED558">
      <w:pPr>
        <w:spacing w:line="560" w:lineRule="exact"/>
        <w:ind w:firstLine="640" w:firstLineChars="200"/>
        <w:rPr>
          <w:rFonts w:ascii="Times New Roman" w:hAnsi="Times New Roman" w:eastAsia="仿宋_GB2312" w:cs="Times New Roman"/>
          <w:bCs/>
          <w:color w:val="auto"/>
          <w:sz w:val="32"/>
          <w:szCs w:val="32"/>
          <w:lang w:bidi="ar"/>
        </w:rPr>
      </w:pPr>
      <w:r>
        <w:rPr>
          <w:rFonts w:hint="eastAsia" w:ascii="Times New Roman" w:hAnsi="Times New Roman" w:eastAsia="仿宋_GB2312" w:cs="Times New Roman"/>
          <w:b w:val="0"/>
          <w:bCs/>
          <w:color w:val="auto"/>
          <w:sz w:val="32"/>
          <w:szCs w:val="32"/>
          <w:lang w:bidi="ar"/>
        </w:rPr>
        <w:t>——检验检测认证。鼓励</w:t>
      </w:r>
      <w:r>
        <w:rPr>
          <w:rFonts w:hint="eastAsia" w:ascii="Times New Roman" w:hAnsi="Times New Roman" w:eastAsia="仿宋_GB2312" w:cs="Times New Roman"/>
          <w:bCs/>
          <w:color w:val="auto"/>
          <w:sz w:val="32"/>
          <w:szCs w:val="32"/>
          <w:lang w:bidi="ar"/>
        </w:rPr>
        <w:t>检验检测和评估认证企业加快人工智能等新技术应用，持续提升专业服务质效。紧扣主导产业发展实际</w:t>
      </w:r>
      <w:r>
        <w:rPr>
          <w:rFonts w:hint="eastAsia" w:ascii="Times New Roman" w:hAnsi="Times New Roman" w:eastAsia="仿宋_GB2312" w:cs="Times New Roman"/>
          <w:bCs/>
          <w:color w:val="auto"/>
          <w:sz w:val="32"/>
          <w:szCs w:val="32"/>
          <w:lang w:val="en-US" w:eastAsia="zh-CN" w:bidi="ar"/>
        </w:rPr>
        <w:t>需求</w:t>
      </w:r>
      <w:r>
        <w:rPr>
          <w:rFonts w:hint="eastAsia" w:ascii="Times New Roman" w:hAnsi="Times New Roman" w:eastAsia="仿宋_GB2312" w:cs="Times New Roman"/>
          <w:bCs/>
          <w:color w:val="auto"/>
          <w:sz w:val="32"/>
          <w:szCs w:val="32"/>
          <w:lang w:bidi="ar"/>
        </w:rPr>
        <w:t>，支持企业配套建设试验检测、评估认证设施，统筹打造专业化公共服务平台，全面夯实技术支撑，不断增强检验检测与评估认证综合服务能力。</w:t>
      </w:r>
    </w:p>
    <w:p w14:paraId="32AB797F">
      <w:pPr>
        <w:spacing w:line="560" w:lineRule="exact"/>
        <w:ind w:firstLine="640" w:firstLineChars="200"/>
        <w:rPr>
          <w:rFonts w:ascii="Times New Roman" w:hAnsi="Times New Roman" w:eastAsia="仿宋_GB2312" w:cs="Times New Roman"/>
          <w:b w:val="0"/>
          <w:bCs/>
          <w:color w:val="auto"/>
          <w:sz w:val="32"/>
          <w:szCs w:val="32"/>
          <w:lang w:bidi="ar"/>
        </w:rPr>
      </w:pPr>
      <w:r>
        <w:rPr>
          <w:rFonts w:hint="eastAsia" w:ascii="Times New Roman" w:hAnsi="Times New Roman" w:eastAsia="仿宋_GB2312" w:cs="Times New Roman"/>
          <w:b w:val="0"/>
          <w:bCs/>
          <w:color w:val="auto"/>
          <w:sz w:val="32"/>
          <w:szCs w:val="32"/>
          <w:lang w:bidi="ar"/>
        </w:rPr>
        <w:t>——科技成果转化。做强中试服务，持续布局概念验证中心、中试基地，集成提供技术遴选、验证评估、中试熟化、中试数字化等服务。强化技术转移服务，围绕主导产业发展，打造全链条技术转移模式，统筹推进高校科研成果转化。完善科技型企业孵化器培育体系，探索科技产业孵化新模式，支持前沿技术创业、硬科技创业。</w:t>
      </w:r>
    </w:p>
    <w:p w14:paraId="7760BF85">
      <w:pPr>
        <w:spacing w:line="560" w:lineRule="exact"/>
        <w:ind w:firstLine="640" w:firstLineChars="200"/>
        <w:rPr>
          <w:rFonts w:ascii="Times New Roman" w:hAnsi="Times New Roman" w:eastAsia="仿宋_GB2312" w:cs="Times New Roman"/>
          <w:color w:val="auto"/>
          <w:sz w:val="32"/>
          <w:szCs w:val="32"/>
          <w:lang w:bidi="ar"/>
        </w:rPr>
      </w:pPr>
      <w:r>
        <w:rPr>
          <w:rFonts w:hint="eastAsia" w:ascii="楷体_GB2312" w:hAnsi="Times New Roman" w:eastAsia="楷体_GB2312" w:cs="Times New Roman"/>
          <w:color w:val="auto"/>
          <w:sz w:val="32"/>
          <w:szCs w:val="22"/>
        </w:rPr>
        <w:t>现代金融业。</w:t>
      </w:r>
      <w:r>
        <w:rPr>
          <w:rFonts w:hint="eastAsia" w:ascii="Times New Roman" w:hAnsi="Times New Roman" w:eastAsia="仿宋_GB2312" w:cs="Times New Roman"/>
          <w:bCs/>
          <w:color w:val="auto"/>
          <w:sz w:val="32"/>
          <w:szCs w:val="32"/>
          <w:lang w:bidi="ar"/>
        </w:rPr>
        <w:t>扎实做好</w:t>
      </w:r>
      <w:r>
        <w:rPr>
          <w:rFonts w:hint="eastAsia" w:ascii="Times New Roman" w:hAnsi="Times New Roman" w:eastAsia="仿宋_GB2312" w:cs="Times New Roman"/>
          <w:bCs/>
          <w:color w:val="auto"/>
          <w:sz w:val="32"/>
          <w:szCs w:val="32"/>
          <w:lang w:eastAsia="zh-CN" w:bidi="ar"/>
        </w:rPr>
        <w:t>金融“五篇大文章”</w:t>
      </w:r>
      <w:r>
        <w:rPr>
          <w:rFonts w:hint="eastAsia" w:ascii="Times New Roman" w:hAnsi="Times New Roman" w:eastAsia="仿宋_GB2312" w:cs="Times New Roman"/>
          <w:bCs/>
          <w:color w:val="auto"/>
          <w:sz w:val="32"/>
          <w:szCs w:val="32"/>
          <w:lang w:bidi="ar"/>
        </w:rPr>
        <w:t>，吸引多门类金融机构落户升级，优化金融资源布局，聚力建设烟台市</w:t>
      </w:r>
      <w:r>
        <w:rPr>
          <w:rFonts w:hint="eastAsia" w:ascii="Times New Roman" w:hAnsi="Times New Roman" w:eastAsia="仿宋_GB2312" w:cs="Times New Roman"/>
          <w:bCs/>
          <w:color w:val="auto"/>
          <w:sz w:val="32"/>
          <w:szCs w:val="32"/>
          <w:lang w:eastAsia="zh-CN" w:bidi="ar"/>
        </w:rPr>
        <w:t>“</w:t>
      </w:r>
      <w:r>
        <w:rPr>
          <w:rFonts w:hint="eastAsia" w:ascii="Times New Roman" w:hAnsi="Times New Roman" w:eastAsia="仿宋_GB2312" w:cs="Times New Roman"/>
          <w:bCs/>
          <w:color w:val="auto"/>
          <w:sz w:val="32"/>
          <w:szCs w:val="32"/>
          <w:lang w:bidi="ar"/>
        </w:rPr>
        <w:t>资本孵化管理高地</w:t>
      </w:r>
      <w:r>
        <w:rPr>
          <w:rFonts w:hint="eastAsia" w:ascii="Times New Roman" w:hAnsi="Times New Roman" w:eastAsia="仿宋_GB2312" w:cs="Times New Roman"/>
          <w:bCs/>
          <w:color w:val="auto"/>
          <w:sz w:val="32"/>
          <w:szCs w:val="32"/>
          <w:lang w:eastAsia="zh-CN" w:bidi="ar"/>
        </w:rPr>
        <w:t>”</w:t>
      </w:r>
      <w:r>
        <w:rPr>
          <w:rFonts w:hint="eastAsia" w:ascii="Times New Roman" w:hAnsi="Times New Roman" w:eastAsia="仿宋_GB2312" w:cs="Times New Roman"/>
          <w:bCs/>
          <w:color w:val="auto"/>
          <w:sz w:val="32"/>
          <w:szCs w:val="32"/>
          <w:lang w:bidi="ar"/>
        </w:rPr>
        <w:t>，</w:t>
      </w:r>
      <w:r>
        <w:rPr>
          <w:rFonts w:hint="eastAsia" w:ascii="仿宋_GB2312" w:hAnsi="仿宋_GB2312" w:eastAsia="仿宋_GB2312" w:cs="仿宋_GB2312"/>
          <w:bCs/>
          <w:color w:val="auto"/>
          <w:sz w:val="32"/>
          <w:szCs w:val="32"/>
          <w:lang w:bidi="ar"/>
        </w:rPr>
        <w:t>力争新增基金规模70亿元以上</w:t>
      </w:r>
      <w:r>
        <w:rPr>
          <w:rFonts w:hint="eastAsia" w:ascii="Times New Roman" w:hAnsi="Times New Roman" w:eastAsia="仿宋_GB2312" w:cs="Times New Roman"/>
          <w:bCs/>
          <w:color w:val="auto"/>
          <w:sz w:val="32"/>
          <w:szCs w:val="32"/>
          <w:lang w:bidi="ar"/>
        </w:rPr>
        <w:t>，着力打造“展示+路演+洽谈”三位一体的现代化金融生态展示中心，增强区域资本集聚能力。强化与财金集团等市级平台战略合作，撬动更多省，市级优质资本服务生物医药，航空航天等特色产业领域。推行金融辅导，金融管家等服务模式，畅通政银企对接渠道，为重点项目，优势产业及小微企业提供差异化，特色化金融服务，引导金融产品精准滴灌新质生产力。</w:t>
      </w:r>
    </w:p>
    <w:p w14:paraId="55A04EF8">
      <w:pPr>
        <w:spacing w:line="560" w:lineRule="exact"/>
        <w:ind w:firstLine="640" w:firstLineChars="200"/>
        <w:rPr>
          <w:rFonts w:ascii="Times New Roman" w:hAnsi="Times New Roman" w:eastAsia="仿宋_GB2312" w:cs="Times New Roman"/>
          <w:bCs/>
          <w:color w:val="auto"/>
          <w:sz w:val="32"/>
          <w:szCs w:val="32"/>
          <w:lang w:bidi="ar"/>
        </w:rPr>
      </w:pPr>
      <w:r>
        <w:rPr>
          <w:rFonts w:hint="eastAsia" w:ascii="楷体_GB2312" w:hAnsi="Times New Roman" w:eastAsia="楷体_GB2312" w:cs="Times New Roman"/>
          <w:color w:val="auto"/>
          <w:sz w:val="32"/>
          <w:szCs w:val="22"/>
        </w:rPr>
        <w:t>文化旅游业。</w:t>
      </w:r>
      <w:r>
        <w:rPr>
          <w:rFonts w:hint="eastAsia" w:ascii="Times New Roman" w:hAnsi="Times New Roman" w:eastAsia="仿宋_GB2312" w:cs="Times New Roman"/>
          <w:bCs/>
          <w:color w:val="auto"/>
          <w:sz w:val="32"/>
          <w:szCs w:val="32"/>
          <w:lang w:bidi="ar"/>
        </w:rPr>
        <w:t>坚持“商文旅体”深度融合发展，积极引进一批文旅标志性项目和运营服务机构，做强文化产业、现代旅游、体育赛事等重点领域，深化文化旅游与</w:t>
      </w:r>
      <w:r>
        <w:rPr>
          <w:rFonts w:hint="eastAsia" w:ascii="Times New Roman" w:hAnsi="Times New Roman" w:eastAsia="仿宋_GB2312" w:cs="Times New Roman"/>
          <w:bCs/>
          <w:color w:val="auto"/>
          <w:sz w:val="32"/>
          <w:szCs w:val="32"/>
          <w:lang w:val="en-US" w:eastAsia="zh-CN" w:bidi="ar"/>
        </w:rPr>
        <w:t>产</w:t>
      </w:r>
      <w:r>
        <w:rPr>
          <w:rFonts w:hint="eastAsia" w:ascii="Times New Roman" w:hAnsi="Times New Roman" w:eastAsia="仿宋_GB2312" w:cs="Times New Roman"/>
          <w:bCs/>
          <w:color w:val="auto"/>
          <w:sz w:val="32"/>
          <w:szCs w:val="32"/>
          <w:lang w:bidi="ar"/>
        </w:rPr>
        <w:t>业深度融合赋能，全面激发服务消费活力，助力经济增长和城市品质提升。</w:t>
      </w:r>
    </w:p>
    <w:p w14:paraId="02027177">
      <w:pPr>
        <w:spacing w:line="56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b w:val="0"/>
          <w:bCs/>
          <w:color w:val="auto"/>
          <w:sz w:val="32"/>
          <w:szCs w:val="32"/>
          <w:lang w:bidi="ar"/>
        </w:rPr>
        <w:t>——文化产业。</w:t>
      </w:r>
      <w:r>
        <w:rPr>
          <w:rFonts w:hint="eastAsia" w:ascii="Times New Roman" w:hAnsi="Times New Roman" w:eastAsia="仿宋_GB2312" w:cs="Times New Roman"/>
          <w:bCs/>
          <w:color w:val="auto"/>
          <w:sz w:val="32"/>
          <w:szCs w:val="32"/>
          <w:lang w:bidi="ar"/>
        </w:rPr>
        <w:t>高品质建设</w:t>
      </w:r>
      <w:r>
        <w:rPr>
          <w:rFonts w:ascii="Times New Roman" w:hAnsi="Times New Roman" w:eastAsia="仿宋_GB2312" w:cs="Times New Roman"/>
          <w:bCs/>
          <w:color w:val="auto"/>
          <w:sz w:val="32"/>
          <w:szCs w:val="32"/>
          <w:lang w:bidi="ar"/>
        </w:rPr>
        <w:t>世界设计公园</w:t>
      </w:r>
      <w:r>
        <w:rPr>
          <w:rFonts w:hint="eastAsia" w:ascii="Times New Roman" w:hAnsi="Times New Roman" w:eastAsia="仿宋_GB2312" w:cs="Times New Roman"/>
          <w:bCs/>
          <w:color w:val="auto"/>
          <w:sz w:val="32"/>
          <w:szCs w:val="32"/>
          <w:lang w:bidi="ar"/>
        </w:rPr>
        <w:t>，</w:t>
      </w:r>
      <w:r>
        <w:rPr>
          <w:rFonts w:hint="eastAsia" w:ascii="Times New Roman" w:hAnsi="Times New Roman" w:eastAsia="仿宋_GB2312" w:cs="Times New Roman"/>
          <w:color w:val="auto"/>
          <w:sz w:val="32"/>
          <w:szCs w:val="32"/>
          <w:lang w:val="en-US" w:eastAsia="zh-CN"/>
        </w:rPr>
        <w:t>打造</w:t>
      </w:r>
      <w:r>
        <w:rPr>
          <w:rFonts w:hint="eastAsia" w:ascii="Times New Roman" w:hAnsi="Times New Roman" w:eastAsia="仿宋_GB2312" w:cs="Times New Roman"/>
          <w:color w:val="auto"/>
          <w:sz w:val="32"/>
          <w:szCs w:val="32"/>
        </w:rPr>
        <w:t>城市文化地标。</w:t>
      </w:r>
      <w:r>
        <w:rPr>
          <w:rFonts w:hint="eastAsia" w:ascii="Times New Roman" w:hAnsi="Times New Roman" w:eastAsia="仿宋_GB2312" w:cs="Times New Roman"/>
          <w:color w:val="auto"/>
          <w:sz w:val="32"/>
          <w:szCs w:val="22"/>
        </w:rPr>
        <w:t>推进文化艺术中心建设，</w:t>
      </w:r>
      <w:r>
        <w:rPr>
          <w:rFonts w:hint="eastAsia" w:ascii="Times New Roman" w:hAnsi="Times New Roman" w:eastAsia="仿宋_GB2312" w:cs="Times New Roman"/>
          <w:color w:val="auto"/>
          <w:sz w:val="32"/>
          <w:szCs w:val="32"/>
        </w:rPr>
        <w:t>积极培育海洋文创、数字文创等新业态，持续提升城市文化品位与群众文化生活质感。深度挖掘非遗技艺、特色美食及本土传统文化资源，系统谋划落地特色文化产业项目。</w:t>
      </w:r>
    </w:p>
    <w:p w14:paraId="32C78EE4">
      <w:pPr>
        <w:spacing w:line="560" w:lineRule="exact"/>
        <w:ind w:firstLine="640" w:firstLineChars="200"/>
        <w:rPr>
          <w:rFonts w:ascii="Times New Roman" w:hAnsi="Times New Roman" w:eastAsia="仿宋_GB2312" w:cs="Times New Roman"/>
          <w:b w:val="0"/>
          <w:bCs w:val="0"/>
          <w:color w:val="auto"/>
          <w:sz w:val="32"/>
          <w:szCs w:val="32"/>
          <w:lang w:bidi="ar"/>
        </w:rPr>
      </w:pPr>
      <w:r>
        <w:rPr>
          <w:rFonts w:hint="eastAsia" w:ascii="Times New Roman" w:hAnsi="Times New Roman" w:eastAsia="仿宋_GB2312" w:cs="Times New Roman"/>
          <w:b w:val="0"/>
          <w:bCs w:val="0"/>
          <w:color w:val="auto"/>
          <w:sz w:val="32"/>
          <w:szCs w:val="32"/>
        </w:rPr>
        <w:t>——</w:t>
      </w:r>
      <w:r>
        <w:rPr>
          <w:rFonts w:hint="eastAsia" w:ascii="Times New Roman" w:hAnsi="Times New Roman" w:eastAsia="仿宋_GB2312" w:cs="Times New Roman"/>
          <w:b w:val="0"/>
          <w:bCs w:val="0"/>
          <w:color w:val="auto"/>
          <w:sz w:val="32"/>
          <w:szCs w:val="32"/>
          <w:lang w:bidi="ar"/>
        </w:rPr>
        <w:t>现代旅游。高标准策划滨海旅游带整体开发，不断丰富优质文旅产品供给。深挖深海深空科技展示、海岛滨海观光、滨水生态休闲等特色资源，培育打造一批辨识度高、吸引力强的精品旅游线路。持续深化文旅融合，壮大科技研学游、工业体验游、海洋休闲游等融合业态，擦亮高新区特色文旅名片。</w:t>
      </w:r>
    </w:p>
    <w:p w14:paraId="2CC17E33">
      <w:pPr>
        <w:spacing w:line="560" w:lineRule="exact"/>
        <w:ind w:firstLine="640" w:firstLineChars="200"/>
        <w:rPr>
          <w:rFonts w:ascii="Times New Roman" w:hAnsi="Times New Roman" w:eastAsia="仿宋_GB2312" w:cs="Times New Roman"/>
          <w:color w:val="auto"/>
          <w:kern w:val="0"/>
          <w:sz w:val="32"/>
          <w:szCs w:val="32"/>
          <w:lang w:bidi="ar"/>
        </w:rPr>
      </w:pPr>
      <w:r>
        <w:rPr>
          <w:rFonts w:hint="eastAsia" w:ascii="Times New Roman" w:hAnsi="Times New Roman" w:eastAsia="仿宋_GB2312" w:cs="Times New Roman"/>
          <w:b w:val="0"/>
          <w:bCs w:val="0"/>
          <w:color w:val="auto"/>
          <w:sz w:val="32"/>
          <w:szCs w:val="32"/>
          <w:lang w:bidi="ar"/>
        </w:rPr>
        <w:t>——体育</w:t>
      </w:r>
      <w:r>
        <w:rPr>
          <w:rFonts w:ascii="Times New Roman" w:hAnsi="Times New Roman" w:eastAsia="仿宋_GB2312" w:cs="Times New Roman"/>
          <w:b w:val="0"/>
          <w:bCs w:val="0"/>
          <w:color w:val="auto"/>
          <w:sz w:val="32"/>
          <w:szCs w:val="32"/>
          <w:lang w:bidi="ar"/>
        </w:rPr>
        <w:t>赛事</w:t>
      </w:r>
      <w:r>
        <w:rPr>
          <w:rFonts w:hint="eastAsia" w:ascii="Times New Roman" w:hAnsi="Times New Roman" w:eastAsia="仿宋_GB2312" w:cs="Times New Roman"/>
          <w:b w:val="0"/>
          <w:bCs w:val="0"/>
          <w:color w:val="auto"/>
          <w:sz w:val="32"/>
          <w:szCs w:val="32"/>
          <w:lang w:bidi="ar"/>
        </w:rPr>
        <w:t>。</w:t>
      </w:r>
      <w:r>
        <w:rPr>
          <w:rFonts w:hint="eastAsia" w:ascii="Times New Roman" w:hAnsi="Times New Roman" w:eastAsia="仿宋_GB2312" w:cs="Times New Roman"/>
          <w:b w:val="0"/>
          <w:bCs w:val="0"/>
          <w:color w:val="auto"/>
          <w:sz w:val="32"/>
          <w:szCs w:val="32"/>
        </w:rPr>
        <w:t>构建丰富</w:t>
      </w:r>
      <w:r>
        <w:rPr>
          <w:rFonts w:hint="eastAsia" w:ascii="Times New Roman" w:hAnsi="Times New Roman" w:eastAsia="仿宋_GB2312" w:cs="Times New Roman"/>
          <w:color w:val="auto"/>
          <w:sz w:val="32"/>
          <w:szCs w:val="32"/>
        </w:rPr>
        <w:t>的体育运动赛事体系，深化体育与文旅康养、文创消费等业态深度融合，持续延展赛事经济产业链，激活体育产业发展新势能。</w:t>
      </w:r>
    </w:p>
    <w:p w14:paraId="36605A10">
      <w:pPr>
        <w:spacing w:line="560" w:lineRule="exact"/>
        <w:ind w:firstLine="640" w:firstLineChars="200"/>
        <w:rPr>
          <w:rFonts w:ascii="Times New Roman" w:hAnsi="Times New Roman" w:eastAsia="仿宋_GB2312" w:cs="Times New Roman"/>
          <w:bCs/>
          <w:color w:val="auto"/>
          <w:sz w:val="32"/>
          <w:szCs w:val="32"/>
          <w:lang w:bidi="ar"/>
        </w:rPr>
      </w:pPr>
      <w:r>
        <w:rPr>
          <w:rFonts w:hint="eastAsia" w:ascii="楷体_GB2312" w:hAnsi="Times New Roman" w:eastAsia="楷体_GB2312" w:cs="Times New Roman"/>
          <w:color w:val="auto"/>
          <w:sz w:val="32"/>
          <w:szCs w:val="22"/>
        </w:rPr>
        <w:t>现代贸易。</w:t>
      </w:r>
      <w:r>
        <w:rPr>
          <w:rFonts w:hint="eastAsia" w:ascii="Times New Roman" w:hAnsi="Times New Roman" w:eastAsia="仿宋_GB2312" w:cs="Times New Roman"/>
          <w:bCs/>
          <w:color w:val="auto"/>
          <w:sz w:val="32"/>
          <w:szCs w:val="32"/>
          <w:lang w:bidi="ar"/>
        </w:rPr>
        <w:t>以推动现代贸易高质量发展为主线，加快货物贸易结构优化升级，大力培育数字贸易</w:t>
      </w:r>
      <w:r>
        <w:rPr>
          <w:rFonts w:hint="eastAsia" w:ascii="Times New Roman" w:hAnsi="Times New Roman" w:eastAsia="仿宋_GB2312" w:cs="Times New Roman"/>
          <w:bCs/>
          <w:color w:val="auto"/>
          <w:sz w:val="32"/>
          <w:szCs w:val="32"/>
          <w:lang w:val="en-US" w:eastAsia="zh-CN" w:bidi="ar"/>
        </w:rPr>
        <w:t>和</w:t>
      </w:r>
      <w:r>
        <w:rPr>
          <w:rFonts w:hint="eastAsia" w:ascii="Times New Roman" w:hAnsi="Times New Roman" w:eastAsia="仿宋_GB2312" w:cs="Times New Roman"/>
          <w:bCs/>
          <w:color w:val="auto"/>
          <w:sz w:val="32"/>
          <w:szCs w:val="32"/>
          <w:lang w:bidi="ar"/>
        </w:rPr>
        <w:t>服务贸易，做强现代贸易产业集群。</w:t>
      </w:r>
    </w:p>
    <w:p w14:paraId="673C5F92">
      <w:pPr>
        <w:spacing w:line="560" w:lineRule="exact"/>
        <w:ind w:firstLine="640" w:firstLineChars="200"/>
        <w:rPr>
          <w:rFonts w:hint="eastAsia" w:ascii="Times New Roman" w:hAnsi="Times New Roman" w:eastAsia="仿宋_GB2312" w:cs="Times New Roman"/>
          <w:color w:val="auto"/>
          <w:kern w:val="0"/>
          <w:sz w:val="32"/>
          <w:szCs w:val="32"/>
          <w:lang w:bidi="ar"/>
        </w:rPr>
      </w:pPr>
      <w:bookmarkStart w:id="71" w:name="_Toc213769884"/>
      <w:bookmarkStart w:id="72" w:name="_Toc230188702"/>
      <w:bookmarkStart w:id="73" w:name="_Toc209796038"/>
      <w:bookmarkStart w:id="74" w:name="_Toc8061"/>
      <w:bookmarkStart w:id="75" w:name="_Toc30431"/>
      <w:bookmarkStart w:id="76" w:name="_Toc230591540"/>
      <w:bookmarkStart w:id="77" w:name="_Toc3727"/>
      <w:bookmarkStart w:id="78" w:name="_Toc209796039"/>
      <w:bookmarkStart w:id="79" w:name="_Toc208924213"/>
      <w:bookmarkStart w:id="80" w:name="_Hlk208998790"/>
      <w:r>
        <w:rPr>
          <w:rFonts w:hint="eastAsia" w:ascii="Times New Roman" w:hAnsi="Times New Roman" w:eastAsia="仿宋_GB2312" w:cs="Times New Roman"/>
          <w:b w:val="0"/>
          <w:bCs w:val="0"/>
          <w:color w:val="auto"/>
          <w:kern w:val="0"/>
          <w:sz w:val="32"/>
          <w:szCs w:val="32"/>
          <w:lang w:bidi="ar"/>
        </w:rPr>
        <w:t>数字贸易。</w:t>
      </w:r>
      <w:r>
        <w:rPr>
          <w:rFonts w:hint="eastAsia" w:ascii="Times New Roman" w:hAnsi="Times New Roman" w:eastAsia="仿宋_GB2312" w:cs="Times New Roman"/>
          <w:bCs/>
          <w:color w:val="auto"/>
          <w:sz w:val="32"/>
          <w:szCs w:val="32"/>
          <w:lang w:val="en-US" w:eastAsia="zh-CN" w:bidi="ar"/>
        </w:rPr>
        <w:t>支持大宗商品贸易数字化发展，</w:t>
      </w:r>
      <w:r>
        <w:rPr>
          <w:rFonts w:hint="eastAsia" w:ascii="Times New Roman" w:hAnsi="Times New Roman" w:eastAsia="仿宋_GB2312" w:cs="Times New Roman"/>
          <w:bCs/>
          <w:color w:val="auto"/>
          <w:sz w:val="32"/>
          <w:szCs w:val="32"/>
          <w:lang w:bidi="ar"/>
        </w:rPr>
        <w:t>重点做大</w:t>
      </w:r>
      <w:r>
        <w:rPr>
          <w:rFonts w:ascii="Times New Roman" w:hAnsi="Times New Roman" w:eastAsia="仿宋_GB2312" w:cs="Times New Roman"/>
          <w:bCs/>
          <w:color w:val="auto"/>
          <w:sz w:val="32"/>
          <w:szCs w:val="32"/>
          <w:lang w:bidi="ar"/>
        </w:rPr>
        <w:t>跨境电商</w:t>
      </w:r>
      <w:r>
        <w:rPr>
          <w:rFonts w:hint="eastAsia" w:ascii="Times New Roman" w:hAnsi="Times New Roman" w:eastAsia="仿宋_GB2312" w:cs="Times New Roman"/>
          <w:bCs/>
          <w:color w:val="auto"/>
          <w:sz w:val="32"/>
          <w:szCs w:val="32"/>
          <w:lang w:bidi="ar"/>
        </w:rPr>
        <w:t>产业</w:t>
      </w:r>
      <w:r>
        <w:rPr>
          <w:rFonts w:ascii="Times New Roman" w:hAnsi="Times New Roman" w:eastAsia="仿宋_GB2312" w:cs="Times New Roman"/>
          <w:bCs/>
          <w:color w:val="auto"/>
          <w:sz w:val="32"/>
          <w:szCs w:val="32"/>
          <w:lang w:bidi="ar"/>
        </w:rPr>
        <w:t>，支持艾多美等企业深化产品数字化营销，</w:t>
      </w:r>
      <w:r>
        <w:rPr>
          <w:rFonts w:hint="eastAsia" w:ascii="Times New Roman" w:hAnsi="Times New Roman" w:eastAsia="仿宋_GB2312" w:cs="Times New Roman"/>
          <w:bCs/>
          <w:color w:val="auto"/>
          <w:sz w:val="32"/>
          <w:szCs w:val="32"/>
          <w:lang w:bidi="ar"/>
        </w:rPr>
        <w:t>打造跨境电商知名品牌。创新“跨境电商+产业带”</w:t>
      </w:r>
      <w:r>
        <w:rPr>
          <w:rFonts w:ascii="Times New Roman" w:hAnsi="Times New Roman" w:eastAsia="仿宋_GB2312" w:cs="Times New Roman"/>
          <w:bCs/>
          <w:color w:val="auto"/>
          <w:sz w:val="32"/>
          <w:szCs w:val="32"/>
          <w:lang w:bidi="ar"/>
        </w:rPr>
        <w:t>融合发展模式，依托优势产业高标准建设线下选品中心、线上展示交易专区等一体化平台。</w:t>
      </w:r>
      <w:r>
        <w:rPr>
          <w:rFonts w:hint="eastAsia" w:ascii="Times New Roman" w:hAnsi="Times New Roman" w:eastAsia="仿宋_GB2312" w:cs="Times New Roman"/>
          <w:color w:val="auto"/>
          <w:kern w:val="0"/>
          <w:sz w:val="32"/>
          <w:szCs w:val="32"/>
          <w:lang w:bidi="ar"/>
        </w:rPr>
        <w:t>积极拓展电商贸易新赛道，支持电商企业向通用型、垂直型工业品跨境电商转型。</w:t>
      </w:r>
    </w:p>
    <w:p w14:paraId="5D9272C2">
      <w:pPr>
        <w:spacing w:line="560" w:lineRule="exact"/>
        <w:ind w:firstLine="640" w:firstLineChars="200"/>
        <w:rPr>
          <w:rFonts w:ascii="Times New Roman" w:hAnsi="Times New Roman" w:eastAsia="仿宋_GB2312" w:cs="Times New Roman"/>
          <w:bCs/>
          <w:color w:val="auto"/>
          <w:sz w:val="32"/>
          <w:szCs w:val="32"/>
          <w:lang w:bidi="ar"/>
        </w:rPr>
      </w:pPr>
      <w:r>
        <w:rPr>
          <w:rFonts w:hint="eastAsia" w:ascii="Times New Roman" w:hAnsi="Times New Roman" w:eastAsia="仿宋_GB2312" w:cs="Times New Roman"/>
          <w:b w:val="0"/>
          <w:bCs w:val="0"/>
          <w:color w:val="auto"/>
          <w:kern w:val="0"/>
          <w:sz w:val="32"/>
          <w:szCs w:val="32"/>
          <w:lang w:bidi="ar"/>
        </w:rPr>
        <w:t>货物贸易。</w:t>
      </w:r>
      <w:r>
        <w:rPr>
          <w:rFonts w:hint="eastAsia" w:ascii="Times New Roman" w:hAnsi="Times New Roman" w:eastAsia="仿宋_GB2312" w:cs="Times New Roman"/>
          <w:color w:val="auto"/>
          <w:kern w:val="0"/>
          <w:sz w:val="32"/>
          <w:szCs w:val="32"/>
          <w:lang w:bidi="ar"/>
        </w:rPr>
        <w:t>鼓励区内外贸企业设立全球或区域性国际分拨中心，推动传统批发企业向供应链服务商、综合交易服务平台转型，支持生物医药、装备制造等领域企业布局和成立独立贸易公司。</w:t>
      </w:r>
      <w:r>
        <w:rPr>
          <w:rFonts w:hint="eastAsia" w:ascii="Times New Roman" w:hAnsi="Times New Roman" w:eastAsia="仿宋_GB2312" w:cs="Times New Roman"/>
          <w:bCs/>
          <w:color w:val="auto"/>
          <w:sz w:val="32"/>
          <w:szCs w:val="32"/>
          <w:lang w:bidi="ar"/>
        </w:rPr>
        <w:t>巩固药品、医疗器械、电子材料等高技术产品出口优势，</w:t>
      </w:r>
      <w:r>
        <w:rPr>
          <w:rFonts w:ascii="Times New Roman" w:hAnsi="Times New Roman" w:eastAsia="仿宋_GB2312" w:cs="Times New Roman"/>
          <w:bCs/>
          <w:color w:val="auto"/>
          <w:sz w:val="32"/>
          <w:szCs w:val="32"/>
          <w:lang w:bidi="ar"/>
        </w:rPr>
        <w:t>扩大</w:t>
      </w:r>
      <w:r>
        <w:rPr>
          <w:rFonts w:hint="eastAsia" w:ascii="Times New Roman" w:hAnsi="Times New Roman" w:eastAsia="仿宋_GB2312" w:cs="Times New Roman"/>
          <w:bCs/>
          <w:color w:val="auto"/>
          <w:sz w:val="32"/>
          <w:szCs w:val="32"/>
          <w:lang w:bidi="ar"/>
        </w:rPr>
        <w:t>装备制造</w:t>
      </w:r>
      <w:r>
        <w:rPr>
          <w:rFonts w:ascii="Times New Roman" w:hAnsi="Times New Roman" w:eastAsia="仿宋_GB2312" w:cs="Times New Roman"/>
          <w:bCs/>
          <w:color w:val="auto"/>
          <w:sz w:val="32"/>
          <w:szCs w:val="32"/>
          <w:lang w:bidi="ar"/>
        </w:rPr>
        <w:t>初级产品、半成品、零部件等中间品贸易规模。</w:t>
      </w:r>
    </w:p>
    <w:p w14:paraId="61B5E66C">
      <w:pPr>
        <w:spacing w:line="560" w:lineRule="exact"/>
        <w:ind w:firstLine="640" w:firstLineChars="200"/>
        <w:rPr>
          <w:rFonts w:hint="eastAsia" w:ascii="Times New Roman" w:hAnsi="Times New Roman" w:eastAsia="仿宋_GB2312" w:cs="Times New Roman"/>
          <w:color w:val="auto"/>
          <w:kern w:val="0"/>
          <w:sz w:val="32"/>
          <w:szCs w:val="32"/>
          <w:lang w:eastAsia="zh-CN" w:bidi="ar"/>
        </w:rPr>
      </w:pPr>
      <w:r>
        <w:rPr>
          <w:rFonts w:hint="eastAsia" w:ascii="Times New Roman" w:hAnsi="Times New Roman" w:eastAsia="仿宋_GB2312" w:cs="Times New Roman"/>
          <w:b w:val="0"/>
          <w:bCs w:val="0"/>
          <w:color w:val="auto"/>
          <w:kern w:val="0"/>
          <w:sz w:val="32"/>
          <w:szCs w:val="32"/>
          <w:lang w:val="en-US" w:eastAsia="zh-CN" w:bidi="ar"/>
        </w:rPr>
        <w:t>服务贸易。</w:t>
      </w:r>
      <w:r>
        <w:rPr>
          <w:rFonts w:hint="eastAsia" w:ascii="Times New Roman" w:hAnsi="Times New Roman" w:eastAsia="仿宋_GB2312" w:cs="Times New Roman"/>
          <w:color w:val="auto"/>
          <w:kern w:val="0"/>
          <w:sz w:val="32"/>
          <w:szCs w:val="32"/>
          <w:lang w:bidi="ar"/>
        </w:rPr>
        <w:t>扩大服务贸易开放能级，</w:t>
      </w:r>
      <w:r>
        <w:rPr>
          <w:rFonts w:hint="eastAsia" w:ascii="Times New Roman" w:hAnsi="Times New Roman" w:eastAsia="仿宋_GB2312" w:cs="Times New Roman"/>
          <w:color w:val="auto"/>
          <w:kern w:val="0"/>
          <w:sz w:val="32"/>
          <w:szCs w:val="32"/>
          <w:lang w:val="en-US" w:eastAsia="zh-CN" w:bidi="ar"/>
        </w:rPr>
        <w:t>赋能</w:t>
      </w:r>
      <w:r>
        <w:rPr>
          <w:rFonts w:hint="eastAsia" w:ascii="Times New Roman" w:hAnsi="Times New Roman" w:eastAsia="仿宋_GB2312" w:cs="Times New Roman"/>
          <w:color w:val="auto"/>
          <w:kern w:val="0"/>
          <w:sz w:val="32"/>
          <w:szCs w:val="32"/>
          <w:lang w:bidi="ar"/>
        </w:rPr>
        <w:t>工业设计、文化旅游、商贸服务、软件信息等领域企业拓展海外业务，大力培育外向型市场主体，</w:t>
      </w:r>
      <w:r>
        <w:rPr>
          <w:rFonts w:hint="eastAsia" w:ascii="Times New Roman" w:hAnsi="Times New Roman" w:eastAsia="仿宋_GB2312" w:cs="Times New Roman"/>
          <w:color w:val="auto"/>
          <w:kern w:val="0"/>
          <w:sz w:val="32"/>
          <w:szCs w:val="32"/>
          <w:lang w:val="en-US" w:eastAsia="zh-CN" w:bidi="ar"/>
        </w:rPr>
        <w:t>培育</w:t>
      </w:r>
      <w:r>
        <w:rPr>
          <w:rFonts w:hint="eastAsia" w:ascii="Times New Roman" w:hAnsi="Times New Roman" w:eastAsia="仿宋_GB2312" w:cs="Times New Roman"/>
          <w:color w:val="auto"/>
          <w:kern w:val="0"/>
          <w:sz w:val="32"/>
          <w:szCs w:val="32"/>
          <w:lang w:bidi="ar"/>
        </w:rPr>
        <w:t>技术先进型服务企业、重点文化出口企业。</w:t>
      </w:r>
    </w:p>
    <w:p w14:paraId="00818F06">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81" w:name="_Toc10272"/>
      <w:r>
        <w:rPr>
          <w:rFonts w:hint="eastAsia" w:ascii="黑体" w:hAnsi="黑体" w:eastAsia="黑体" w:cs="Times New Roman"/>
          <w:b w:val="0"/>
          <w:bCs w:val="0"/>
          <w:color w:val="auto"/>
          <w:kern w:val="2"/>
          <w:sz w:val="32"/>
          <w:szCs w:val="32"/>
          <w:lang w:val="en-US" w:eastAsia="zh-CN" w:bidi="ar-SA"/>
        </w:rPr>
        <w:t>第五节  前瞻布局未来产业</w:t>
      </w:r>
      <w:bookmarkEnd w:id="71"/>
      <w:bookmarkEnd w:id="72"/>
      <w:bookmarkEnd w:id="73"/>
      <w:bookmarkEnd w:id="74"/>
      <w:bookmarkEnd w:id="75"/>
      <w:bookmarkEnd w:id="76"/>
      <w:bookmarkEnd w:id="77"/>
      <w:bookmarkEnd w:id="81"/>
    </w:p>
    <w:p w14:paraId="05587E6C">
      <w:pPr>
        <w:spacing w:line="560" w:lineRule="exact"/>
        <w:ind w:firstLine="640" w:firstLineChars="200"/>
        <w:rPr>
          <w:rFonts w:ascii="仿宋_GB2312" w:hAnsi="Times New Roman" w:eastAsia="仿宋_GB2312" w:cs="Times New Roman"/>
          <w:color w:val="auto"/>
          <w:sz w:val="32"/>
          <w:szCs w:val="32"/>
          <w:highlight w:val="none"/>
        </w:rPr>
      </w:pPr>
      <w:bookmarkStart w:id="82" w:name="_Hlk216355616"/>
      <w:r>
        <w:rPr>
          <w:rFonts w:hint="eastAsia" w:ascii="仿宋_GB2312" w:hAnsi="Times New Roman" w:eastAsia="仿宋_GB2312" w:cs="Times New Roman"/>
          <w:color w:val="auto"/>
          <w:sz w:val="32"/>
          <w:szCs w:val="32"/>
        </w:rPr>
        <w:t>立足产业发展基础，以“现有产业未来化”和“未来技术产业化”为抓手，近期深耕细胞治疗与再生医</w:t>
      </w:r>
      <w:r>
        <w:rPr>
          <w:rFonts w:hint="eastAsia" w:ascii="仿宋_GB2312" w:hAnsi="Times New Roman" w:eastAsia="仿宋_GB2312" w:cs="Times New Roman"/>
          <w:color w:val="auto"/>
          <w:sz w:val="32"/>
          <w:szCs w:val="32"/>
          <w:highlight w:val="none"/>
        </w:rPr>
        <w:t>学、</w:t>
      </w:r>
      <w:r>
        <w:rPr>
          <w:rFonts w:hint="eastAsia" w:ascii="仿宋_GB2312" w:hAnsi="仿宋_GB2312" w:eastAsia="仿宋_GB2312" w:cs="仿宋_GB2312"/>
          <w:color w:val="auto"/>
          <w:sz w:val="32"/>
          <w:szCs w:val="32"/>
          <w:highlight w:val="none"/>
          <w:lang w:val="en-US" w:eastAsia="zh-CN"/>
        </w:rPr>
        <w:t>生物制造、</w:t>
      </w:r>
      <w:r>
        <w:rPr>
          <w:rFonts w:hint="eastAsia" w:ascii="仿宋_GB2312" w:hAnsi="仿宋_GB2312" w:eastAsia="仿宋_GB2312" w:cs="仿宋_GB2312"/>
          <w:color w:val="auto"/>
          <w:sz w:val="32"/>
          <w:szCs w:val="32"/>
          <w:highlight w:val="none"/>
        </w:rPr>
        <w:t>AI</w:t>
      </w:r>
      <w:r>
        <w:rPr>
          <w:rFonts w:hint="eastAsia" w:ascii="仿宋_GB2312" w:hAnsi="Times New Roman" w:eastAsia="仿宋_GB2312" w:cs="Times New Roman"/>
          <w:color w:val="auto"/>
          <w:sz w:val="32"/>
          <w:szCs w:val="32"/>
          <w:highlight w:val="none"/>
        </w:rPr>
        <w:t>医疗</w:t>
      </w:r>
      <w:r>
        <w:rPr>
          <w:rFonts w:hint="eastAsia" w:ascii="仿宋_GB2312" w:hAnsi="Times New Roman" w:eastAsia="仿宋_GB2312" w:cs="Times New Roman"/>
          <w:color w:val="auto"/>
          <w:sz w:val="32"/>
          <w:szCs w:val="32"/>
          <w:highlight w:val="none"/>
          <w:lang w:eastAsia="zh-CN"/>
        </w:rPr>
        <w:t>、</w:t>
      </w:r>
      <w:r>
        <w:rPr>
          <w:rFonts w:ascii="仿宋_GB2312" w:hAnsi="Times New Roman" w:eastAsia="仿宋_GB2312" w:cs="Times New Roman"/>
          <w:color w:val="auto"/>
          <w:sz w:val="32"/>
          <w:szCs w:val="32"/>
          <w:highlight w:val="none"/>
        </w:rPr>
        <w:t>移动作业机器人</w:t>
      </w:r>
      <w:r>
        <w:rPr>
          <w:rFonts w:hint="eastAsia" w:ascii="仿宋_GB2312" w:hAnsi="Times New Roman" w:eastAsia="仿宋_GB2312" w:cs="Times New Roman"/>
          <w:color w:val="auto"/>
          <w:sz w:val="32"/>
          <w:szCs w:val="32"/>
          <w:highlight w:val="none"/>
        </w:rPr>
        <w:t>等已经进入成熟期、扩张期的赛道，中期</w:t>
      </w:r>
      <w:r>
        <w:rPr>
          <w:rFonts w:ascii="仿宋_GB2312" w:hAnsi="Times New Roman" w:eastAsia="仿宋_GB2312" w:cs="Times New Roman"/>
          <w:color w:val="auto"/>
          <w:sz w:val="32"/>
          <w:szCs w:val="32"/>
          <w:highlight w:val="none"/>
        </w:rPr>
        <w:t>集中优势资源</w:t>
      </w:r>
      <w:r>
        <w:rPr>
          <w:rFonts w:hint="eastAsia" w:ascii="仿宋_GB2312" w:hAnsi="Times New Roman" w:eastAsia="仿宋_GB2312" w:cs="Times New Roman"/>
          <w:color w:val="auto"/>
          <w:sz w:val="32"/>
          <w:szCs w:val="32"/>
          <w:highlight w:val="none"/>
        </w:rPr>
        <w:t>、聚力突破智能驾驶、低空</w:t>
      </w:r>
      <w:r>
        <w:rPr>
          <w:rFonts w:hint="eastAsia" w:ascii="仿宋_GB2312" w:hAnsi="Times New Roman" w:eastAsia="仿宋_GB2312" w:cs="Times New Roman"/>
          <w:color w:val="auto"/>
          <w:sz w:val="32"/>
          <w:szCs w:val="32"/>
          <w:highlight w:val="none"/>
          <w:lang w:val="en-US" w:eastAsia="zh-CN"/>
        </w:rPr>
        <w:t>智航</w:t>
      </w:r>
      <w:r>
        <w:rPr>
          <w:rFonts w:ascii="仿宋_GB2312" w:hAnsi="Times New Roman" w:eastAsia="仿宋_GB2312" w:cs="Times New Roman"/>
          <w:color w:val="auto"/>
          <w:sz w:val="32"/>
          <w:szCs w:val="32"/>
          <w:highlight w:val="none"/>
        </w:rPr>
        <w:t>等成长期赛道</w:t>
      </w:r>
      <w:r>
        <w:rPr>
          <w:rFonts w:hint="eastAsia" w:ascii="仿宋_GB2312" w:hAnsi="Times New Roman" w:eastAsia="仿宋_GB2312" w:cs="Times New Roman"/>
          <w:color w:val="auto"/>
          <w:sz w:val="32"/>
          <w:szCs w:val="32"/>
          <w:highlight w:val="none"/>
        </w:rPr>
        <w:t>，</w:t>
      </w:r>
      <w:r>
        <w:rPr>
          <w:rFonts w:ascii="仿宋_GB2312" w:hAnsi="Times New Roman" w:eastAsia="仿宋_GB2312" w:cs="Times New Roman"/>
          <w:color w:val="auto"/>
          <w:sz w:val="32"/>
          <w:szCs w:val="32"/>
          <w:highlight w:val="none"/>
        </w:rPr>
        <w:t>远期密切跟踪</w:t>
      </w:r>
      <w:r>
        <w:rPr>
          <w:rFonts w:hint="eastAsia" w:ascii="仿宋_GB2312" w:hAnsi="Times New Roman" w:eastAsia="仿宋_GB2312" w:cs="Times New Roman"/>
          <w:color w:val="auto"/>
          <w:sz w:val="32"/>
          <w:szCs w:val="32"/>
          <w:highlight w:val="none"/>
        </w:rPr>
        <w:t>、</w:t>
      </w:r>
      <w:r>
        <w:rPr>
          <w:rFonts w:ascii="仿宋_GB2312" w:hAnsi="Times New Roman" w:eastAsia="仿宋_GB2312" w:cs="Times New Roman"/>
          <w:color w:val="auto"/>
          <w:sz w:val="32"/>
          <w:szCs w:val="32"/>
          <w:highlight w:val="none"/>
        </w:rPr>
        <w:t>适度投入深海科技</w:t>
      </w:r>
      <w:r>
        <w:rPr>
          <w:rFonts w:hint="eastAsia" w:ascii="仿宋_GB2312" w:hAnsi="Times New Roman" w:eastAsia="仿宋_GB2312" w:cs="Times New Roman"/>
          <w:color w:val="auto"/>
          <w:sz w:val="32"/>
          <w:szCs w:val="32"/>
          <w:highlight w:val="none"/>
        </w:rPr>
        <w:t>潜力赛道，构建“源头创新—产品开发—场景应用—产品转化”的未来产业培育路径，支撑全市未来产业先导区建设。</w:t>
      </w:r>
    </w:p>
    <w:p w14:paraId="2EF6B347">
      <w:pPr>
        <w:spacing w:line="560" w:lineRule="exact"/>
        <w:ind w:firstLine="640" w:firstLineChars="200"/>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color w:val="auto"/>
          <w:sz w:val="32"/>
          <w:szCs w:val="22"/>
          <w:highlight w:val="none"/>
        </w:rPr>
        <w:t>做强未来健康赛道。</w:t>
      </w:r>
      <w:r>
        <w:rPr>
          <w:rFonts w:hint="eastAsia" w:ascii="仿宋_GB2312" w:hAnsi="Times New Roman" w:eastAsia="仿宋_GB2312" w:cs="Times New Roman"/>
          <w:color w:val="auto"/>
          <w:sz w:val="32"/>
          <w:szCs w:val="32"/>
          <w:highlight w:val="none"/>
        </w:rPr>
        <w:t>重点发展</w:t>
      </w:r>
      <w:bookmarkStart w:id="83" w:name="_Hlk219809230"/>
      <w:r>
        <w:rPr>
          <w:rFonts w:hint="eastAsia" w:ascii="仿宋_GB2312" w:hAnsi="Times New Roman" w:eastAsia="仿宋_GB2312" w:cs="Times New Roman"/>
          <w:color w:val="auto"/>
          <w:sz w:val="32"/>
          <w:szCs w:val="32"/>
          <w:highlight w:val="none"/>
        </w:rPr>
        <w:t>细胞治疗与再生医学</w:t>
      </w:r>
      <w:bookmarkEnd w:id="83"/>
      <w:r>
        <w:rPr>
          <w:rFonts w:hint="eastAsia" w:ascii="仿宋_GB2312" w:hAnsi="Times New Roman" w:eastAsia="仿宋_GB2312" w:cs="Times New Roman"/>
          <w:color w:val="auto"/>
          <w:sz w:val="32"/>
          <w:szCs w:val="32"/>
          <w:highlight w:val="none"/>
        </w:rPr>
        <w:t>、</w:t>
      </w:r>
      <w:r>
        <w:rPr>
          <w:rFonts w:hint="eastAsia" w:ascii="仿宋_GB2312" w:hAnsi="Times New Roman" w:eastAsia="仿宋_GB2312" w:cs="Times New Roman"/>
          <w:color w:val="auto"/>
          <w:sz w:val="32"/>
          <w:szCs w:val="32"/>
          <w:highlight w:val="none"/>
          <w:lang w:val="en-US" w:eastAsia="zh-CN"/>
        </w:rPr>
        <w:t>生物制造、</w:t>
      </w:r>
      <w:r>
        <w:rPr>
          <w:rFonts w:hint="eastAsia" w:ascii="仿宋_GB2312" w:hAnsi="仿宋_GB2312" w:eastAsia="仿宋_GB2312" w:cs="仿宋_GB2312"/>
          <w:color w:val="auto"/>
          <w:sz w:val="32"/>
          <w:szCs w:val="32"/>
          <w:highlight w:val="none"/>
        </w:rPr>
        <w:t>AI医疗</w:t>
      </w:r>
      <w:r>
        <w:rPr>
          <w:rFonts w:hint="eastAsia" w:ascii="仿宋_GB2312" w:hAnsi="Times New Roman" w:eastAsia="仿宋_GB2312" w:cs="Times New Roman"/>
          <w:color w:val="auto"/>
          <w:sz w:val="32"/>
          <w:szCs w:val="32"/>
          <w:highlight w:val="none"/>
        </w:rPr>
        <w:t>。</w:t>
      </w:r>
      <w:r>
        <w:rPr>
          <w:rFonts w:hint="eastAsia" w:ascii="仿宋_GB2312" w:hAnsi="仿宋_GB2312" w:eastAsia="仿宋_GB2312" w:cs="仿宋_GB2312"/>
          <w:b w:val="0"/>
          <w:bCs w:val="0"/>
          <w:color w:val="auto"/>
          <w:sz w:val="32"/>
          <w:szCs w:val="32"/>
          <w:highlight w:val="none"/>
        </w:rPr>
        <w:t>细胞治疗与再生医学。支持区内企业</w:t>
      </w:r>
      <w:r>
        <w:rPr>
          <w:rFonts w:hint="eastAsia" w:ascii="仿宋_GB2312" w:hAnsi="仿宋_GB2312" w:eastAsia="仿宋_GB2312" w:cs="仿宋_GB2312"/>
          <w:b w:val="0"/>
          <w:bCs w:val="0"/>
          <w:color w:val="auto"/>
          <w:sz w:val="32"/>
          <w:szCs w:val="22"/>
          <w:highlight w:val="none"/>
        </w:rPr>
        <w:t>重点开展针对肿瘤等重大疾病的细胞治疗产品临床研究，</w:t>
      </w:r>
      <w:r>
        <w:rPr>
          <w:rFonts w:hint="eastAsia" w:ascii="仿宋_GB2312" w:hAnsi="仿宋_GB2312" w:eastAsia="仿宋_GB2312" w:cs="仿宋_GB2312"/>
          <w:b w:val="0"/>
          <w:bCs w:val="0"/>
          <w:color w:val="auto"/>
          <w:sz w:val="32"/>
          <w:szCs w:val="32"/>
          <w:highlight w:val="none"/>
        </w:rPr>
        <w:t>攻关高通量靶点筛选、体外基因修饰系统、新型载体递送等关键技术。探索“细胞工厂”模式，运用合成生物技术，开发PDRN/PN、重</w:t>
      </w:r>
      <w:r>
        <w:rPr>
          <w:rFonts w:hint="eastAsia" w:ascii="Times New Roman" w:hAnsi="Times New Roman" w:eastAsia="仿宋_GB2312" w:cs="Times New Roman"/>
          <w:color w:val="auto"/>
          <w:sz w:val="32"/>
          <w:szCs w:val="32"/>
          <w:highlight w:val="none"/>
        </w:rPr>
        <w:t>组胶原蛋白及新型组织修复产品等新型生物材料。</w:t>
      </w:r>
      <w:r>
        <w:rPr>
          <w:rFonts w:hint="eastAsia" w:ascii="仿宋_GB2312" w:hAnsi="仿宋_GB2312" w:eastAsia="仿宋_GB2312" w:cs="仿宋_GB2312"/>
          <w:b w:val="0"/>
          <w:bCs w:val="0"/>
          <w:color w:val="auto"/>
          <w:sz w:val="32"/>
          <w:szCs w:val="32"/>
          <w:highlight w:val="none"/>
        </w:rPr>
        <w:t>生物制造。重点拓展生物制造在生物医药、食品、生物基材料、生物制造设备等领域的应用，抢占生物制造产业发展先机</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探索“细胞工厂”模式，运用合成生物技术，开发PDRN/PN、重组胶原蛋白及新型组织修复产品等新型生物材料。AI医疗。鼓励区内医疗机构积极开放智慧医疗应用场景，加速推进</w:t>
      </w:r>
      <w:r>
        <w:rPr>
          <w:rFonts w:hint="eastAsia" w:ascii="仿宋_GB2312" w:hAnsi="仿宋_GB2312" w:eastAsia="仿宋_GB2312" w:cs="仿宋_GB2312"/>
          <w:b w:val="0"/>
          <w:bCs w:val="0"/>
          <w:color w:val="auto"/>
          <w:sz w:val="32"/>
          <w:szCs w:val="22"/>
          <w:highlight w:val="none"/>
        </w:rPr>
        <w:t>生物医药</w:t>
      </w:r>
      <w:r>
        <w:rPr>
          <w:rFonts w:hint="eastAsia" w:ascii="仿宋_GB2312" w:hAnsi="仿宋_GB2312" w:eastAsia="仿宋_GB2312" w:cs="仿宋_GB2312"/>
          <w:b w:val="0"/>
          <w:bCs w:val="0"/>
          <w:color w:val="auto"/>
          <w:sz w:val="32"/>
          <w:szCs w:val="32"/>
          <w:highlight w:val="none"/>
        </w:rPr>
        <w:t>产业与数智产业融合发展，吸引人工智能辅助诊断、决策、诊疗服务、数字</w:t>
      </w:r>
      <w:r>
        <w:rPr>
          <w:rFonts w:hint="eastAsia" w:ascii="仿宋_GB2312" w:hAnsi="仿宋_GB2312" w:eastAsia="仿宋_GB2312" w:cs="仿宋_GB2312"/>
          <w:b w:val="0"/>
          <w:bCs w:val="0"/>
          <w:color w:val="auto"/>
          <w:sz w:val="32"/>
          <w:szCs w:val="32"/>
        </w:rPr>
        <w:t>医院解决方案、医疗机器人等企业集聚，</w:t>
      </w:r>
      <w:r>
        <w:rPr>
          <w:rFonts w:hint="eastAsia" w:ascii="仿宋_GB2312" w:hAnsi="仿宋_GB2312" w:eastAsia="仿宋_GB2312" w:cs="仿宋_GB2312"/>
          <w:b w:val="0"/>
          <w:bCs w:val="0"/>
          <w:color w:val="auto"/>
          <w:sz w:val="32"/>
          <w:szCs w:val="32"/>
          <w:lang w:val="en-US" w:eastAsia="zh-CN"/>
        </w:rPr>
        <w:t>拓展</w:t>
      </w:r>
      <w:r>
        <w:rPr>
          <w:rFonts w:hint="eastAsia" w:ascii="仿宋_GB2312" w:hAnsi="仿宋_GB2312" w:eastAsia="仿宋_GB2312" w:cs="仿宋_GB2312"/>
          <w:b w:val="0"/>
          <w:bCs w:val="0"/>
          <w:color w:val="auto"/>
          <w:sz w:val="32"/>
          <w:szCs w:val="32"/>
        </w:rPr>
        <w:t>智慧医疗新业态应用。</w:t>
      </w:r>
    </w:p>
    <w:p w14:paraId="4948790D">
      <w:pPr>
        <w:spacing w:line="560" w:lineRule="exact"/>
        <w:ind w:firstLine="640" w:firstLineChars="200"/>
        <w:rPr>
          <w:rFonts w:hint="eastAsia" w:ascii="仿宋_GB2312" w:hAnsi="仿宋_GB2312" w:eastAsia="仿宋_GB2312" w:cs="仿宋_GB2312"/>
          <w:b w:val="0"/>
          <w:bCs w:val="0"/>
          <w:color w:val="auto"/>
          <w:sz w:val="32"/>
          <w:szCs w:val="22"/>
        </w:rPr>
      </w:pPr>
      <w:r>
        <w:rPr>
          <w:rFonts w:hint="eastAsia" w:ascii="楷体_GB2312" w:hAnsi="Times New Roman" w:eastAsia="楷体_GB2312" w:cs="Times New Roman"/>
          <w:color w:val="auto"/>
          <w:sz w:val="32"/>
          <w:szCs w:val="22"/>
        </w:rPr>
        <w:t>做深未来数智赛道。</w:t>
      </w:r>
      <w:r>
        <w:rPr>
          <w:rFonts w:hint="eastAsia" w:ascii="仿宋_GB2312" w:hAnsi="仿宋_GB2312" w:eastAsia="仿宋_GB2312" w:cs="仿宋_GB2312"/>
          <w:b w:val="0"/>
          <w:bCs w:val="0"/>
          <w:color w:val="auto"/>
          <w:sz w:val="32"/>
          <w:szCs w:val="22"/>
        </w:rPr>
        <w:t>重点发展</w:t>
      </w:r>
      <w:r>
        <w:rPr>
          <w:rFonts w:hint="eastAsia" w:ascii="仿宋_GB2312" w:hAnsi="仿宋_GB2312" w:eastAsia="仿宋_GB2312" w:cs="仿宋_GB2312"/>
          <w:b w:val="0"/>
          <w:bCs w:val="0"/>
          <w:color w:val="auto"/>
          <w:sz w:val="32"/>
          <w:szCs w:val="32"/>
        </w:rPr>
        <w:t>移动作业机器人</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智能驾驶、</w:t>
      </w:r>
      <w:r>
        <w:rPr>
          <w:rFonts w:hint="eastAsia" w:ascii="仿宋_GB2312" w:hAnsi="仿宋_GB2312" w:eastAsia="仿宋_GB2312" w:cs="仿宋_GB2312"/>
          <w:b w:val="0"/>
          <w:bCs w:val="0"/>
          <w:color w:val="auto"/>
          <w:sz w:val="32"/>
          <w:szCs w:val="32"/>
          <w:lang w:val="en-US" w:eastAsia="zh-CN"/>
        </w:rPr>
        <w:t>低空智航</w:t>
      </w:r>
      <w:r>
        <w:rPr>
          <w:rFonts w:hint="eastAsia" w:ascii="仿宋_GB2312" w:hAnsi="仿宋_GB2312" w:eastAsia="仿宋_GB2312" w:cs="仿宋_GB2312"/>
          <w:b w:val="0"/>
          <w:bCs w:val="0"/>
          <w:color w:val="auto"/>
          <w:sz w:val="32"/>
          <w:szCs w:val="22"/>
        </w:rPr>
        <w:t>细分领域。</w:t>
      </w:r>
      <w:r>
        <w:rPr>
          <w:rFonts w:hint="eastAsia" w:ascii="仿宋_GB2312" w:hAnsi="仿宋_GB2312" w:eastAsia="仿宋_GB2312" w:cs="仿宋_GB2312"/>
          <w:b w:val="0"/>
          <w:bCs w:val="0"/>
          <w:snapToGrid w:val="0"/>
          <w:color w:val="auto"/>
          <w:spacing w:val="-2"/>
          <w:kern w:val="0"/>
          <w:sz w:val="32"/>
          <w:szCs w:val="32"/>
        </w:rPr>
        <w:t>移动作业机器人</w:t>
      </w:r>
      <w:r>
        <w:rPr>
          <w:rFonts w:hint="eastAsia" w:ascii="仿宋_GB2312" w:hAnsi="仿宋_GB2312" w:eastAsia="仿宋_GB2312" w:cs="仿宋_GB2312"/>
          <w:b w:val="0"/>
          <w:bCs w:val="0"/>
          <w:color w:val="auto"/>
          <w:sz w:val="32"/>
          <w:szCs w:val="22"/>
        </w:rPr>
        <w:t>。深耕工业生产、特种作业、城市管理、民生服务等多元应用场景，集中攻坚机器人关键核心技术，聚力集聚精密传感、智能控制、核心零部件等配套产业，积极开展产品示范应用与市场化推广，精准培育上下游优质市场主体，打造特色鲜明、优势凸显的移动作业机器人产业发展集聚区。智能驾驶。以烟台打造全省全场景智能驾驶试点及高新区打造全市首个全域开放智能驾驶示范区为契机，以智能网联汽车道路测试及示范应用为基础，加强云管端网统筹布局，带动智能网联通信系统、感知系统、决策系统、执行控制系统、智能座舱等关键部件集成及智能驾驶解决方案全链发展</w:t>
      </w:r>
      <w:r>
        <w:rPr>
          <w:rFonts w:hint="eastAsia" w:ascii="仿宋_GB2312" w:hAnsi="仿宋_GB2312" w:eastAsia="仿宋_GB2312" w:cs="仿宋_GB2312"/>
          <w:b w:val="0"/>
          <w:bCs w:val="0"/>
          <w:color w:val="auto"/>
          <w:sz w:val="32"/>
          <w:szCs w:val="22"/>
          <w:lang w:eastAsia="zh-CN"/>
        </w:rPr>
        <w:t>。</w:t>
      </w:r>
      <w:r>
        <w:rPr>
          <w:rFonts w:hint="eastAsia" w:ascii="仿宋_GB2312" w:hAnsi="仿宋_GB2312" w:eastAsia="仿宋_GB2312" w:cs="仿宋_GB2312"/>
          <w:b w:val="0"/>
          <w:bCs w:val="0"/>
          <w:color w:val="auto"/>
          <w:sz w:val="32"/>
          <w:szCs w:val="22"/>
        </w:rPr>
        <w:t>加快烟台汉鑫空地一体化AI城市管控体系示范项目建设，推动</w:t>
      </w:r>
      <w:r>
        <w:rPr>
          <w:rFonts w:hint="eastAsia" w:ascii="仿宋_GB2312" w:hAnsi="仿宋_GB2312" w:eastAsia="仿宋_GB2312" w:cs="仿宋_GB2312"/>
          <w:b w:val="0"/>
          <w:bCs w:val="0"/>
          <w:snapToGrid w:val="0"/>
          <w:color w:val="auto"/>
          <w:spacing w:val="-2"/>
          <w:kern w:val="0"/>
          <w:sz w:val="32"/>
          <w:szCs w:val="32"/>
        </w:rPr>
        <w:t>“空天地一体化”应用场景落地。</w:t>
      </w:r>
      <w:r>
        <w:rPr>
          <w:rFonts w:hint="eastAsia" w:ascii="仿宋_GB2312" w:hAnsi="仿宋_GB2312" w:eastAsia="仿宋_GB2312" w:cs="仿宋_GB2312"/>
          <w:b w:val="0"/>
          <w:bCs w:val="0"/>
          <w:color w:val="auto"/>
          <w:sz w:val="32"/>
          <w:szCs w:val="32"/>
        </w:rPr>
        <w:t>低空</w:t>
      </w:r>
      <w:r>
        <w:rPr>
          <w:rFonts w:hint="eastAsia" w:ascii="仿宋_GB2312" w:hAnsi="仿宋_GB2312" w:eastAsia="仿宋_GB2312" w:cs="仿宋_GB2312"/>
          <w:b w:val="0"/>
          <w:bCs w:val="0"/>
          <w:color w:val="auto"/>
          <w:sz w:val="32"/>
          <w:szCs w:val="32"/>
          <w:lang w:val="en-US" w:eastAsia="zh-CN"/>
        </w:rPr>
        <w:t>智航</w:t>
      </w:r>
      <w:r>
        <w:rPr>
          <w:rFonts w:hint="eastAsia" w:ascii="仿宋_GB2312" w:hAnsi="仿宋_GB2312" w:eastAsia="仿宋_GB2312" w:cs="仿宋_GB2312"/>
          <w:b w:val="0"/>
          <w:bCs w:val="0"/>
          <w:color w:val="auto"/>
          <w:sz w:val="32"/>
          <w:szCs w:val="32"/>
        </w:rPr>
        <w:t>。联动图蓝电子、三航雷达等企业</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提升</w:t>
      </w:r>
      <w:r>
        <w:rPr>
          <w:rFonts w:hint="eastAsia" w:ascii="仿宋_GB2312" w:hAnsi="仿宋_GB2312" w:eastAsia="仿宋_GB2312" w:cs="仿宋_GB2312"/>
          <w:b w:val="0"/>
          <w:bCs w:val="0"/>
          <w:color w:val="auto"/>
          <w:sz w:val="32"/>
          <w:szCs w:val="32"/>
        </w:rPr>
        <w:t>传感器、通信模块</w:t>
      </w:r>
      <w:r>
        <w:rPr>
          <w:rFonts w:hint="eastAsia" w:ascii="仿宋_GB2312" w:hAnsi="仿宋_GB2312" w:eastAsia="仿宋_GB2312" w:cs="仿宋_GB2312"/>
          <w:b w:val="0"/>
          <w:bCs w:val="0"/>
          <w:color w:val="auto"/>
          <w:sz w:val="32"/>
          <w:szCs w:val="32"/>
          <w:lang w:eastAsia="zh-CN"/>
        </w:rPr>
        <w:t>、红外探测组件、液压元件等关键部件配套能力，</w:t>
      </w:r>
      <w:r>
        <w:rPr>
          <w:rFonts w:hint="eastAsia" w:ascii="仿宋_GB2312" w:hAnsi="仿宋_GB2312" w:eastAsia="仿宋_GB2312" w:cs="仿宋_GB2312"/>
          <w:b w:val="0"/>
          <w:bCs w:val="0"/>
          <w:color w:val="auto"/>
          <w:sz w:val="32"/>
          <w:szCs w:val="32"/>
        </w:rPr>
        <w:t>延伸拓展飞行器整机集成产业赛道。支持</w:t>
      </w:r>
      <w:r>
        <w:rPr>
          <w:rFonts w:hint="eastAsia" w:ascii="仿宋_GB2312" w:hAnsi="仿宋_GB2312" w:eastAsia="仿宋_GB2312" w:cs="仿宋_GB2312"/>
          <w:b w:val="0"/>
          <w:bCs w:val="0"/>
          <w:color w:val="auto"/>
          <w:sz w:val="32"/>
          <w:szCs w:val="32"/>
          <w:highlight w:val="none"/>
          <w:u w:val="none"/>
          <w:lang w:val="en-US" w:eastAsia="zh-CN"/>
        </w:rPr>
        <w:t>宇航航空、创惠电子等</w:t>
      </w:r>
      <w:r>
        <w:rPr>
          <w:rFonts w:hint="eastAsia" w:ascii="仿宋_GB2312" w:hAnsi="仿宋_GB2312" w:eastAsia="仿宋_GB2312" w:cs="仿宋_GB2312"/>
          <w:b w:val="0"/>
          <w:bCs w:val="0"/>
          <w:color w:val="auto"/>
          <w:sz w:val="32"/>
          <w:szCs w:val="32"/>
        </w:rPr>
        <w:t>企业深耕</w:t>
      </w:r>
      <w:r>
        <w:rPr>
          <w:rFonts w:hint="eastAsia" w:ascii="仿宋_GB2312" w:hAnsi="仿宋_GB2312" w:eastAsia="仿宋_GB2312" w:cs="仿宋_GB2312"/>
          <w:b w:val="0"/>
          <w:bCs w:val="0"/>
          <w:color w:val="auto"/>
          <w:sz w:val="32"/>
          <w:szCs w:val="32"/>
          <w:lang w:val="en-US" w:eastAsia="zh-CN"/>
        </w:rPr>
        <w:t>无人机</w:t>
      </w:r>
      <w:r>
        <w:rPr>
          <w:rFonts w:hint="eastAsia" w:ascii="仿宋_GB2312" w:hAnsi="仿宋_GB2312" w:eastAsia="仿宋_GB2312" w:cs="仿宋_GB2312"/>
          <w:b w:val="0"/>
          <w:bCs w:val="0"/>
          <w:color w:val="auto"/>
          <w:sz w:val="32"/>
          <w:szCs w:val="32"/>
        </w:rPr>
        <w:t>技术研发、产品迭代、试飞测试、专业培训、运维保障、场景落地、市场拓展</w:t>
      </w:r>
      <w:r>
        <w:rPr>
          <w:rFonts w:hint="eastAsia" w:ascii="仿宋_GB2312" w:hAnsi="仿宋_GB2312" w:eastAsia="仿宋_GB2312" w:cs="仿宋_GB2312"/>
          <w:b w:val="0"/>
          <w:bCs w:val="0"/>
          <w:color w:val="auto"/>
          <w:sz w:val="32"/>
          <w:szCs w:val="32"/>
          <w:lang w:val="en-US" w:eastAsia="zh-CN"/>
        </w:rPr>
        <w:t>等实现</w:t>
      </w:r>
      <w:r>
        <w:rPr>
          <w:rFonts w:hint="eastAsia" w:ascii="仿宋_GB2312" w:hAnsi="仿宋_GB2312" w:eastAsia="仿宋_GB2312" w:cs="仿宋_GB2312"/>
          <w:b w:val="0"/>
          <w:bCs w:val="0"/>
          <w:color w:val="auto"/>
          <w:sz w:val="32"/>
          <w:szCs w:val="32"/>
        </w:rPr>
        <w:t>全链条</w:t>
      </w:r>
      <w:r>
        <w:rPr>
          <w:rFonts w:hint="eastAsia" w:ascii="仿宋_GB2312" w:hAnsi="仿宋_GB2312" w:eastAsia="仿宋_GB2312" w:cs="仿宋_GB2312"/>
          <w:b w:val="0"/>
          <w:bCs w:val="0"/>
          <w:color w:val="auto"/>
          <w:sz w:val="32"/>
          <w:szCs w:val="32"/>
          <w:lang w:val="en-US" w:eastAsia="zh-CN"/>
        </w:rPr>
        <w:t>布局</w:t>
      </w:r>
      <w:r>
        <w:rPr>
          <w:rFonts w:hint="eastAsia" w:ascii="仿宋_GB2312" w:hAnsi="仿宋_GB2312" w:eastAsia="仿宋_GB2312" w:cs="仿宋_GB2312"/>
          <w:b w:val="0"/>
          <w:bCs w:val="0"/>
          <w:color w:val="auto"/>
          <w:sz w:val="32"/>
          <w:szCs w:val="32"/>
        </w:rPr>
        <w:t>发展。依托空天信息产业基础，科学布局低空基础设施和配套设施，</w:t>
      </w:r>
      <w:r>
        <w:rPr>
          <w:rFonts w:hint="eastAsia" w:ascii="仿宋_GB2312" w:hAnsi="仿宋_GB2312" w:eastAsia="仿宋_GB2312" w:cs="仿宋_GB2312"/>
          <w:b w:val="0"/>
          <w:bCs w:val="0"/>
          <w:color w:val="auto"/>
          <w:sz w:val="32"/>
          <w:szCs w:val="32"/>
          <w:lang w:val="en-US" w:eastAsia="zh-CN"/>
        </w:rPr>
        <w:t>有序</w:t>
      </w:r>
      <w:r>
        <w:rPr>
          <w:rFonts w:hint="eastAsia" w:ascii="仿宋_GB2312" w:hAnsi="仿宋_GB2312" w:eastAsia="仿宋_GB2312" w:cs="仿宋_GB2312"/>
          <w:b w:val="0"/>
          <w:bCs w:val="0"/>
          <w:color w:val="auto"/>
          <w:sz w:val="32"/>
          <w:szCs w:val="32"/>
        </w:rPr>
        <w:t>发展低空物流配送、城市智慧巡检、应急抢险救援、低空文旅观光等特色应用场景。</w:t>
      </w:r>
    </w:p>
    <w:p w14:paraId="63182923">
      <w:pPr>
        <w:widowControl/>
        <w:spacing w:line="560" w:lineRule="exact"/>
        <w:ind w:firstLine="640" w:firstLineChars="200"/>
        <w:jc w:val="both"/>
        <w:rPr>
          <w:rFonts w:hint="eastAsia" w:ascii="仿宋_GB2312" w:hAnsi="Times New Roman" w:eastAsia="仿宋_GB2312" w:cs="Times New Roman"/>
          <w:color w:val="auto"/>
          <w:sz w:val="32"/>
          <w:szCs w:val="32"/>
        </w:rPr>
      </w:pPr>
      <w:r>
        <w:rPr>
          <w:rFonts w:hint="eastAsia" w:ascii="楷体_GB2312" w:hAnsi="Times New Roman" w:eastAsia="楷体_GB2312" w:cs="Times New Roman"/>
          <w:color w:val="auto"/>
          <w:sz w:val="32"/>
          <w:szCs w:val="22"/>
        </w:rPr>
        <w:t>探索深海科技赛道。</w:t>
      </w:r>
      <w:r>
        <w:rPr>
          <w:rFonts w:hint="eastAsia" w:ascii="仿宋_GB2312" w:hAnsi="Times New Roman" w:eastAsia="仿宋_GB2312" w:cs="Times New Roman"/>
          <w:color w:val="auto"/>
          <w:sz w:val="32"/>
          <w:szCs w:val="32"/>
        </w:rPr>
        <w:t>主动承接国家深海关键技术与装备等科技攻关项目，积极推动深海基地平台建设，努力增强深远海资源开发能力。依托山东省海洋工程装备及材料创新创业共同体、烟台市海洋工程产教融合共同体等创新平台，突破深海探测技术，</w:t>
      </w:r>
      <w:r>
        <w:rPr>
          <w:rFonts w:hint="eastAsia" w:ascii="仿宋_GB2312" w:hAnsi="Times New Roman" w:eastAsia="仿宋_GB2312" w:cs="Times New Roman"/>
          <w:color w:val="auto"/>
          <w:kern w:val="2"/>
          <w:sz w:val="32"/>
          <w:szCs w:val="32"/>
          <w:lang w:val="en-US" w:eastAsia="zh-CN" w:bidi="ar"/>
        </w:rPr>
        <w:t>前瞻布局海洋智能感知、观探测、自动钻探、水下机器人等</w:t>
      </w:r>
      <w:r>
        <w:rPr>
          <w:rFonts w:hint="eastAsia" w:ascii="仿宋_GB2312" w:hAnsi="Times New Roman" w:eastAsia="仿宋_GB2312" w:cs="Times New Roman"/>
          <w:color w:val="auto"/>
          <w:sz w:val="32"/>
          <w:szCs w:val="32"/>
        </w:rPr>
        <w:t>深海装备的研发设计、技术攻关和产业化。</w:t>
      </w:r>
    </w:p>
    <w:p w14:paraId="742A7154">
      <w:pPr>
        <w:keepNext w:val="0"/>
        <w:keepLines w:val="0"/>
        <w:pageBreakBefore w:val="0"/>
        <w:widowControl/>
        <w:kinsoku/>
        <w:wordWrap/>
        <w:overflowPunct/>
        <w:topLinePunct w:val="0"/>
        <w:autoSpaceDE/>
        <w:autoSpaceDN/>
        <w:bidi w:val="0"/>
        <w:adjustRightInd/>
        <w:snapToGrid/>
        <w:spacing w:after="219" w:afterLines="50"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同时，紧密跟踪世界科技前沿，把握未来产业变革趋势，加快培育发展具身智能、脑机接口、量子科技、碳捕集利用与封存（CCUS）等N个领域未来产业，多方向、多路径开展未来技术预研，探索产业化、规模化路径，积极应对人口老龄化、气候变化、能源危机等挑战，力争在关键细分领域换道抢滩，培育一批未来产业新增长点。</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53A5A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16E83914">
            <w:pPr>
              <w:keepNext w:val="0"/>
              <w:keepLines w:val="0"/>
              <w:suppressLineNumbers w:val="0"/>
              <w:spacing w:before="217" w:beforeLines="50" w:beforeAutospacing="0" w:after="217" w:afterLines="50" w:afterAutospacing="0" w:line="400" w:lineRule="exact"/>
              <w:ind w:left="0" w:right="0" w:firstLine="0" w:firstLineChars="0"/>
              <w:jc w:val="center"/>
              <w:rPr>
                <w:rFonts w:hint="eastAsia" w:ascii="黑体" w:hAnsi="黑体" w:eastAsia="黑体" w:cs="Times New Roman"/>
                <w:b w:val="0"/>
                <w:bCs w:val="0"/>
                <w:color w:val="auto"/>
                <w:sz w:val="28"/>
                <w:szCs w:val="28"/>
              </w:rPr>
            </w:pPr>
            <w:r>
              <w:rPr>
                <w:rFonts w:hint="eastAsia" w:ascii="黑体" w:hAnsi="黑体" w:eastAsia="黑体" w:cs="Times New Roman"/>
                <w:b w:val="0"/>
                <w:bCs w:val="0"/>
                <w:color w:val="auto"/>
                <w:sz w:val="28"/>
                <w:szCs w:val="28"/>
              </w:rPr>
              <w:t>专栏1：主导产业重点平台及项目</w:t>
            </w:r>
          </w:p>
          <w:p w14:paraId="6171A40A">
            <w:pPr>
              <w:keepNext w:val="0"/>
              <w:keepLines w:val="0"/>
              <w:suppressLineNumbers w:val="0"/>
              <w:spacing w:before="0" w:beforeAutospacing="0" w:after="0" w:afterAutospacing="0" w:line="400" w:lineRule="exact"/>
              <w:ind w:left="0" w:right="0" w:firstLine="560" w:firstLineChars="200"/>
              <w:rPr>
                <w:rFonts w:hint="eastAsia" w:ascii="仿宋_GB2312" w:hAnsi="宋体" w:eastAsia="仿宋_GB2312" w:cs="Times New Roman"/>
                <w:color w:val="auto"/>
                <w:sz w:val="28"/>
                <w:szCs w:val="28"/>
              </w:rPr>
            </w:pPr>
            <w:r>
              <w:rPr>
                <w:rFonts w:hint="eastAsia" w:ascii="楷体_GB2312" w:hAnsi="宋体" w:eastAsia="楷体_GB2312" w:cs="Times New Roman"/>
                <w:color w:val="auto"/>
                <w:sz w:val="28"/>
                <w:szCs w:val="28"/>
              </w:rPr>
              <w:t>生物医药：</w:t>
            </w:r>
            <w:r>
              <w:rPr>
                <w:rFonts w:hint="eastAsia" w:ascii="仿宋_GB2312" w:hAnsi="宋体" w:eastAsia="仿宋_GB2312" w:cs="Times New Roman"/>
                <w:color w:val="auto"/>
                <w:sz w:val="28"/>
                <w:szCs w:val="28"/>
              </w:rPr>
              <w:t>博安抗体偶联生物创新药产业化攻关项目、先进药物递释系统全国重点实验室、齐鲁医药科技产业园、</w:t>
            </w:r>
            <w:r>
              <w:rPr>
                <w:rFonts w:hint="eastAsia" w:ascii="仿宋_GB2312" w:hAnsi="仿宋_GB2312" w:eastAsia="仿宋_GB2312" w:cs="仿宋_GB2312"/>
                <w:color w:val="auto"/>
                <w:sz w:val="28"/>
                <w:szCs w:val="28"/>
              </w:rPr>
              <w:t>IVD</w:t>
            </w:r>
            <w:r>
              <w:rPr>
                <w:rFonts w:hint="eastAsia" w:ascii="仿宋_GB2312" w:hAnsi="宋体" w:eastAsia="仿宋_GB2312" w:cs="Times New Roman"/>
                <w:color w:val="auto"/>
                <w:sz w:val="28"/>
                <w:szCs w:val="28"/>
              </w:rPr>
              <w:t>医疗器械产业园、山东国际生物科技园、生物合成中试基地、国药清控生命科学产业基地、酯化硒多糖健康产业基地、肝素钠制剂产业化基地等。</w:t>
            </w:r>
          </w:p>
          <w:p w14:paraId="3D8129DB">
            <w:pPr>
              <w:keepNext w:val="0"/>
              <w:keepLines w:val="0"/>
              <w:suppressLineNumbers w:val="0"/>
              <w:spacing w:before="0" w:beforeAutospacing="0" w:after="0" w:afterAutospacing="0" w:line="400" w:lineRule="exact"/>
              <w:ind w:left="0" w:right="0" w:firstLine="560" w:firstLineChars="200"/>
              <w:rPr>
                <w:rFonts w:hint="eastAsia" w:ascii="仿宋_GB2312" w:hAnsi="宋体" w:eastAsia="仿宋_GB2312" w:cs="Times New Roman"/>
                <w:color w:val="auto"/>
                <w:sz w:val="28"/>
                <w:szCs w:val="28"/>
              </w:rPr>
            </w:pPr>
            <w:r>
              <w:rPr>
                <w:rFonts w:hint="eastAsia" w:ascii="楷体_GB2312" w:hAnsi="宋体" w:eastAsia="楷体_GB2312" w:cs="Times New Roman"/>
                <w:color w:val="auto"/>
                <w:sz w:val="28"/>
                <w:szCs w:val="28"/>
              </w:rPr>
              <w:t>航空航天：</w:t>
            </w:r>
            <w:r>
              <w:rPr>
                <w:rFonts w:hint="eastAsia" w:ascii="仿宋_GB2312" w:hAnsi="宋体" w:eastAsia="仿宋_GB2312" w:cs="Times New Roman"/>
                <w:color w:val="auto"/>
                <w:sz w:val="28"/>
                <w:szCs w:val="28"/>
              </w:rPr>
              <w:t>卫星互联网产业园项目、</w:t>
            </w:r>
            <w:r>
              <w:rPr>
                <w:rFonts w:hint="eastAsia" w:ascii="仿宋_GB2312" w:hAnsi="仿宋_GB2312" w:eastAsia="仿宋_GB2312" w:cs="仿宋_GB2312"/>
                <w:color w:val="auto"/>
                <w:sz w:val="28"/>
                <w:szCs w:val="28"/>
              </w:rPr>
              <w:t>商业航天试验检测公共技术服务平台、一体化高通量通信卫星项目、商用飞机关键零部件研发生产车间建设项目、</w:t>
            </w:r>
            <w:r>
              <w:rPr>
                <w:rFonts w:hint="eastAsia" w:ascii="仿宋_GB2312" w:hAnsi="宋体" w:eastAsia="仿宋_GB2312" w:cs="Times New Roman"/>
                <w:color w:val="auto"/>
                <w:sz w:val="28"/>
                <w:szCs w:val="28"/>
              </w:rPr>
              <w:t>航空航天领域钛合金及高温合金紧固件精密成型技术应用及产线建设项目、</w:t>
            </w:r>
            <w:r>
              <w:rPr>
                <w:rFonts w:hint="default" w:ascii="仿宋_GB2312" w:hAnsi="宋体" w:eastAsia="仿宋_GB2312" w:cs="Times New Roman"/>
                <w:color w:val="auto"/>
                <w:sz w:val="28"/>
                <w:szCs w:val="28"/>
              </w:rPr>
              <w:t>国家轻量化材料成形技术及装备创新中心汽车轻量化中心、东方蓝天钛金科技有限公司国家企业技术中心</w:t>
            </w:r>
            <w:r>
              <w:rPr>
                <w:rFonts w:hint="eastAsia" w:ascii="仿宋_GB2312" w:hAnsi="宋体" w:eastAsia="仿宋_GB2312" w:cs="Times New Roman"/>
                <w:color w:val="auto"/>
                <w:sz w:val="28"/>
                <w:szCs w:val="28"/>
              </w:rPr>
              <w:t>、</w:t>
            </w:r>
            <w:r>
              <w:rPr>
                <w:rFonts w:hint="default" w:ascii="仿宋_GB2312" w:hAnsi="宋体" w:eastAsia="仿宋_GB2312" w:cs="Times New Roman"/>
                <w:color w:val="auto"/>
                <w:sz w:val="28"/>
                <w:szCs w:val="21"/>
              </w:rPr>
              <w:t>钛金科技综合检测平台</w:t>
            </w:r>
            <w:r>
              <w:rPr>
                <w:rFonts w:hint="eastAsia" w:ascii="仿宋_GB2312" w:hAnsi="宋体" w:eastAsia="仿宋_GB2312" w:cs="Times New Roman"/>
                <w:color w:val="auto"/>
                <w:sz w:val="28"/>
                <w:szCs w:val="21"/>
              </w:rPr>
              <w:t>、</w:t>
            </w:r>
            <w:r>
              <w:rPr>
                <w:rFonts w:hint="default" w:ascii="仿宋_GB2312" w:hAnsi="宋体" w:eastAsia="仿宋_GB2312" w:cs="Times New Roman"/>
                <w:color w:val="auto"/>
                <w:sz w:val="28"/>
                <w:szCs w:val="21"/>
              </w:rPr>
              <w:t>航天可靠性环境试验检测中心</w:t>
            </w:r>
            <w:r>
              <w:rPr>
                <w:rFonts w:hint="eastAsia" w:ascii="仿宋_GB2312" w:hAnsi="宋体" w:eastAsia="仿宋_GB2312" w:cs="Times New Roman"/>
                <w:color w:val="auto"/>
                <w:sz w:val="28"/>
                <w:szCs w:val="28"/>
              </w:rPr>
              <w:t>等。</w:t>
            </w:r>
          </w:p>
          <w:p w14:paraId="1F2F7FFE">
            <w:pPr>
              <w:keepNext w:val="0"/>
              <w:keepLines w:val="0"/>
              <w:suppressLineNumbers w:val="0"/>
              <w:spacing w:before="0" w:beforeAutospacing="0" w:after="0" w:afterAutospacing="0" w:line="400" w:lineRule="exact"/>
              <w:ind w:left="0" w:right="0" w:firstLine="560" w:firstLineChars="200"/>
              <w:rPr>
                <w:rFonts w:hint="eastAsia" w:ascii="仿宋_GB2312" w:hAnsi="宋体" w:eastAsia="仿宋_GB2312" w:cs="Times New Roman"/>
                <w:color w:val="auto"/>
                <w:sz w:val="28"/>
                <w:szCs w:val="28"/>
                <w:highlight w:val="none"/>
              </w:rPr>
            </w:pPr>
            <w:r>
              <w:rPr>
                <w:rFonts w:hint="eastAsia" w:ascii="楷体_GB2312" w:hAnsi="宋体" w:eastAsia="楷体_GB2312" w:cs="Times New Roman"/>
                <w:color w:val="auto"/>
                <w:sz w:val="28"/>
                <w:szCs w:val="28"/>
              </w:rPr>
              <w:t>海洋工程：</w:t>
            </w:r>
            <w:r>
              <w:rPr>
                <w:rFonts w:hint="default" w:ascii="仿宋_GB2312" w:hAnsi="宋体" w:eastAsia="仿宋_GB2312" w:cs="Times New Roman"/>
                <w:color w:val="auto"/>
                <w:sz w:val="28"/>
                <w:szCs w:val="21"/>
              </w:rPr>
              <w:t>海上光伏实验室、新材料渔光互补实验平台、新型系泊材料和技术测试平台、</w:t>
            </w:r>
            <w:r>
              <w:rPr>
                <w:rFonts w:hint="eastAsia" w:ascii="仿宋_GB2312" w:hAnsi="宋体" w:eastAsia="仿宋_GB2312" w:cs="Times New Roman"/>
                <w:color w:val="auto"/>
                <w:sz w:val="28"/>
                <w:szCs w:val="28"/>
              </w:rPr>
              <w:t>海工创新产业园项目、海洋新能源综合利用研究示范项目、“海上能源岛”示范项目、</w:t>
            </w:r>
            <w:r>
              <w:rPr>
                <w:rFonts w:hint="eastAsia" w:ascii="仿宋_GB2312" w:hAnsi="宋体" w:eastAsia="仿宋_GB2312" w:cs="Times New Roman"/>
                <w:color w:val="auto"/>
                <w:sz w:val="28"/>
                <w:szCs w:val="21"/>
              </w:rPr>
              <w:t>海工</w:t>
            </w:r>
            <w:r>
              <w:rPr>
                <w:rFonts w:hint="eastAsia" w:ascii="仿宋_GB2312" w:hAnsi="宋体" w:eastAsia="仿宋_GB2312" w:cs="Times New Roman"/>
                <w:color w:val="auto"/>
                <w:sz w:val="28"/>
                <w:szCs w:val="21"/>
                <w:highlight w:val="none"/>
              </w:rPr>
              <w:t>装备实训基地项目等。</w:t>
            </w:r>
          </w:p>
          <w:p w14:paraId="7C4DE70C">
            <w:pPr>
              <w:keepNext w:val="0"/>
              <w:keepLines w:val="0"/>
              <w:suppressLineNumbers w:val="0"/>
              <w:spacing w:before="0" w:beforeAutospacing="0" w:after="0" w:afterAutospacing="0" w:line="400" w:lineRule="exact"/>
              <w:ind w:left="0" w:right="0" w:firstLine="560" w:firstLineChars="200"/>
              <w:rPr>
                <w:rFonts w:hint="default" w:ascii="宋体" w:hAnsi="宋体" w:eastAsia="宋体" w:cs="Times New Roman"/>
                <w:color w:val="auto"/>
                <w:sz w:val="21"/>
                <w:szCs w:val="21"/>
                <w:lang w:val="en-US"/>
              </w:rPr>
            </w:pPr>
            <w:r>
              <w:rPr>
                <w:rFonts w:hint="eastAsia" w:ascii="楷体_GB2312" w:hAnsi="宋体" w:eastAsia="楷体_GB2312" w:cs="Times New Roman"/>
                <w:color w:val="auto"/>
                <w:sz w:val="28"/>
                <w:szCs w:val="28"/>
                <w:highlight w:val="none"/>
              </w:rPr>
              <w:t>未来产业：</w:t>
            </w:r>
            <w:r>
              <w:rPr>
                <w:rFonts w:hint="eastAsia" w:ascii="仿宋_GB2312" w:hAnsi="宋体" w:eastAsia="仿宋_GB2312" w:cs="仿宋_GB2312"/>
                <w:color w:val="auto"/>
                <w:kern w:val="0"/>
                <w:sz w:val="28"/>
                <w:szCs w:val="28"/>
                <w:highlight w:val="none"/>
                <w:lang w:bidi="ar"/>
              </w:rPr>
              <w:t>智慧交通车路协同工程研究中心、烟台汉鑫空地一体化AI城市管控体系示范项目</w:t>
            </w:r>
            <w:r>
              <w:rPr>
                <w:rFonts w:hint="eastAsia" w:ascii="仿宋_GB2312" w:hAnsi="宋体" w:eastAsia="仿宋_GB2312" w:cs="Times New Roman"/>
                <w:color w:val="auto"/>
                <w:sz w:val="28"/>
                <w:szCs w:val="28"/>
              </w:rPr>
              <w:t>、经世智能移动作业机器人项目、</w:t>
            </w:r>
            <w:r>
              <w:rPr>
                <w:rFonts w:hint="eastAsia" w:ascii="仿宋_GB2312" w:hAnsi="宋体" w:eastAsia="仿宋_GB2312" w:cs="Times New Roman"/>
                <w:color w:val="auto"/>
                <w:sz w:val="28"/>
                <w:szCs w:val="21"/>
              </w:rPr>
              <w:t>职业教育智能仿真实训基地项目</w:t>
            </w:r>
            <w:r>
              <w:rPr>
                <w:rFonts w:hint="eastAsia" w:ascii="仿宋_GB2312" w:hAnsi="宋体" w:eastAsia="仿宋_GB2312" w:cs="Times New Roman"/>
                <w:color w:val="auto"/>
                <w:sz w:val="28"/>
                <w:szCs w:val="28"/>
              </w:rPr>
              <w:t>等。</w:t>
            </w:r>
          </w:p>
        </w:tc>
      </w:tr>
      <w:bookmarkEnd w:id="82"/>
    </w:tbl>
    <w:p w14:paraId="14B42157">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84" w:name="_Toc5083"/>
      <w:bookmarkStart w:id="85" w:name="_Toc25189"/>
      <w:bookmarkStart w:id="86" w:name="_Toc10818"/>
      <w:bookmarkStart w:id="87" w:name="_Toc32515"/>
      <w:bookmarkStart w:id="88" w:name="_Toc230591541"/>
      <w:bookmarkStart w:id="89" w:name="_Toc230188703"/>
      <w:r>
        <w:rPr>
          <w:rFonts w:hint="eastAsia" w:ascii="黑体" w:hAnsi="黑体" w:eastAsia="黑体" w:cs="Times New Roman"/>
          <w:b w:val="0"/>
          <w:bCs w:val="0"/>
          <w:color w:val="auto"/>
          <w:kern w:val="2"/>
          <w:sz w:val="32"/>
          <w:szCs w:val="32"/>
          <w:lang w:val="en-US" w:eastAsia="zh-CN" w:bidi="ar-SA"/>
        </w:rPr>
        <w:t>第六节  提升产业链供应链现代化水平</w:t>
      </w:r>
      <w:bookmarkEnd w:id="84"/>
      <w:bookmarkEnd w:id="85"/>
      <w:bookmarkEnd w:id="86"/>
      <w:bookmarkEnd w:id="87"/>
      <w:bookmarkEnd w:id="88"/>
      <w:bookmarkEnd w:id="89"/>
    </w:p>
    <w:bookmarkEnd w:id="78"/>
    <w:p w14:paraId="22D522B5">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推进产业智能化、绿色化、融合化发展。</w:t>
      </w:r>
      <w:r>
        <w:rPr>
          <w:rFonts w:hint="eastAsia" w:ascii="Times New Roman" w:hAnsi="Times New Roman" w:eastAsia="仿宋_GB2312" w:cs="Times New Roman"/>
          <w:color w:val="auto"/>
          <w:sz w:val="32"/>
          <w:szCs w:val="22"/>
        </w:rPr>
        <w:t>实施产业基础再造和重大技术装备攻关，加速制造业新产品布局和创新裂变，鼓励优势制造业企业布局研发中心，研发生产一批具有核心自主知识产权的“拳头”产品，推动传统制造业向价值链高端迈进。鼓励企业进行智能改造升级，拓展工业互联网应用场景，实施装备换芯、机器换人、产链上云，创建智能工厂、数字化车间，加快培育一批数字化应用标杆项目、工业互联网平台项目、智能工厂等，推动成熟产业数字化转型升级。深化实体经济与数字经济融合发展，持续推进“人工智能+”行动，鼓励医疗、机械制造、设备生产等企业智能化发展，支持科技企业突破传统研发的效率边界。</w:t>
      </w:r>
    </w:p>
    <w:p w14:paraId="65A140C9">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强化产业链群培育与集约发展。</w:t>
      </w:r>
      <w:r>
        <w:rPr>
          <w:rFonts w:hint="eastAsia" w:ascii="Times New Roman" w:hAnsi="Times New Roman" w:eastAsia="仿宋_GB2312" w:cs="Times New Roman"/>
          <w:color w:val="auto"/>
          <w:sz w:val="32"/>
          <w:szCs w:val="22"/>
        </w:rPr>
        <w:t>提升</w:t>
      </w:r>
      <w:r>
        <w:rPr>
          <w:rFonts w:ascii="Times New Roman" w:hAnsi="Times New Roman" w:eastAsia="仿宋_GB2312" w:cs="Times New Roman"/>
          <w:color w:val="auto"/>
          <w:sz w:val="32"/>
          <w:szCs w:val="22"/>
        </w:rPr>
        <w:t>空天高性能特种装备产业集群</w:t>
      </w:r>
      <w:r>
        <w:rPr>
          <w:rFonts w:hint="eastAsia" w:ascii="Times New Roman" w:hAnsi="Times New Roman" w:eastAsia="仿宋_GB2312" w:cs="Times New Roman"/>
          <w:color w:val="auto"/>
          <w:sz w:val="32"/>
          <w:szCs w:val="22"/>
        </w:rPr>
        <w:t>发展能级，聚焦生物医药、海洋工程等产业领域，推动新兴产业集群式发展。聚焦未来产业新赛道，壮大中小企业特色产业集群，激活实体经济发展新动能。深化制造业与服务业融合发展，推动产业业态创新、价值链条延伸。</w:t>
      </w:r>
      <w:r>
        <w:rPr>
          <w:rFonts w:ascii="仿宋_GB2312" w:hAnsi="Times New Roman" w:eastAsia="仿宋_GB2312" w:cs="Times New Roman"/>
          <w:bCs/>
          <w:color w:val="auto"/>
          <w:sz w:val="32"/>
          <w:szCs w:val="22"/>
        </w:rPr>
        <w:t>探索实施空间重构，</w:t>
      </w:r>
      <w:r>
        <w:rPr>
          <w:rFonts w:hint="eastAsia" w:ascii="仿宋_GB2312" w:hAnsi="Times New Roman" w:eastAsia="仿宋_GB2312" w:cs="Times New Roman"/>
          <w:bCs/>
          <w:color w:val="auto"/>
          <w:sz w:val="32"/>
          <w:szCs w:val="22"/>
        </w:rPr>
        <w:t>着力打造集研发设计、中试转化、“微智造”等多功能于一体的都市工业楼宇，引导存量企业将科研、小规模生产等环节“上楼”，推动优质招商资源向工业楼宇项目倾斜，加快形成一批亿元楼宇。</w:t>
      </w:r>
    </w:p>
    <w:p w14:paraId="763F4059">
      <w:pPr>
        <w:keepNext/>
        <w:keepLines/>
        <w:widowControl w:val="0"/>
        <w:spacing w:before="217" w:beforeLines="50" w:after="217" w:afterLines="50" w:line="560" w:lineRule="exact"/>
        <w:ind w:firstLine="0" w:firstLineChars="0"/>
        <w:jc w:val="center"/>
        <w:outlineLvl w:val="0"/>
        <w:rPr>
          <w:rFonts w:hint="eastAsia" w:ascii="方正小标宋简体" w:hAnsi="方正小标宋简体" w:eastAsia="方正小标宋简体" w:cs="方正小标宋简体"/>
          <w:bCs/>
          <w:color w:val="auto"/>
          <w:kern w:val="44"/>
          <w:sz w:val="36"/>
          <w:szCs w:val="48"/>
          <w:lang w:val="en-US" w:eastAsia="zh-CN" w:bidi="ar-SA"/>
        </w:rPr>
      </w:pPr>
      <w:bookmarkStart w:id="90" w:name="_Toc230188704"/>
      <w:bookmarkStart w:id="91" w:name="_Toc9102"/>
      <w:bookmarkStart w:id="92" w:name="_Toc21380"/>
      <w:bookmarkStart w:id="93" w:name="_Toc17695"/>
      <w:bookmarkStart w:id="94" w:name="_Toc8188"/>
      <w:bookmarkStart w:id="95" w:name="_Toc230591542"/>
      <w:r>
        <w:rPr>
          <w:rFonts w:hint="eastAsia" w:ascii="方正小标宋简体" w:hAnsi="方正小标宋简体" w:eastAsia="方正小标宋简体" w:cs="方正小标宋简体"/>
          <w:bCs/>
          <w:color w:val="auto"/>
          <w:kern w:val="44"/>
          <w:sz w:val="36"/>
          <w:szCs w:val="48"/>
          <w:lang w:val="en-US" w:eastAsia="zh-CN" w:bidi="ar-SA"/>
        </w:rPr>
        <w:t>第三章 优化创新创业生态，建设</w:t>
      </w:r>
      <w:bookmarkEnd w:id="79"/>
      <w:bookmarkEnd w:id="90"/>
      <w:r>
        <w:rPr>
          <w:rFonts w:hint="eastAsia" w:ascii="方正小标宋简体" w:hAnsi="方正小标宋简体" w:eastAsia="方正小标宋简体" w:cs="方正小标宋简体"/>
          <w:bCs/>
          <w:color w:val="auto"/>
          <w:kern w:val="44"/>
          <w:sz w:val="36"/>
          <w:szCs w:val="48"/>
          <w:lang w:val="en-US" w:eastAsia="zh-CN" w:bidi="ar-SA"/>
        </w:rPr>
        <w:t>创新发展示范区</w:t>
      </w:r>
      <w:bookmarkEnd w:id="91"/>
      <w:bookmarkEnd w:id="92"/>
      <w:bookmarkEnd w:id="93"/>
      <w:bookmarkEnd w:id="94"/>
      <w:bookmarkEnd w:id="95"/>
    </w:p>
    <w:p w14:paraId="739494A9">
      <w:pPr>
        <w:spacing w:line="560" w:lineRule="exact"/>
        <w:ind w:firstLine="640" w:firstLineChars="200"/>
        <w:rPr>
          <w:rFonts w:hint="eastAsia" w:ascii="方正小标宋简体" w:hAnsi="方正小标宋简体" w:eastAsia="方正小标宋简体" w:cs="方正小标宋简体"/>
          <w:color w:val="auto"/>
          <w:sz w:val="36"/>
          <w:szCs w:val="48"/>
        </w:rPr>
      </w:pPr>
      <w:r>
        <w:rPr>
          <w:rFonts w:hint="eastAsia" w:ascii="Times New Roman" w:hAnsi="Times New Roman" w:eastAsia="仿宋_GB2312" w:cs="Times New Roman"/>
          <w:color w:val="auto"/>
          <w:sz w:val="32"/>
          <w:szCs w:val="22"/>
        </w:rPr>
        <w:t>坚持创新驱动发展，以产学研深度融合为引领，优化高精尖创新要素配置，增强高质量科技供给，畅通科技成果转化机制，育强科技企业梯队，培优创新创造创业生态，构筑高水平创新高地。</w:t>
      </w:r>
    </w:p>
    <w:p w14:paraId="2617FAD4">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highlight w:val="yellow"/>
          <w:lang w:val="en-US" w:eastAsia="zh-CN" w:bidi="ar-SA"/>
        </w:rPr>
      </w:pPr>
      <w:bookmarkStart w:id="96" w:name="_Toc14488"/>
      <w:bookmarkStart w:id="97" w:name="_Toc23582"/>
      <w:bookmarkStart w:id="98" w:name="_Toc230188705"/>
      <w:bookmarkStart w:id="99" w:name="_Toc2406"/>
      <w:bookmarkStart w:id="100" w:name="_Toc230591543"/>
      <w:bookmarkStart w:id="101" w:name="_Toc2648"/>
      <w:bookmarkStart w:id="102" w:name="_Toc213251267"/>
      <w:r>
        <w:rPr>
          <w:rFonts w:hint="eastAsia" w:ascii="黑体" w:hAnsi="黑体" w:eastAsia="黑体" w:cs="Times New Roman"/>
          <w:b w:val="0"/>
          <w:bCs w:val="0"/>
          <w:color w:val="auto"/>
          <w:kern w:val="2"/>
          <w:sz w:val="32"/>
          <w:szCs w:val="32"/>
          <w:highlight w:val="none"/>
          <w:lang w:val="en-US" w:eastAsia="zh-CN" w:bidi="ar-SA"/>
        </w:rPr>
        <w:t>第一节  增强高质量原创性成果供给</w:t>
      </w:r>
      <w:bookmarkEnd w:id="96"/>
      <w:bookmarkEnd w:id="97"/>
      <w:bookmarkEnd w:id="98"/>
      <w:bookmarkEnd w:id="99"/>
      <w:bookmarkEnd w:id="100"/>
      <w:bookmarkEnd w:id="101"/>
      <w:bookmarkEnd w:id="102"/>
    </w:p>
    <w:p w14:paraId="00FE4BFE">
      <w:pPr>
        <w:spacing w:line="560" w:lineRule="exact"/>
        <w:ind w:firstLine="640" w:firstLineChars="200"/>
        <w:rPr>
          <w:rFonts w:ascii="Times New Roman" w:hAnsi="Times New Roman" w:eastAsia="仿宋_GB2312" w:cs="Times New Roman"/>
          <w:color w:val="auto"/>
          <w:sz w:val="32"/>
          <w:szCs w:val="22"/>
          <w:highlight w:val="none"/>
        </w:rPr>
      </w:pPr>
      <w:r>
        <w:rPr>
          <w:rFonts w:hint="eastAsia" w:ascii="Times New Roman" w:hAnsi="Times New Roman" w:eastAsia="仿宋_GB2312" w:cs="Times New Roman"/>
          <w:color w:val="auto"/>
          <w:sz w:val="32"/>
          <w:szCs w:val="22"/>
        </w:rPr>
        <w:t>充分释放创新资源优势，构建高能级创新平台体系，强化企业创新主体地位，提升科技成果转化效能，深化高新区与</w:t>
      </w:r>
      <w:r>
        <w:rPr>
          <w:rFonts w:hint="eastAsia" w:ascii="Times New Roman" w:hAnsi="Times New Roman" w:eastAsia="仿宋_GB2312" w:cs="Times New Roman"/>
          <w:color w:val="auto"/>
          <w:sz w:val="32"/>
          <w:szCs w:val="22"/>
          <w:lang w:val="en-US" w:eastAsia="zh-CN"/>
        </w:rPr>
        <w:t>高等</w:t>
      </w:r>
      <w:r>
        <w:rPr>
          <w:rFonts w:hint="eastAsia" w:ascii="Times New Roman" w:hAnsi="Times New Roman" w:eastAsia="仿宋_GB2312" w:cs="Times New Roman"/>
          <w:color w:val="auto"/>
          <w:sz w:val="32"/>
          <w:szCs w:val="22"/>
        </w:rPr>
        <w:t>院校协同，构筑高水</w:t>
      </w:r>
      <w:r>
        <w:rPr>
          <w:rFonts w:hint="eastAsia" w:ascii="Times New Roman" w:hAnsi="Times New Roman" w:eastAsia="仿宋_GB2312" w:cs="Times New Roman"/>
          <w:color w:val="auto"/>
          <w:sz w:val="32"/>
          <w:szCs w:val="22"/>
          <w:highlight w:val="none"/>
        </w:rPr>
        <w:t>平科创引擎与创新高地。</w:t>
      </w:r>
    </w:p>
    <w:p w14:paraId="36B612DC">
      <w:pPr>
        <w:spacing w:line="560" w:lineRule="exact"/>
        <w:ind w:firstLine="640" w:firstLineChars="200"/>
        <w:rPr>
          <w:rFonts w:hint="eastAsia" w:ascii="仿宋_GB2312" w:hAnsi="仿宋_GB2312" w:eastAsia="仿宋_GB2312" w:cs="宋体"/>
          <w:color w:val="auto"/>
          <w:kern w:val="0"/>
          <w:sz w:val="32"/>
          <w:szCs w:val="22"/>
          <w:highlight w:val="none"/>
        </w:rPr>
      </w:pPr>
      <w:r>
        <w:rPr>
          <w:rFonts w:hint="eastAsia" w:ascii="楷体_GB2312" w:hAnsi="Times New Roman" w:eastAsia="楷体_GB2312" w:cs="Times New Roman"/>
          <w:color w:val="auto"/>
          <w:sz w:val="32"/>
          <w:szCs w:val="22"/>
          <w:highlight w:val="none"/>
        </w:rPr>
        <w:t>构建高能级创新平台体系。</w:t>
      </w:r>
      <w:r>
        <w:rPr>
          <w:rFonts w:hint="eastAsia" w:ascii="Times New Roman" w:hAnsi="Times New Roman" w:eastAsia="仿宋_GB2312" w:cs="Times New Roman"/>
          <w:color w:val="auto"/>
          <w:sz w:val="32"/>
          <w:szCs w:val="22"/>
          <w:highlight w:val="none"/>
        </w:rPr>
        <w:t>做优先进药物递释系统全国重点实验室，</w:t>
      </w:r>
      <w:r>
        <w:rPr>
          <w:rFonts w:hint="eastAsia" w:ascii="仿宋_GB2312" w:hAnsi="仿宋_GB2312" w:eastAsia="仿宋_GB2312" w:cs="仿宋_GB2312"/>
          <w:color w:val="auto"/>
          <w:sz w:val="32"/>
          <w:szCs w:val="40"/>
          <w:highlight w:val="none"/>
        </w:rPr>
        <w:t>在精准递送、智能控释、细胞递药等领域形成一批标志性创新产品。</w:t>
      </w:r>
      <w:r>
        <w:rPr>
          <w:rFonts w:hint="eastAsia" w:ascii="Times New Roman" w:hAnsi="Times New Roman" w:eastAsia="仿宋_GB2312" w:cs="Times New Roman"/>
          <w:color w:val="auto"/>
          <w:sz w:val="32"/>
          <w:szCs w:val="22"/>
          <w:highlight w:val="none"/>
        </w:rPr>
        <w:t>支持高校院所、科技型企业等创新主体争创省级重点实验室。</w:t>
      </w:r>
      <w:r>
        <w:rPr>
          <w:rFonts w:hint="eastAsia" w:ascii="仿宋_GB2312" w:hAnsi="仿宋_GB2312" w:eastAsia="仿宋_GB2312" w:cs="宋体"/>
          <w:color w:val="auto"/>
          <w:kern w:val="0"/>
          <w:sz w:val="32"/>
          <w:szCs w:val="22"/>
          <w:highlight w:val="none"/>
        </w:rPr>
        <w:t>引导山东航天电子技术研究所</w:t>
      </w:r>
      <w:r>
        <w:rPr>
          <w:rFonts w:ascii="仿宋_GB2312" w:hAnsi="仿宋_GB2312" w:eastAsia="仿宋_GB2312" w:cs="宋体"/>
          <w:color w:val="auto"/>
          <w:kern w:val="0"/>
          <w:sz w:val="32"/>
          <w:szCs w:val="22"/>
          <w:highlight w:val="none"/>
        </w:rPr>
        <w:t>等</w:t>
      </w:r>
      <w:r>
        <w:rPr>
          <w:rFonts w:hint="eastAsia" w:ascii="仿宋_GB2312" w:hAnsi="仿宋_GB2312" w:eastAsia="仿宋_GB2312" w:cs="宋体"/>
          <w:color w:val="auto"/>
          <w:kern w:val="0"/>
          <w:sz w:val="32"/>
          <w:szCs w:val="22"/>
          <w:highlight w:val="none"/>
        </w:rPr>
        <w:t>科研机构，着力构建高水平创新团队，聚力产出原创性科技成果、加快颠覆性科技成果转化落地。</w:t>
      </w:r>
      <w:r>
        <w:rPr>
          <w:rFonts w:hint="eastAsia" w:ascii="Times New Roman" w:hAnsi="Times New Roman" w:eastAsia="仿宋_GB2312" w:cs="Times New Roman"/>
          <w:color w:val="auto"/>
          <w:sz w:val="32"/>
          <w:szCs w:val="22"/>
          <w:highlight w:val="none"/>
        </w:rPr>
        <w:t>支持山东省微纳卫星技术创新中心等现有创新平台提档升级，创建技术创新平台、</w:t>
      </w:r>
      <w:r>
        <w:rPr>
          <w:rFonts w:hint="eastAsia" w:ascii="Times New Roman" w:hAnsi="Times New Roman" w:eastAsia="仿宋_GB2312" w:cs="Times New Roman"/>
          <w:color w:val="auto"/>
          <w:sz w:val="32"/>
          <w:szCs w:val="22"/>
          <w:highlight w:val="none"/>
          <w:lang w:val="en-US" w:eastAsia="zh-CN"/>
        </w:rPr>
        <w:t>制造业创新中心、新兴</w:t>
      </w:r>
      <w:r>
        <w:rPr>
          <w:rFonts w:hint="eastAsia" w:ascii="Times New Roman" w:hAnsi="Times New Roman" w:eastAsia="仿宋_GB2312" w:cs="Times New Roman"/>
          <w:color w:val="auto"/>
          <w:sz w:val="32"/>
          <w:szCs w:val="22"/>
          <w:highlight w:val="none"/>
        </w:rPr>
        <w:t>产业创新中心</w:t>
      </w:r>
      <w:r>
        <w:rPr>
          <w:rFonts w:hint="eastAsia" w:ascii="Times New Roman" w:hAnsi="Times New Roman" w:eastAsia="仿宋_GB2312" w:cs="Times New Roman"/>
          <w:color w:val="auto"/>
          <w:sz w:val="32"/>
          <w:szCs w:val="22"/>
          <w:highlight w:val="none"/>
          <w:lang w:val="en-US" w:eastAsia="zh-CN"/>
        </w:rPr>
        <w:t>等国家级、省级科技创新平台</w:t>
      </w:r>
      <w:r>
        <w:rPr>
          <w:rFonts w:hint="eastAsia" w:ascii="Times New Roman" w:hAnsi="Times New Roman" w:eastAsia="仿宋_GB2312" w:cs="Times New Roman"/>
          <w:color w:val="auto"/>
          <w:sz w:val="32"/>
          <w:szCs w:val="22"/>
          <w:highlight w:val="none"/>
        </w:rPr>
        <w:t>。</w:t>
      </w:r>
      <w:r>
        <w:rPr>
          <w:rFonts w:hint="eastAsia" w:ascii="仿宋_GB2312" w:hAnsi="仿宋_GB2312" w:eastAsia="仿宋_GB2312" w:cs="宋体"/>
          <w:color w:val="auto"/>
          <w:kern w:val="0"/>
          <w:sz w:val="32"/>
          <w:szCs w:val="22"/>
          <w:highlight w:val="none"/>
        </w:rPr>
        <w:t>探索科技专项资金“拨改投”支持方式，持续增强各类创新平台市场化运营实力。</w:t>
      </w:r>
      <w:r>
        <w:rPr>
          <w:rFonts w:hint="eastAsia" w:ascii="Times New Roman" w:hAnsi="Times New Roman" w:eastAsia="仿宋_GB2312" w:cs="仿宋_GB2312"/>
          <w:color w:val="auto"/>
          <w:kern w:val="21"/>
          <w:sz w:val="32"/>
          <w:szCs w:val="32"/>
          <w:lang w:val="en-US" w:eastAsia="zh-CN" w:bidi="ar"/>
        </w:rPr>
        <w:t>聚焦特色优势产业和未来产业，探索建设一批技术创新平台。</w:t>
      </w:r>
    </w:p>
    <w:p w14:paraId="01FE559F">
      <w:pPr>
        <w:spacing w:line="560" w:lineRule="exact"/>
        <w:ind w:firstLine="640" w:firstLineChars="200"/>
        <w:rPr>
          <w:rFonts w:ascii="Times New Roman" w:hAnsi="Times New Roman" w:eastAsia="仿宋_GB2312" w:cs="Times New Roman"/>
          <w:color w:val="auto"/>
          <w:sz w:val="32"/>
          <w:szCs w:val="22"/>
          <w:highlight w:val="none"/>
        </w:rPr>
      </w:pPr>
      <w:r>
        <w:rPr>
          <w:rFonts w:hint="eastAsia" w:ascii="楷体_GB2312" w:hAnsi="Times New Roman" w:eastAsia="楷体_GB2312" w:cs="Times New Roman"/>
          <w:color w:val="auto"/>
          <w:sz w:val="32"/>
          <w:szCs w:val="22"/>
          <w:highlight w:val="none"/>
        </w:rPr>
        <w:t>强化企业科技创新</w:t>
      </w:r>
      <w:r>
        <w:rPr>
          <w:rFonts w:hint="eastAsia" w:ascii="楷体_GB2312" w:hAnsi="Times New Roman" w:eastAsia="楷体_GB2312" w:cs="Times New Roman"/>
          <w:color w:val="auto"/>
          <w:sz w:val="32"/>
          <w:szCs w:val="22"/>
          <w:highlight w:val="none"/>
          <w:lang w:val="en-US" w:eastAsia="zh-CN"/>
        </w:rPr>
        <w:t>能力</w:t>
      </w:r>
      <w:r>
        <w:rPr>
          <w:rFonts w:hint="eastAsia" w:ascii="楷体_GB2312" w:hAnsi="Times New Roman" w:eastAsia="楷体_GB2312" w:cs="Times New Roman"/>
          <w:color w:val="auto"/>
          <w:sz w:val="32"/>
          <w:szCs w:val="22"/>
          <w:highlight w:val="none"/>
        </w:rPr>
        <w:t>。</w:t>
      </w:r>
      <w:r>
        <w:rPr>
          <w:rFonts w:hint="eastAsia" w:ascii="Times New Roman" w:hAnsi="Times New Roman" w:eastAsia="仿宋_GB2312" w:cs="Times New Roman"/>
          <w:color w:val="auto"/>
          <w:sz w:val="32"/>
          <w:szCs w:val="32"/>
          <w:highlight w:val="none"/>
        </w:rPr>
        <w:t>提高企业研发活动覆盖面，支持建设企业技术创新中心、工程研究中心、“一企一技术”中心等创新平台，重点推动规模以上工业企业研发机构设置率与研发活动覆盖率实现动态全覆盖。鼓励链主企业</w:t>
      </w:r>
      <w:r>
        <w:rPr>
          <w:rFonts w:hint="eastAsia" w:ascii="Times New Roman" w:hAnsi="Times New Roman" w:eastAsia="仿宋_GB2312" w:cs="Times New Roman"/>
          <w:color w:val="auto"/>
          <w:sz w:val="32"/>
          <w:szCs w:val="22"/>
          <w:highlight w:val="none"/>
        </w:rPr>
        <w:t>围绕</w:t>
      </w:r>
      <w:r>
        <w:rPr>
          <w:rFonts w:hint="eastAsia" w:ascii="Times New Roman" w:hAnsi="Times New Roman" w:eastAsia="仿宋_GB2312" w:cs="Times New Roman"/>
          <w:color w:val="auto"/>
          <w:sz w:val="32"/>
          <w:szCs w:val="32"/>
          <w:highlight w:val="none"/>
        </w:rPr>
        <w:t>产业链</w:t>
      </w:r>
      <w:r>
        <w:rPr>
          <w:rFonts w:hint="eastAsia" w:ascii="Times New Roman" w:hAnsi="Times New Roman" w:eastAsia="仿宋_GB2312" w:cs="Times New Roman"/>
          <w:color w:val="auto"/>
          <w:sz w:val="32"/>
          <w:szCs w:val="22"/>
          <w:highlight w:val="none"/>
        </w:rPr>
        <w:t>部署创新链，联合上下游生态圈企业共建技术创新中心、制造业创新中心、产业创新中心，搭建共性技术平台，提升重点行业关键核心技术攻关、关键工艺试验水平。</w:t>
      </w:r>
      <w:bookmarkStart w:id="103" w:name="_Toc208924217"/>
    </w:p>
    <w:bookmarkEnd w:id="103"/>
    <w:p w14:paraId="15276F95">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highlight w:val="none"/>
        </w:rPr>
        <w:t>加强关键核心技术攻关。</w:t>
      </w:r>
      <w:r>
        <w:rPr>
          <w:rFonts w:hint="eastAsia" w:ascii="Times New Roman" w:hAnsi="Times New Roman" w:eastAsia="仿宋_GB2312" w:cs="Times New Roman"/>
          <w:color w:val="auto"/>
          <w:sz w:val="32"/>
          <w:szCs w:val="22"/>
          <w:highlight w:val="none"/>
        </w:rPr>
        <w:t>支持</w:t>
      </w:r>
      <w:r>
        <w:rPr>
          <w:rFonts w:hint="eastAsia" w:ascii="仿宋_GB2312" w:hAnsi="仿宋_GB2312" w:eastAsia="仿宋_GB2312" w:cs="宋体"/>
          <w:color w:val="auto"/>
          <w:kern w:val="0"/>
          <w:sz w:val="32"/>
          <w:szCs w:val="22"/>
          <w:highlight w:val="none"/>
        </w:rPr>
        <w:t>骨干企业</w:t>
      </w:r>
      <w:r>
        <w:rPr>
          <w:rFonts w:hint="eastAsia" w:ascii="Times New Roman" w:hAnsi="Times New Roman" w:eastAsia="仿宋_GB2312" w:cs="Times New Roman"/>
          <w:color w:val="auto"/>
          <w:sz w:val="32"/>
          <w:szCs w:val="22"/>
          <w:highlight w:val="none"/>
        </w:rPr>
        <w:t>承担国家重大科技攻关任务、省重大科技创新工程，着力突破一批“卡脖子”技术、非对称技术、前沿技术。依托</w:t>
      </w:r>
      <w:r>
        <w:rPr>
          <w:rFonts w:hint="eastAsia" w:ascii="仿宋_GB2312" w:hAnsi="仿宋_GB2312" w:eastAsia="仿宋_GB2312" w:cs="仿宋_GB2312"/>
          <w:color w:val="auto"/>
          <w:sz w:val="32"/>
          <w:szCs w:val="40"/>
          <w:highlight w:val="none"/>
          <w:u w:val="none"/>
        </w:rPr>
        <w:t>先进药物递释系统全国重点实验室</w:t>
      </w:r>
      <w:r>
        <w:rPr>
          <w:rFonts w:hint="eastAsia" w:ascii="仿宋_GB2312" w:hAnsi="仿宋_GB2312" w:eastAsia="仿宋_GB2312" w:cs="仿宋_GB2312"/>
          <w:color w:val="auto"/>
          <w:sz w:val="32"/>
          <w:szCs w:val="40"/>
          <w:highlight w:val="none"/>
        </w:rPr>
        <w:t>，</w:t>
      </w:r>
      <w:r>
        <w:rPr>
          <w:rFonts w:hint="eastAsia" w:ascii="Times New Roman" w:hAnsi="Times New Roman" w:eastAsia="仿宋_GB2312" w:cs="Times New Roman"/>
          <w:color w:val="auto"/>
          <w:sz w:val="32"/>
          <w:szCs w:val="22"/>
          <w:highlight w:val="none"/>
        </w:rPr>
        <w:t>着力攻克缓释长效、智能控释、靶向递送及核酸药物高效递送等关键技术。航空航天领域重点突破在轨服务与燃料加注技术、新一代快速集群卫星智能协同技术、智能变形机翼结构、</w:t>
      </w:r>
      <w:r>
        <w:rPr>
          <w:rFonts w:hint="eastAsia" w:ascii="仿宋_GB2312" w:hAnsi="仿宋_GB2312" w:eastAsia="仿宋_GB2312" w:cs="仿宋_GB2312"/>
          <w:color w:val="auto"/>
          <w:sz w:val="32"/>
          <w:szCs w:val="22"/>
          <w:highlight w:val="none"/>
        </w:rPr>
        <w:t>3D/4D</w:t>
      </w:r>
      <w:r>
        <w:rPr>
          <w:rFonts w:hint="eastAsia" w:ascii="Times New Roman" w:hAnsi="Times New Roman" w:eastAsia="仿宋_GB2312" w:cs="Times New Roman"/>
          <w:color w:val="auto"/>
          <w:sz w:val="32"/>
          <w:szCs w:val="22"/>
          <w:highlight w:val="none"/>
        </w:rPr>
        <w:t>打印自修复材料技术</w:t>
      </w:r>
      <w:r>
        <w:rPr>
          <w:rFonts w:hint="eastAsia" w:ascii="Times New Roman" w:hAnsi="Times New Roman" w:eastAsia="仿宋_GB2312" w:cs="Times New Roman"/>
          <w:color w:val="auto"/>
          <w:sz w:val="32"/>
          <w:szCs w:val="22"/>
        </w:rPr>
        <w:t>等关键技术与应用。海洋工程领域重点突破海洋资源勘探开发装备、海水淡化与综合利用装备、海洋新材料等领域的关键核心技术。</w:t>
      </w:r>
    </w:p>
    <w:p w14:paraId="24F0712A">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完善科技成果转移转化体系。</w:t>
      </w:r>
      <w:r>
        <w:rPr>
          <w:rFonts w:hint="eastAsia" w:ascii="Times New Roman" w:hAnsi="Times New Roman" w:eastAsia="仿宋_GB2312" w:cs="Times New Roman"/>
          <w:color w:val="auto"/>
          <w:sz w:val="32"/>
          <w:szCs w:val="22"/>
        </w:rPr>
        <w:t>用好山东科技大市场，构建“源头挖掘—价值发现—精准推送—金融赋能—场景验证—产业落地”成果转化生态，增强技术成果供需对接。</w:t>
      </w:r>
      <w:r>
        <w:rPr>
          <w:rFonts w:hint="eastAsia" w:ascii="仿宋_GB2312" w:hAnsi="仿宋_GB2312" w:eastAsia="仿宋_GB2312" w:cs="仿宋_GB2312"/>
          <w:color w:val="auto"/>
          <w:sz w:val="32"/>
          <w:szCs w:val="32"/>
        </w:rPr>
        <w:t>积极引导高校院所、企业、高端服务机构等主体，布局建设成果转化载体，打通“概念验证—中试熟化—成果产业化”转化通道。</w:t>
      </w:r>
      <w:r>
        <w:rPr>
          <w:rFonts w:hint="eastAsia" w:ascii="仿宋_GB2312" w:hAnsi="仿宋_GB2312" w:eastAsia="仿宋_GB2312" w:cs="仿宋_GB2312"/>
          <w:color w:val="auto"/>
          <w:sz w:val="32"/>
          <w:szCs w:val="32"/>
          <w:lang w:val="en-US" w:eastAsia="zh-CN"/>
        </w:rPr>
        <w:t>加快推进</w:t>
      </w:r>
      <w:r>
        <w:rPr>
          <w:rFonts w:hint="eastAsia" w:ascii="仿宋_GB2312" w:hAnsi="仿宋_GB2312" w:eastAsia="仿宋_GB2312" w:cs="仿宋_GB2312"/>
          <w:color w:val="auto"/>
          <w:sz w:val="32"/>
          <w:szCs w:val="32"/>
        </w:rPr>
        <w:t>山东省航空零部件智能制造中试示范基地建设，集中资源要素，支持龙头企业加快在研成果转化，进一步扩大规模、提高产能，实现膨胀裂变。</w:t>
      </w:r>
      <w:r>
        <w:rPr>
          <w:rFonts w:hint="eastAsia" w:ascii="Times New Roman" w:hAnsi="仿宋_GB2312" w:eastAsia="仿宋_GB2312" w:cs="宋体"/>
          <w:color w:val="auto"/>
          <w:kern w:val="0"/>
          <w:sz w:val="32"/>
          <w:szCs w:val="32"/>
        </w:rPr>
        <w:t>推进知识产权强区建设，支持重点产业相关企业、产业园区、行业组织等建设产业知识产权运营中心，组建产业知识产权创新联合体，建设运营重点产业专利池，构建专利“盘活、对接、评</w:t>
      </w:r>
      <w:r>
        <w:rPr>
          <w:rFonts w:hint="eastAsia" w:ascii="Times New Roman" w:hAnsi="Times New Roman" w:eastAsia="仿宋_GB2312" w:cs="Times New Roman"/>
          <w:color w:val="auto"/>
          <w:sz w:val="32"/>
          <w:szCs w:val="22"/>
        </w:rPr>
        <w:t>估、融资、转化、产业化”全链条服务体系，强化知识产权服务供给。</w:t>
      </w:r>
    </w:p>
    <w:p w14:paraId="37320E0F">
      <w:pPr>
        <w:spacing w:line="560" w:lineRule="exact"/>
        <w:ind w:firstLine="640" w:firstLineChars="200"/>
        <w:rPr>
          <w:rFonts w:hint="eastAsia" w:ascii="仿宋_GB2312" w:hAnsi="仿宋_GB2312" w:eastAsia="仿宋_GB2312" w:cs="仿宋_GB2312"/>
          <w:color w:val="auto"/>
          <w:sz w:val="32"/>
          <w:szCs w:val="32"/>
        </w:rPr>
      </w:pPr>
      <w:r>
        <w:rPr>
          <w:rFonts w:hint="eastAsia" w:ascii="楷体_GB2312" w:hAnsi="Times New Roman" w:eastAsia="楷体_GB2312" w:cs="Times New Roman"/>
          <w:color w:val="auto"/>
          <w:sz w:val="32"/>
          <w:szCs w:val="22"/>
        </w:rPr>
        <w:t>搭建公共技术服务平台矩阵。</w:t>
      </w:r>
      <w:r>
        <w:rPr>
          <w:rFonts w:hint="eastAsia" w:ascii="仿宋_GB2312" w:hAnsi="仿宋_GB2312" w:eastAsia="仿宋_GB2312" w:cs="仿宋_GB2312"/>
          <w:color w:val="auto"/>
          <w:sz w:val="32"/>
          <w:szCs w:val="32"/>
        </w:rPr>
        <w:t>立足</w:t>
      </w:r>
      <w:r>
        <w:rPr>
          <w:rFonts w:ascii="仿宋_GB2312" w:hAnsi="仿宋_GB2312" w:eastAsia="仿宋_GB2312" w:cs="仿宋_GB2312"/>
          <w:color w:val="auto"/>
          <w:sz w:val="32"/>
          <w:szCs w:val="32"/>
        </w:rPr>
        <w:t>主导产业发展需求，持续完善公共技术服务平台体系，构建“专业化+综合性”公共技术服务平台矩阵，整合公共技术研发、检验检测、知识产权、中试孵化等多元服务功能，</w:t>
      </w:r>
      <w:r>
        <w:rPr>
          <w:rFonts w:hint="eastAsia" w:ascii="仿宋_GB2312" w:hAnsi="Times New Roman" w:eastAsia="仿宋_GB2312" w:cs="Times New Roman"/>
          <w:color w:val="auto"/>
          <w:sz w:val="32"/>
          <w:szCs w:val="22"/>
        </w:rPr>
        <w:t>从技术研发到产品落地提供全周期支撑。</w:t>
      </w:r>
      <w:r>
        <w:rPr>
          <w:rFonts w:ascii="仿宋_GB2312" w:hAnsi="仿宋_GB2312" w:eastAsia="仿宋_GB2312" w:cs="仿宋_GB2312"/>
          <w:color w:val="auto"/>
          <w:sz w:val="32"/>
          <w:szCs w:val="32"/>
        </w:rPr>
        <w:t>对标</w:t>
      </w:r>
      <w:r>
        <w:rPr>
          <w:rFonts w:hint="eastAsia" w:ascii="Times New Roman" w:hAnsi="Times New Roman" w:eastAsia="仿宋_GB2312" w:cs="Times New Roman"/>
          <w:color w:val="auto"/>
          <w:sz w:val="32"/>
          <w:szCs w:val="22"/>
        </w:rPr>
        <w:t>生物医药</w:t>
      </w:r>
      <w:r>
        <w:rPr>
          <w:rFonts w:ascii="仿宋_GB2312" w:hAnsi="仿宋_GB2312" w:eastAsia="仿宋_GB2312" w:cs="仿宋_GB2312"/>
          <w:color w:val="auto"/>
          <w:sz w:val="32"/>
          <w:szCs w:val="32"/>
        </w:rPr>
        <w:t>产业创新发展需要，做强医药</w:t>
      </w:r>
      <w:r>
        <w:rPr>
          <w:rFonts w:hint="eastAsia" w:ascii="仿宋_GB2312" w:hAnsi="仿宋_GB2312" w:eastAsia="仿宋_GB2312" w:cs="仿宋_GB2312"/>
          <w:color w:val="auto"/>
          <w:sz w:val="32"/>
          <w:szCs w:val="32"/>
        </w:rPr>
        <w:t>与</w:t>
      </w:r>
      <w:r>
        <w:rPr>
          <w:rFonts w:ascii="仿宋_GB2312" w:hAnsi="仿宋_GB2312" w:eastAsia="仿宋_GB2312" w:cs="仿宋_GB2312"/>
          <w:color w:val="auto"/>
          <w:sz w:val="32"/>
          <w:szCs w:val="32"/>
        </w:rPr>
        <w:t>健康公共技术服务平台，补齐药物筛选、药效评价、安全检测等核心服务能力</w:t>
      </w:r>
      <w:r>
        <w:rPr>
          <w:rFonts w:hint="eastAsia" w:ascii="仿宋_GB2312" w:hAnsi="仿宋_GB2312" w:eastAsia="仿宋_GB2312" w:cs="仿宋_GB2312"/>
          <w:color w:val="auto"/>
          <w:sz w:val="32"/>
          <w:szCs w:val="32"/>
        </w:rPr>
        <w:t>。</w:t>
      </w:r>
      <w:r>
        <w:rPr>
          <w:rFonts w:ascii="仿宋_GB2312" w:hAnsi="仿宋_GB2312" w:eastAsia="仿宋_GB2312" w:cs="仿宋_GB2312"/>
          <w:color w:val="auto"/>
          <w:sz w:val="32"/>
          <w:szCs w:val="32"/>
        </w:rPr>
        <w:t>围绕商业卫星整星、关键部组件及航空航天特种材料全链条验证需求，打造覆盖环境模拟、可靠性试验、性能检测与在轨功能复现的专业化公共检测认证体系。</w:t>
      </w:r>
      <w:r>
        <w:rPr>
          <w:rFonts w:hint="eastAsia" w:ascii="仿宋_GB2312" w:hAnsi="仿宋_GB2312" w:eastAsia="仿宋_GB2312" w:cs="仿宋_GB2312"/>
          <w:color w:val="auto"/>
          <w:sz w:val="32"/>
          <w:szCs w:val="32"/>
        </w:rPr>
        <w:t>聚焦海洋工程</w:t>
      </w:r>
      <w:r>
        <w:rPr>
          <w:rFonts w:ascii="仿宋_GB2312" w:hAnsi="仿宋_GB2312" w:eastAsia="仿宋_GB2312" w:cs="仿宋_GB2312"/>
          <w:color w:val="auto"/>
          <w:sz w:val="32"/>
          <w:szCs w:val="32"/>
        </w:rPr>
        <w:t>产业研发制造特性，</w:t>
      </w:r>
      <w:r>
        <w:rPr>
          <w:rFonts w:hint="eastAsia" w:ascii="仿宋_GB2312" w:hAnsi="仿宋_GB2312" w:eastAsia="仿宋_GB2312" w:cs="仿宋_GB2312"/>
          <w:color w:val="auto"/>
          <w:sz w:val="32"/>
          <w:szCs w:val="32"/>
        </w:rPr>
        <w:t>构建海上光伏实验室、新材料渔光互补实验平台、新型系泊材料和技术测试平台</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rPr>
        <w:t>关键平台，促进产业链上下游资源整合和产业项目落地。围绕未来产业检验检测薄弱环节及空白领域，有序搭建研发测试新平台。</w:t>
      </w:r>
    </w:p>
    <w:p w14:paraId="165218F6">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104" w:name="_Toc230591544"/>
      <w:bookmarkStart w:id="105" w:name="_Toc29084"/>
      <w:bookmarkStart w:id="106" w:name="_Toc9471"/>
      <w:bookmarkStart w:id="107" w:name="_Toc230188706"/>
      <w:bookmarkStart w:id="108" w:name="_Toc10393"/>
      <w:bookmarkStart w:id="109" w:name="_Toc8751"/>
      <w:r>
        <w:rPr>
          <w:rFonts w:hint="eastAsia" w:ascii="黑体" w:hAnsi="黑体" w:eastAsia="黑体" w:cs="Times New Roman"/>
          <w:b w:val="0"/>
          <w:bCs w:val="0"/>
          <w:color w:val="auto"/>
          <w:kern w:val="2"/>
          <w:sz w:val="32"/>
          <w:szCs w:val="32"/>
          <w:lang w:val="en-US" w:eastAsia="zh-CN" w:bidi="ar-SA"/>
        </w:rPr>
        <w:t>第二节  打造科教产协同型人才队伍</w:t>
      </w:r>
      <w:bookmarkEnd w:id="104"/>
      <w:bookmarkEnd w:id="105"/>
      <w:bookmarkEnd w:id="106"/>
      <w:bookmarkEnd w:id="107"/>
      <w:bookmarkEnd w:id="108"/>
      <w:bookmarkEnd w:id="109"/>
    </w:p>
    <w:p w14:paraId="66946217">
      <w:pPr>
        <w:spacing w:line="560" w:lineRule="exact"/>
        <w:ind w:firstLine="640" w:firstLineChars="200"/>
        <w:rPr>
          <w:rFonts w:ascii="Times New Roman" w:hAnsi="Times New Roman" w:eastAsia="仿宋_GB2312" w:cs="Times New Roman"/>
          <w:color w:val="auto"/>
          <w:sz w:val="32"/>
          <w:szCs w:val="22"/>
        </w:rPr>
      </w:pPr>
      <w:r>
        <w:rPr>
          <w:rFonts w:hint="eastAsia" w:ascii="Times New Roman" w:hAnsi="Times New Roman" w:eastAsia="仿宋_GB2312" w:cs="Times New Roman"/>
          <w:color w:val="auto"/>
          <w:sz w:val="32"/>
          <w:szCs w:val="22"/>
        </w:rPr>
        <w:t>围绕科技创新、产业发展</w:t>
      </w:r>
      <w:r>
        <w:rPr>
          <w:rFonts w:hint="eastAsia" w:ascii="Times New Roman" w:hAnsi="Times New Roman" w:eastAsia="仿宋_GB2312" w:cs="Times New Roman"/>
          <w:color w:val="auto"/>
          <w:sz w:val="32"/>
          <w:szCs w:val="22"/>
          <w:lang w:val="en-US" w:eastAsia="zh-CN"/>
        </w:rPr>
        <w:t>需求</w:t>
      </w:r>
      <w:r>
        <w:rPr>
          <w:rFonts w:hint="eastAsia" w:ascii="Times New Roman" w:hAnsi="Times New Roman" w:eastAsia="仿宋_GB2312" w:cs="Times New Roman"/>
          <w:color w:val="auto"/>
          <w:sz w:val="32"/>
          <w:szCs w:val="22"/>
        </w:rPr>
        <w:t>，</w:t>
      </w:r>
      <w:r>
        <w:rPr>
          <w:rFonts w:ascii="Times New Roman" w:hAnsi="Times New Roman" w:eastAsia="仿宋_GB2312" w:cs="Times New Roman"/>
          <w:color w:val="auto"/>
          <w:sz w:val="32"/>
          <w:szCs w:val="22"/>
        </w:rPr>
        <w:t>引进培养一批科技领军人才</w:t>
      </w:r>
      <w:r>
        <w:rPr>
          <w:rFonts w:hint="eastAsia" w:ascii="Times New Roman" w:hAnsi="Times New Roman" w:eastAsia="仿宋_GB2312" w:cs="Times New Roman"/>
          <w:color w:val="auto"/>
          <w:sz w:val="32"/>
          <w:szCs w:val="22"/>
          <w:lang w:eastAsia="zh-CN"/>
        </w:rPr>
        <w:t>、</w:t>
      </w:r>
      <w:r>
        <w:rPr>
          <w:rFonts w:ascii="Times New Roman" w:hAnsi="Times New Roman" w:eastAsia="仿宋_GB2312" w:cs="Times New Roman"/>
          <w:color w:val="auto"/>
          <w:sz w:val="32"/>
          <w:szCs w:val="22"/>
        </w:rPr>
        <w:t>高水平创新团队</w:t>
      </w:r>
      <w:r>
        <w:rPr>
          <w:rFonts w:hint="eastAsia" w:ascii="Times New Roman" w:hAnsi="Times New Roman" w:eastAsia="仿宋_GB2312" w:cs="Times New Roman"/>
          <w:color w:val="auto"/>
          <w:sz w:val="32"/>
          <w:szCs w:val="22"/>
          <w:lang w:eastAsia="zh-CN"/>
        </w:rPr>
        <w:t>、</w:t>
      </w:r>
      <w:r>
        <w:rPr>
          <w:rFonts w:hint="eastAsia" w:ascii="Times New Roman" w:hAnsi="Times New Roman" w:eastAsia="仿宋_GB2312" w:cs="Times New Roman"/>
          <w:color w:val="auto"/>
          <w:sz w:val="32"/>
          <w:szCs w:val="22"/>
          <w:lang w:val="en-US" w:eastAsia="zh-CN"/>
        </w:rPr>
        <w:t>技能人才团队</w:t>
      </w:r>
      <w:r>
        <w:rPr>
          <w:rFonts w:ascii="Times New Roman" w:hAnsi="Times New Roman" w:eastAsia="仿宋_GB2312" w:cs="Times New Roman"/>
          <w:color w:val="auto"/>
          <w:sz w:val="32"/>
          <w:szCs w:val="22"/>
        </w:rPr>
        <w:t>，</w:t>
      </w:r>
      <w:r>
        <w:rPr>
          <w:rFonts w:hint="eastAsia" w:ascii="Times New Roman" w:hAnsi="Times New Roman" w:eastAsia="仿宋_GB2312" w:cs="Times New Roman"/>
          <w:color w:val="auto"/>
          <w:sz w:val="32"/>
          <w:szCs w:val="22"/>
        </w:rPr>
        <w:t>优化“近悦远来”的人才发展生态，</w:t>
      </w:r>
      <w:r>
        <w:rPr>
          <w:rFonts w:ascii="Times New Roman" w:hAnsi="Times New Roman" w:eastAsia="仿宋_GB2312" w:cs="Times New Roman"/>
          <w:color w:val="auto"/>
          <w:sz w:val="32"/>
          <w:szCs w:val="22"/>
        </w:rPr>
        <w:t>打造完备的人才梯队体系</w:t>
      </w:r>
      <w:r>
        <w:rPr>
          <w:rFonts w:hint="eastAsia" w:ascii="Times New Roman" w:hAnsi="Times New Roman" w:eastAsia="仿宋_GB2312" w:cs="Times New Roman"/>
          <w:color w:val="auto"/>
          <w:sz w:val="32"/>
          <w:szCs w:val="22"/>
        </w:rPr>
        <w:t>。</w:t>
      </w:r>
    </w:p>
    <w:p w14:paraId="65840C8E">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靶向引进“高精尖缺”人才。</w:t>
      </w:r>
      <w:r>
        <w:rPr>
          <w:rFonts w:hint="eastAsia" w:ascii="Times New Roman" w:hAnsi="Times New Roman" w:eastAsia="仿宋_GB2312" w:cs="Times New Roman"/>
          <w:color w:val="auto"/>
          <w:sz w:val="32"/>
          <w:szCs w:val="22"/>
        </w:rPr>
        <w:t>围绕重点产业链，突出“高精尖缺”导向，绘制“产业人才地图”，制定动态引才目录，</w:t>
      </w:r>
      <w:r>
        <w:rPr>
          <w:rFonts w:ascii="Times New Roman" w:hAnsi="Times New Roman" w:eastAsia="仿宋_GB2312" w:cs="Times New Roman"/>
          <w:color w:val="auto"/>
          <w:sz w:val="32"/>
          <w:szCs w:val="22"/>
        </w:rPr>
        <w:t>提升引才精准度和产业适配度</w:t>
      </w:r>
      <w:r>
        <w:rPr>
          <w:rFonts w:hint="eastAsia" w:ascii="Times New Roman" w:hAnsi="Times New Roman" w:eastAsia="仿宋_GB2312" w:cs="Times New Roman"/>
          <w:color w:val="auto"/>
          <w:sz w:val="32"/>
          <w:szCs w:val="22"/>
        </w:rPr>
        <w:t>。深入实施产业人才汇聚行动和关键领域人才专项，发挥国家级海智基地品牌作用，大力引进培育科技型企业家、卓越工程师、齐鲁大工匠、高技能人才、“人工智能+”等复合型人才和创新人才。</w:t>
      </w:r>
      <w:r>
        <w:rPr>
          <w:rFonts w:hint="eastAsia" w:ascii="Times New Roman" w:hAnsi="Times New Roman" w:eastAsia="仿宋_GB2312" w:cs="Times New Roman"/>
          <w:color w:val="auto"/>
          <w:sz w:val="32"/>
          <w:szCs w:val="32"/>
        </w:rPr>
        <w:t>支持企业通过项目合作、顾问指导、交换流动等柔性引才方式，引进一批高层次、紧缺型产业领军人才。</w:t>
      </w:r>
    </w:p>
    <w:p w14:paraId="15E29BA0">
      <w:pPr>
        <w:spacing w:line="560" w:lineRule="exact"/>
        <w:ind w:firstLine="640" w:firstLineChars="200"/>
        <w:rPr>
          <w:rFonts w:hint="default" w:ascii="Times New Roman" w:hAnsi="Times New Roman" w:eastAsia="仿宋_GB2312" w:cs="Times New Roman"/>
          <w:b/>
          <w:bCs/>
          <w:color w:val="auto"/>
          <w:sz w:val="32"/>
          <w:szCs w:val="22"/>
          <w:lang w:val="en-US" w:eastAsia="zh-CN"/>
        </w:rPr>
      </w:pPr>
      <w:r>
        <w:rPr>
          <w:rFonts w:hint="eastAsia" w:ascii="楷体_GB2312" w:hAnsi="Times New Roman" w:eastAsia="楷体_GB2312" w:cs="Times New Roman"/>
          <w:color w:val="auto"/>
          <w:sz w:val="32"/>
          <w:szCs w:val="22"/>
        </w:rPr>
        <w:t>推进特色人才引进培育。</w:t>
      </w:r>
      <w:r>
        <w:rPr>
          <w:rFonts w:hint="eastAsia" w:ascii="Times New Roman" w:hAnsi="Times New Roman" w:eastAsia="仿宋_GB2312" w:cs="Times New Roman"/>
          <w:color w:val="auto"/>
          <w:sz w:val="32"/>
          <w:szCs w:val="22"/>
        </w:rPr>
        <w:t>探索建设</w:t>
      </w:r>
      <w:r>
        <w:rPr>
          <w:rFonts w:hint="eastAsia" w:ascii="仿宋_GB2312" w:hAnsi="仿宋_GB2312" w:eastAsia="仿宋_GB2312" w:cs="仿宋_GB2312"/>
          <w:color w:val="auto"/>
          <w:sz w:val="32"/>
          <w:szCs w:val="32"/>
        </w:rPr>
        <w:t>青年人才学院、</w:t>
      </w:r>
      <w:r>
        <w:rPr>
          <w:rFonts w:ascii="Times New Roman" w:hAnsi="Times New Roman" w:eastAsia="仿宋_GB2312" w:cs="Times New Roman"/>
          <w:color w:val="auto"/>
          <w:sz w:val="32"/>
          <w:szCs w:val="22"/>
        </w:rPr>
        <w:t>青年人才创新创业活力街区</w:t>
      </w:r>
      <w:r>
        <w:rPr>
          <w:rFonts w:hint="eastAsia" w:ascii="仿宋_GB2312" w:hAnsi="仿宋_GB2312" w:eastAsia="仿宋_GB2312" w:cs="仿宋_GB2312"/>
          <w:color w:val="auto"/>
          <w:sz w:val="32"/>
          <w:szCs w:val="32"/>
        </w:rPr>
        <w:t>，</w:t>
      </w:r>
      <w:r>
        <w:rPr>
          <w:rFonts w:hint="eastAsia" w:ascii="Times New Roman" w:hAnsi="Times New Roman" w:eastAsia="仿宋_GB2312" w:cs="Times New Roman"/>
          <w:color w:val="auto"/>
          <w:sz w:val="32"/>
          <w:szCs w:val="22"/>
        </w:rPr>
        <w:t>高水平举办“智汇高新”高层次人才对接活动、</w:t>
      </w:r>
      <w:r>
        <w:rPr>
          <w:rFonts w:hint="eastAsia" w:ascii="仿宋_GB2312" w:hAnsi="Times New Roman" w:eastAsia="仿宋_GB2312" w:cs="Times New Roman"/>
          <w:color w:val="auto"/>
          <w:sz w:val="32"/>
          <w:szCs w:val="22"/>
        </w:rPr>
        <w:t>“名企名校行”</w:t>
      </w:r>
      <w:r>
        <w:rPr>
          <w:rFonts w:hint="eastAsia" w:ascii="Times New Roman" w:hAnsi="Times New Roman" w:eastAsia="仿宋_GB2312" w:cs="Times New Roman"/>
          <w:color w:val="auto"/>
          <w:sz w:val="32"/>
          <w:szCs w:val="22"/>
        </w:rPr>
        <w:t>系列活动，</w:t>
      </w:r>
      <w:r>
        <w:rPr>
          <w:rFonts w:ascii="Times New Roman" w:hAnsi="Times New Roman" w:eastAsia="仿宋_GB2312" w:cs="Times New Roman"/>
          <w:color w:val="auto"/>
          <w:sz w:val="32"/>
          <w:szCs w:val="22"/>
        </w:rPr>
        <w:t>吸引青年创业</w:t>
      </w:r>
      <w:r>
        <w:rPr>
          <w:rFonts w:hint="eastAsia" w:ascii="Times New Roman" w:hAnsi="Times New Roman" w:eastAsia="仿宋_GB2312" w:cs="Times New Roman"/>
          <w:color w:val="auto"/>
          <w:sz w:val="32"/>
          <w:szCs w:val="22"/>
        </w:rPr>
        <w:t>发展</w:t>
      </w:r>
      <w:r>
        <w:rPr>
          <w:rFonts w:ascii="Times New Roman" w:hAnsi="Times New Roman" w:eastAsia="仿宋_GB2312" w:cs="Times New Roman"/>
          <w:color w:val="auto"/>
          <w:sz w:val="32"/>
          <w:szCs w:val="22"/>
        </w:rPr>
        <w:t>。</w:t>
      </w:r>
      <w:r>
        <w:rPr>
          <w:rFonts w:hint="eastAsia" w:ascii="Times New Roman" w:hAnsi="Times New Roman" w:eastAsia="仿宋_GB2312" w:cs="Times New Roman"/>
          <w:color w:val="auto"/>
          <w:sz w:val="32"/>
          <w:szCs w:val="22"/>
        </w:rPr>
        <w:t>优化技能人才发展体制机制改革，实施“专精特新”企业职称申报举荐制，完善技能“培训—评价—激励”服务体系，壮大高技能人才群体。持续引培技术经纪（经理）人等专业技术人才群体。积极开展主播、算法工程师等新职业、新工种人才认定服务</w:t>
      </w:r>
      <w:r>
        <w:rPr>
          <w:rFonts w:hint="eastAsia" w:ascii="Times New Roman" w:hAnsi="Times New Roman" w:eastAsia="仿宋_GB2312" w:cs="Times New Roman"/>
          <w:color w:val="auto"/>
          <w:sz w:val="32"/>
          <w:szCs w:val="22"/>
          <w:lang w:eastAsia="zh-CN"/>
        </w:rPr>
        <w:t>，</w:t>
      </w:r>
      <w:r>
        <w:rPr>
          <w:rFonts w:hint="eastAsia" w:ascii="Times New Roman" w:hAnsi="Times New Roman" w:eastAsia="仿宋_GB2312" w:cs="Times New Roman"/>
          <w:color w:val="auto"/>
          <w:sz w:val="32"/>
          <w:szCs w:val="22"/>
          <w:lang w:val="en-US" w:eastAsia="zh-CN"/>
        </w:rPr>
        <w:t>引进一批数字领域紧缺专业人才。</w:t>
      </w:r>
    </w:p>
    <w:p w14:paraId="3178FC27">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拓宽多元化招引渠道。</w:t>
      </w:r>
      <w:r>
        <w:rPr>
          <w:rFonts w:hint="eastAsia" w:ascii="Times New Roman" w:hAnsi="Times New Roman" w:eastAsia="仿宋_GB2312" w:cs="Times New Roman"/>
          <w:color w:val="auto"/>
          <w:sz w:val="32"/>
          <w:szCs w:val="22"/>
        </w:rPr>
        <w:t>强化企业引才主体作用，优化“按薪定才”“自主荐才”“以绩推才”“以赛选才”等产业人才引育模式。依托高校院所、全国重点实验室等创新平台，通过“人才异地工作、项目异地开发、成果本地转化”模式，持续引进博士及以上高层次科研人才。在京津、长三角、珠三角等人才高地建立“烟台高新区人才驿站”，加强与烟台籍领军人才对接，吸引人才创业、投资。创新大数据引才，释放产才融合数据平台效能，跟踪关注国家、省、市级产业领域“揭榜挂帅”、人才计划项目等，支持人才携项目入驻开展创新创业活动。</w:t>
      </w:r>
    </w:p>
    <w:p w14:paraId="096E3266">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优化“引育用”人才生态。</w:t>
      </w:r>
      <w:r>
        <w:rPr>
          <w:rFonts w:hint="eastAsia" w:ascii="Times New Roman" w:hAnsi="Times New Roman" w:eastAsia="仿宋_GB2312" w:cs="Times New Roman"/>
          <w:color w:val="auto"/>
          <w:sz w:val="32"/>
          <w:szCs w:val="22"/>
        </w:rPr>
        <w:t>全面做好党管人才工作，依托人才工作领导小组，以人才项目为引领，统筹</w:t>
      </w:r>
      <w:r>
        <w:rPr>
          <w:rFonts w:ascii="Times New Roman" w:hAnsi="Times New Roman" w:eastAsia="仿宋_GB2312" w:cs="Times New Roman"/>
          <w:color w:val="auto"/>
          <w:sz w:val="32"/>
          <w:szCs w:val="22"/>
        </w:rPr>
        <w:t>制定规划、协调政策、配置资源</w:t>
      </w:r>
      <w:r>
        <w:rPr>
          <w:rFonts w:hint="eastAsia" w:ascii="Times New Roman" w:hAnsi="Times New Roman" w:eastAsia="仿宋_GB2312" w:cs="Times New Roman"/>
          <w:color w:val="auto"/>
          <w:sz w:val="32"/>
          <w:szCs w:val="22"/>
        </w:rPr>
        <w:t>，</w:t>
      </w:r>
      <w:r>
        <w:rPr>
          <w:rFonts w:ascii="Times New Roman" w:hAnsi="Times New Roman" w:eastAsia="仿宋_GB2312" w:cs="Times New Roman"/>
          <w:color w:val="auto"/>
          <w:sz w:val="32"/>
          <w:szCs w:val="22"/>
        </w:rPr>
        <w:t>全方位培养人才、引进人才、用好人才。</w:t>
      </w:r>
      <w:r>
        <w:rPr>
          <w:rFonts w:hint="eastAsia" w:ascii="Times New Roman" w:hAnsi="Times New Roman" w:eastAsia="仿宋_GB2312" w:cs="Times New Roman"/>
          <w:color w:val="auto"/>
          <w:sz w:val="32"/>
          <w:szCs w:val="22"/>
        </w:rPr>
        <w:t>完善人才培育体系，分领域、分行业实施区级人才工程，梯次培育市级、省级、国家级人才，打造高新区人才“后备军”和“储备库”。</w:t>
      </w:r>
      <w:r>
        <w:rPr>
          <w:rFonts w:ascii="Times New Roman" w:hAnsi="Times New Roman" w:eastAsia="仿宋_GB2312" w:cs="Times New Roman"/>
          <w:color w:val="auto"/>
          <w:sz w:val="32"/>
          <w:szCs w:val="22"/>
        </w:rPr>
        <w:t>推动人力资源产业园加快发展，</w:t>
      </w:r>
      <w:r>
        <w:rPr>
          <w:rFonts w:hint="eastAsia" w:ascii="Times New Roman" w:hAnsi="Times New Roman" w:eastAsia="仿宋_GB2312" w:cs="Times New Roman"/>
          <w:color w:val="auto"/>
          <w:sz w:val="32"/>
          <w:szCs w:val="22"/>
        </w:rPr>
        <w:t>搭建一站式人力资源服务平台，为企业提供人事代理、人才测评、人才引进、交流对接等专业服务。对顶尖人才（团队）实行“一事一议”机制，给予综合资助和配套支持。</w:t>
      </w:r>
      <w:r>
        <w:rPr>
          <w:rFonts w:ascii="Times New Roman" w:hAnsi="Times New Roman" w:eastAsia="仿宋_GB2312" w:cs="Times New Roman"/>
          <w:color w:val="auto"/>
          <w:sz w:val="32"/>
          <w:szCs w:val="22"/>
        </w:rPr>
        <w:t>加大优质公共服务资源供给，提供安居、医疗健康、</w:t>
      </w:r>
      <w:r>
        <w:rPr>
          <w:rFonts w:hint="eastAsia" w:ascii="Times New Roman" w:hAnsi="Times New Roman" w:eastAsia="仿宋_GB2312" w:cs="Times New Roman"/>
          <w:color w:val="auto"/>
          <w:sz w:val="32"/>
          <w:szCs w:val="22"/>
        </w:rPr>
        <w:t>配偶安置</w:t>
      </w:r>
      <w:r>
        <w:rPr>
          <w:rFonts w:ascii="Times New Roman" w:hAnsi="Times New Roman" w:eastAsia="仿宋_GB2312" w:cs="Times New Roman"/>
          <w:color w:val="auto"/>
          <w:sz w:val="32"/>
          <w:szCs w:val="22"/>
        </w:rPr>
        <w:t>等服务保障</w:t>
      </w:r>
      <w:r>
        <w:rPr>
          <w:rFonts w:hint="eastAsia" w:ascii="Times New Roman" w:hAnsi="Times New Roman" w:eastAsia="仿宋_GB2312" w:cs="Times New Roman"/>
          <w:color w:val="auto"/>
          <w:sz w:val="32"/>
          <w:szCs w:val="22"/>
        </w:rPr>
        <w:t>，</w:t>
      </w:r>
      <w:r>
        <w:rPr>
          <w:rFonts w:ascii="Times New Roman" w:hAnsi="Times New Roman" w:eastAsia="仿宋_GB2312" w:cs="Times New Roman"/>
          <w:color w:val="auto"/>
          <w:sz w:val="32"/>
          <w:szCs w:val="22"/>
        </w:rPr>
        <w:t>落实人才购房生活补贴、三年免房租政策，</w:t>
      </w:r>
      <w:r>
        <w:rPr>
          <w:rFonts w:hint="eastAsia" w:ascii="Times New Roman" w:hAnsi="Times New Roman" w:eastAsia="仿宋_GB2312" w:cs="Times New Roman"/>
          <w:color w:val="auto"/>
          <w:sz w:val="32"/>
          <w:szCs w:val="22"/>
        </w:rPr>
        <w:t>更好地服务</w:t>
      </w:r>
      <w:r>
        <w:rPr>
          <w:rFonts w:ascii="Times New Roman" w:hAnsi="Times New Roman" w:eastAsia="仿宋_GB2312" w:cs="Times New Roman"/>
          <w:color w:val="auto"/>
          <w:sz w:val="32"/>
          <w:szCs w:val="22"/>
        </w:rPr>
        <w:t>企业人才需求</w:t>
      </w:r>
      <w:r>
        <w:rPr>
          <w:rFonts w:hint="eastAsia" w:ascii="Times New Roman" w:hAnsi="Times New Roman" w:eastAsia="仿宋_GB2312" w:cs="Times New Roman"/>
          <w:color w:val="auto"/>
          <w:sz w:val="32"/>
          <w:szCs w:val="22"/>
        </w:rPr>
        <w:t>。聚焦“重点产业企业职工”“招才引智高层次人才”“产业紧缺技能人才”三类核心群体，实行事项优先办理、服务优先保障。</w:t>
      </w:r>
    </w:p>
    <w:p w14:paraId="63901871">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110" w:name="_Toc4691"/>
      <w:bookmarkStart w:id="111" w:name="_Toc230188707"/>
      <w:bookmarkStart w:id="112" w:name="_Toc8615"/>
      <w:bookmarkStart w:id="113" w:name="_Toc27307"/>
      <w:bookmarkStart w:id="114" w:name="_Toc230591545"/>
      <w:bookmarkStart w:id="115" w:name="_Toc20775"/>
      <w:r>
        <w:rPr>
          <w:rFonts w:hint="eastAsia" w:ascii="黑体" w:hAnsi="黑体" w:eastAsia="黑体" w:cs="Times New Roman"/>
          <w:b w:val="0"/>
          <w:bCs w:val="0"/>
          <w:color w:val="auto"/>
          <w:kern w:val="2"/>
          <w:sz w:val="32"/>
          <w:szCs w:val="32"/>
          <w:lang w:val="en-US" w:eastAsia="zh-CN" w:bidi="ar-SA"/>
        </w:rPr>
        <w:t>第三节  深化校地企一体化融合发展</w:t>
      </w:r>
      <w:bookmarkEnd w:id="110"/>
      <w:bookmarkEnd w:id="111"/>
      <w:bookmarkEnd w:id="112"/>
      <w:bookmarkEnd w:id="113"/>
      <w:bookmarkEnd w:id="114"/>
      <w:bookmarkEnd w:id="115"/>
    </w:p>
    <w:p w14:paraId="2A069965">
      <w:pPr>
        <w:spacing w:line="560" w:lineRule="exact"/>
        <w:ind w:firstLine="640" w:firstLineChars="200"/>
        <w:rPr>
          <w:rFonts w:ascii="Times New Roman" w:hAnsi="Times New Roman" w:eastAsia="仿宋_GB2312" w:cs="Times New Roman"/>
          <w:color w:val="auto"/>
          <w:sz w:val="32"/>
          <w:szCs w:val="22"/>
        </w:rPr>
      </w:pPr>
      <w:r>
        <w:rPr>
          <w:rFonts w:hint="eastAsia" w:ascii="Times New Roman" w:hAnsi="Times New Roman" w:eastAsia="仿宋_GB2312" w:cs="Times New Roman"/>
          <w:color w:val="auto"/>
          <w:sz w:val="32"/>
          <w:szCs w:val="22"/>
        </w:rPr>
        <w:t>持续推进校地协同融合，完善校地企联动互促发展机制，打造校地融合发展高地。</w:t>
      </w:r>
    </w:p>
    <w:p w14:paraId="5A377236">
      <w:pPr>
        <w:spacing w:line="560" w:lineRule="exact"/>
        <w:ind w:firstLine="640" w:firstLineChars="200"/>
        <w:rPr>
          <w:rFonts w:hint="default" w:ascii="Times New Roman" w:hAnsi="Times New Roman" w:eastAsia="仿宋_GB2312" w:cs="Times New Roman"/>
          <w:color w:val="auto"/>
          <w:sz w:val="32"/>
          <w:szCs w:val="22"/>
          <w:lang w:val="en-US" w:eastAsia="zh-CN"/>
        </w:rPr>
      </w:pPr>
      <w:r>
        <w:rPr>
          <w:rFonts w:hint="eastAsia" w:ascii="楷体_GB2312" w:hAnsi="Times New Roman" w:eastAsia="楷体_GB2312" w:cs="Times New Roman"/>
          <w:color w:val="auto"/>
          <w:sz w:val="32"/>
          <w:szCs w:val="22"/>
        </w:rPr>
        <w:t>扎实推进校地融合发展。</w:t>
      </w:r>
      <w:r>
        <w:rPr>
          <w:rFonts w:hint="eastAsia" w:ascii="Times New Roman" w:hAnsi="Times New Roman" w:eastAsia="仿宋_GB2312" w:cs="Times New Roman"/>
          <w:color w:val="auto"/>
          <w:sz w:val="32"/>
          <w:szCs w:val="22"/>
        </w:rPr>
        <w:t>助力高校规模质量升级，推动烟台理工学院新校区、山东城市服务职业学院二期等项目加快建设、尽快投用，</w:t>
      </w:r>
      <w:r>
        <w:rPr>
          <w:rFonts w:hint="eastAsia" w:ascii="Times New Roman" w:hAnsi="Times New Roman" w:eastAsia="仿宋_GB2312" w:cs="Times New Roman"/>
          <w:color w:val="auto"/>
          <w:sz w:val="32"/>
          <w:szCs w:val="22"/>
          <w:highlight w:val="none"/>
        </w:rPr>
        <w:t>支持中国农业大学烟台研究院加强学科建设和人才培养</w:t>
      </w:r>
      <w:r>
        <w:rPr>
          <w:rFonts w:hint="eastAsia" w:ascii="Times New Roman" w:hAnsi="Times New Roman" w:eastAsia="仿宋_GB2312" w:cs="Times New Roman"/>
          <w:color w:val="auto"/>
          <w:sz w:val="32"/>
          <w:szCs w:val="22"/>
          <w:highlight w:val="none"/>
          <w:lang w:eastAsia="zh-CN"/>
        </w:rPr>
        <w:t>，</w:t>
      </w:r>
      <w:r>
        <w:rPr>
          <w:rFonts w:hint="eastAsia" w:ascii="Times New Roman" w:hAnsi="Times New Roman" w:eastAsia="仿宋_GB2312" w:cs="Times New Roman"/>
          <w:color w:val="auto"/>
          <w:sz w:val="32"/>
          <w:szCs w:val="22"/>
        </w:rPr>
        <w:t>支</w:t>
      </w:r>
      <w:r>
        <w:rPr>
          <w:rFonts w:hint="eastAsia" w:ascii="Times New Roman" w:hAnsi="Times New Roman" w:eastAsia="仿宋_GB2312" w:cs="Times New Roman"/>
          <w:color w:val="auto"/>
          <w:sz w:val="32"/>
          <w:szCs w:val="22"/>
          <w:highlight w:val="none"/>
        </w:rPr>
        <w:t>持烟台职业学院、山东商务职业学院等驻区高校</w:t>
      </w:r>
      <w:r>
        <w:rPr>
          <w:rFonts w:hint="eastAsia" w:ascii="仿宋_GB2312" w:hAnsi="仿宋_GB2312" w:eastAsia="仿宋_GB2312" w:cs="仿宋_GB2312"/>
          <w:color w:val="auto"/>
          <w:sz w:val="32"/>
          <w:szCs w:val="40"/>
          <w:highlight w:val="none"/>
        </w:rPr>
        <w:t>升格本科</w:t>
      </w:r>
      <w:r>
        <w:rPr>
          <w:rFonts w:hint="eastAsia" w:ascii="Times New Roman" w:hAnsi="Times New Roman" w:eastAsia="仿宋_GB2312" w:cs="Times New Roman"/>
          <w:color w:val="auto"/>
          <w:sz w:val="32"/>
          <w:szCs w:val="22"/>
          <w:highlight w:val="none"/>
        </w:rPr>
        <w:t>，</w:t>
      </w:r>
      <w:r>
        <w:rPr>
          <w:rFonts w:hint="eastAsia" w:ascii="仿宋_GB2312" w:hAnsi="仿宋_GB2312" w:eastAsia="仿宋_GB2312" w:cs="仿宋_GB2312"/>
          <w:color w:val="auto"/>
          <w:sz w:val="32"/>
          <w:szCs w:val="40"/>
          <w:lang w:val="en-US" w:eastAsia="zh-CN"/>
        </w:rPr>
        <w:t>支持烟台职业学院等职业院校“双高计划”项目建设，高水平打造船舶工程技术、新能源汽车等国家级、省级重点专业群</w:t>
      </w:r>
      <w:r>
        <w:rPr>
          <w:rFonts w:hint="eastAsia" w:ascii="Times New Roman" w:hAnsi="Times New Roman" w:eastAsia="仿宋_GB2312" w:cs="Times New Roman"/>
          <w:color w:val="auto"/>
          <w:sz w:val="32"/>
          <w:szCs w:val="22"/>
          <w:highlight w:val="none"/>
        </w:rPr>
        <w:t>。持续</w:t>
      </w:r>
      <w:r>
        <w:rPr>
          <w:rFonts w:hint="eastAsia" w:ascii="Times New Roman" w:hAnsi="Times New Roman" w:eastAsia="仿宋_GB2312" w:cs="Times New Roman"/>
          <w:color w:val="auto"/>
          <w:sz w:val="32"/>
          <w:szCs w:val="22"/>
        </w:rPr>
        <w:t>保障驻区高校建设，对高校在建项目提供“专员包联”等贴心服务。探索建设大学科技园，形成“大学科技园孵化转移＋高新园区落地转化”模式，建立科研成果源头挖掘、技术验证、样机样品开发、产品定型及上市推广的全链条孵化体系。优化“高校—产业园</w:t>
      </w:r>
      <w:r>
        <w:rPr>
          <w:rFonts w:hint="eastAsia" w:ascii="Times New Roman" w:hAnsi="Times New Roman" w:eastAsia="仿宋_GB2312" w:cs="Times New Roman"/>
          <w:color w:val="auto"/>
          <w:sz w:val="32"/>
          <w:szCs w:val="22"/>
          <w:lang w:val="en-US" w:eastAsia="zh-CN"/>
        </w:rPr>
        <w:t>区</w:t>
      </w:r>
      <w:r>
        <w:rPr>
          <w:rFonts w:hint="eastAsia" w:ascii="Times New Roman" w:hAnsi="Times New Roman" w:eastAsia="仿宋_GB2312" w:cs="Times New Roman"/>
          <w:color w:val="auto"/>
          <w:sz w:val="32"/>
          <w:szCs w:val="22"/>
        </w:rPr>
        <w:t>—核心商圈”通勤网络，通过新建或升级配套道路、调整公交专线等方式，提升师生出行效率，为校地融合提供便利的硬件支撑。</w:t>
      </w:r>
      <w:r>
        <w:rPr>
          <w:rFonts w:hint="eastAsia" w:ascii="Times New Roman" w:hAnsi="Times New Roman" w:eastAsia="仿宋_GB2312" w:cs="Times New Roman"/>
          <w:color w:val="auto"/>
          <w:sz w:val="32"/>
          <w:szCs w:val="22"/>
          <w:lang w:val="en-US" w:eastAsia="zh-CN"/>
        </w:rPr>
        <w:t>强化与山东大学、山东医药大学、哈尔滨工程大学、中国农业大学等高校合作，深化高新区与高校联动发展。</w:t>
      </w:r>
    </w:p>
    <w:p w14:paraId="1C255624">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精准推进产教融合发展。</w:t>
      </w:r>
      <w:r>
        <w:rPr>
          <w:rFonts w:hint="eastAsia" w:ascii="Times New Roman" w:hAnsi="Times New Roman" w:eastAsia="仿宋_GB2312" w:cs="Times New Roman"/>
          <w:color w:val="auto"/>
          <w:sz w:val="32"/>
          <w:szCs w:val="22"/>
        </w:rPr>
        <w:t>加强应用类专业与产业发展对接联动，持续推动区内高校</w:t>
      </w:r>
      <w:r>
        <w:rPr>
          <w:rFonts w:hint="eastAsia" w:ascii="Times New Roman" w:hAnsi="Times New Roman" w:eastAsia="仿宋_GB2312" w:cs="Times New Roman"/>
          <w:color w:val="auto"/>
          <w:sz w:val="32"/>
          <w:szCs w:val="22"/>
          <w:lang w:eastAsia="zh-CN"/>
        </w:rPr>
        <w:t>、</w:t>
      </w:r>
      <w:r>
        <w:rPr>
          <w:rFonts w:hint="eastAsia" w:ascii="Times New Roman" w:hAnsi="Times New Roman" w:eastAsia="仿宋_GB2312" w:cs="Times New Roman"/>
          <w:color w:val="auto"/>
          <w:sz w:val="32"/>
          <w:szCs w:val="22"/>
          <w:lang w:val="en-US" w:eastAsia="zh-CN"/>
        </w:rPr>
        <w:t>国内重点高校优化办学布局，</w:t>
      </w:r>
      <w:r>
        <w:rPr>
          <w:rFonts w:hint="eastAsia" w:ascii="Times New Roman" w:hAnsi="Times New Roman" w:eastAsia="仿宋_GB2312" w:cs="Times New Roman"/>
          <w:color w:val="auto"/>
          <w:sz w:val="32"/>
          <w:szCs w:val="22"/>
        </w:rPr>
        <w:t>面向航空航天、海洋工程、数智服务等产业领域需求新增紧缺专业</w:t>
      </w:r>
      <w:r>
        <w:rPr>
          <w:rFonts w:hint="eastAsia" w:ascii="Times New Roman" w:hAnsi="Times New Roman" w:eastAsia="仿宋_GB2312" w:cs="Times New Roman"/>
          <w:color w:val="auto"/>
          <w:sz w:val="32"/>
          <w:szCs w:val="22"/>
          <w:lang w:eastAsia="zh-CN"/>
        </w:rPr>
        <w:t>，</w:t>
      </w:r>
      <w:r>
        <w:rPr>
          <w:rFonts w:hint="eastAsia" w:ascii="Times New Roman" w:hAnsi="Times New Roman" w:eastAsia="仿宋_GB2312" w:cs="Times New Roman"/>
          <w:color w:val="auto"/>
          <w:sz w:val="32"/>
          <w:szCs w:val="22"/>
        </w:rPr>
        <w:t>推动高起点布局能够支撑未来产业重大创新的基础学科专业。深化烟台市海洋工程产教融合共同体建设内涵，明确校企共建研发平台设备共享、知识产权归属、成果转移收入分配，推进产教深度合作。</w:t>
      </w:r>
      <w:r>
        <w:rPr>
          <w:rFonts w:hint="eastAsia" w:ascii="Times New Roman" w:hAnsi="Times New Roman" w:eastAsia="仿宋_GB2312" w:cs="仿宋_GB2312"/>
          <w:bCs/>
          <w:color w:val="auto"/>
          <w:sz w:val="32"/>
          <w:szCs w:val="22"/>
          <w:lang w:bidi="ar"/>
        </w:rPr>
        <w:t>推进职业教育智能仿真实训基地、海工装备实训基地等项目建设。</w:t>
      </w:r>
      <w:r>
        <w:rPr>
          <w:rFonts w:hint="eastAsia" w:ascii="Times New Roman" w:hAnsi="Times New Roman" w:eastAsia="仿宋_GB2312" w:cs="Times New Roman"/>
          <w:color w:val="auto"/>
          <w:sz w:val="32"/>
          <w:szCs w:val="22"/>
        </w:rPr>
        <w:t>支持优势企业与</w:t>
      </w:r>
      <w:r>
        <w:rPr>
          <w:rFonts w:hint="eastAsia" w:ascii="Times New Roman" w:hAnsi="Times New Roman" w:eastAsia="仿宋_GB2312" w:cs="Times New Roman"/>
          <w:color w:val="auto"/>
          <w:sz w:val="32"/>
          <w:szCs w:val="22"/>
          <w:lang w:val="en-US" w:eastAsia="zh-CN"/>
        </w:rPr>
        <w:t>区内外</w:t>
      </w:r>
      <w:r>
        <w:rPr>
          <w:rFonts w:hint="eastAsia" w:ascii="Times New Roman" w:hAnsi="Times New Roman" w:eastAsia="仿宋_GB2312" w:cs="Times New Roman"/>
          <w:color w:val="auto"/>
          <w:sz w:val="32"/>
          <w:szCs w:val="22"/>
        </w:rPr>
        <w:t>高校共建卓越工程师学院、专业特色学院、工程硕博士培养改革试点等产教融合平台，加大卓越工程技术人才培养</w:t>
      </w:r>
      <w:r>
        <w:rPr>
          <w:rFonts w:hint="eastAsia" w:ascii="Times New Roman" w:hAnsi="Times New Roman" w:eastAsia="仿宋_GB2312" w:cs="Times New Roman"/>
          <w:color w:val="auto"/>
          <w:sz w:val="32"/>
          <w:szCs w:val="22"/>
          <w:lang w:val="en-US" w:eastAsia="zh-CN"/>
        </w:rPr>
        <w:t>力度</w:t>
      </w:r>
      <w:r>
        <w:rPr>
          <w:rFonts w:hint="eastAsia" w:ascii="Times New Roman" w:hAnsi="Times New Roman" w:eastAsia="仿宋_GB2312" w:cs="Times New Roman"/>
          <w:color w:val="auto"/>
          <w:sz w:val="32"/>
          <w:szCs w:val="22"/>
        </w:rPr>
        <w:t>。支持领军企业、龙头企业牵头，联合上下游、大中小企业，依托高校学科优势和科研力量建设创新联合体、人才攻关联合体，聚焦产业共性技术瓶颈与未来技术制高点，开展应用基础研究，加快实现前沿技术、颠覆性技术突破。</w:t>
      </w:r>
    </w:p>
    <w:p w14:paraId="5F66525B">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116" w:name="_Toc19870"/>
      <w:bookmarkStart w:id="117" w:name="_Toc230591546"/>
      <w:bookmarkStart w:id="118" w:name="_Toc230188708"/>
      <w:bookmarkStart w:id="119" w:name="_Toc6134"/>
      <w:bookmarkStart w:id="120" w:name="_Toc25199"/>
      <w:bookmarkStart w:id="121" w:name="_Toc6502"/>
      <w:bookmarkStart w:id="122" w:name="_Toc213251268"/>
      <w:r>
        <w:rPr>
          <w:rFonts w:hint="eastAsia" w:ascii="黑体" w:hAnsi="黑体" w:eastAsia="黑体" w:cs="Times New Roman"/>
          <w:b w:val="0"/>
          <w:bCs w:val="0"/>
          <w:color w:val="auto"/>
          <w:kern w:val="2"/>
          <w:sz w:val="32"/>
          <w:szCs w:val="32"/>
          <w:lang w:val="en-US" w:eastAsia="zh-CN" w:bidi="ar-SA"/>
        </w:rPr>
        <w:t>第四节  构建多层次赋能型创业载体</w:t>
      </w:r>
      <w:bookmarkEnd w:id="116"/>
      <w:bookmarkEnd w:id="117"/>
      <w:bookmarkEnd w:id="118"/>
      <w:bookmarkEnd w:id="119"/>
      <w:bookmarkEnd w:id="120"/>
      <w:bookmarkEnd w:id="121"/>
    </w:p>
    <w:p w14:paraId="73725E7F">
      <w:pPr>
        <w:spacing w:line="560" w:lineRule="exact"/>
        <w:ind w:firstLine="640" w:firstLineChars="200"/>
        <w:rPr>
          <w:rFonts w:ascii="Times New Roman" w:hAnsi="Times New Roman" w:eastAsia="仿宋_GB2312" w:cs="Times New Roman"/>
          <w:color w:val="auto"/>
          <w:sz w:val="32"/>
          <w:szCs w:val="22"/>
        </w:rPr>
      </w:pPr>
      <w:r>
        <w:rPr>
          <w:rFonts w:ascii="Times New Roman" w:hAnsi="Times New Roman" w:eastAsia="仿宋_GB2312" w:cs="Times New Roman"/>
          <w:color w:val="auto"/>
          <w:sz w:val="32"/>
          <w:szCs w:val="22"/>
        </w:rPr>
        <w:t>加大创业支持力度，</w:t>
      </w:r>
      <w:r>
        <w:rPr>
          <w:rFonts w:hint="eastAsia" w:ascii="Times New Roman" w:hAnsi="Times New Roman" w:eastAsia="仿宋_GB2312" w:cs="Times New Roman"/>
          <w:color w:val="auto"/>
          <w:sz w:val="32"/>
          <w:szCs w:val="22"/>
        </w:rPr>
        <w:t>优化创业孵化体系，</w:t>
      </w:r>
      <w:r>
        <w:rPr>
          <w:rFonts w:ascii="Times New Roman" w:hAnsi="Times New Roman" w:eastAsia="仿宋_GB2312" w:cs="Times New Roman"/>
          <w:color w:val="auto"/>
          <w:sz w:val="32"/>
          <w:szCs w:val="22"/>
        </w:rPr>
        <w:t>增强创业带动就业效应</w:t>
      </w:r>
      <w:r>
        <w:rPr>
          <w:rFonts w:hint="eastAsia" w:ascii="Times New Roman" w:hAnsi="Times New Roman" w:eastAsia="仿宋_GB2312" w:cs="Times New Roman"/>
          <w:color w:val="auto"/>
          <w:sz w:val="32"/>
          <w:szCs w:val="22"/>
        </w:rPr>
        <w:t>，激发全区内生动力和创新活力。</w:t>
      </w:r>
    </w:p>
    <w:p w14:paraId="05A02E7E">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推动孵化载体升级发展。</w:t>
      </w:r>
      <w:r>
        <w:rPr>
          <w:rFonts w:hint="eastAsia" w:ascii="Times New Roman" w:hAnsi="Times New Roman" w:eastAsia="仿宋_GB2312" w:cs="Times New Roman"/>
          <w:color w:val="auto"/>
          <w:sz w:val="32"/>
          <w:szCs w:val="22"/>
        </w:rPr>
        <w:t>支持烟台市大学生创业园、中俄科技园、国科电子科技园等现有优质创业孵化载体对标认定条件，加快提档升级发展。支持山东国际生物科技园、京航科技园、创业</w:t>
      </w:r>
      <w:r>
        <w:rPr>
          <w:rFonts w:ascii="Times New Roman" w:hAnsi="Times New Roman" w:eastAsia="仿宋_GB2312" w:cs="Times New Roman"/>
          <w:color w:val="auto"/>
          <w:sz w:val="32"/>
          <w:szCs w:val="22"/>
        </w:rPr>
        <w:t>1</w:t>
      </w:r>
      <w:r>
        <w:rPr>
          <w:rFonts w:hint="eastAsia" w:ascii="Times New Roman" w:hAnsi="Times New Roman" w:eastAsia="仿宋_GB2312" w:cs="Times New Roman"/>
          <w:color w:val="auto"/>
          <w:sz w:val="32"/>
          <w:szCs w:val="22"/>
        </w:rPr>
        <w:t>号等专业孵化器聚焦生物医药、航空航天、人工智能等新兴产业与未来产业领域，</w:t>
      </w:r>
      <w:r>
        <w:rPr>
          <w:rFonts w:hint="eastAsia" w:ascii="仿宋_GB2312" w:hAnsi="Times New Roman" w:eastAsia="仿宋_GB2312" w:cs="Times New Roman"/>
          <w:color w:val="auto"/>
          <w:sz w:val="32"/>
          <w:szCs w:val="22"/>
        </w:rPr>
        <w:t>探索开展以概念验证和样品试制为特点的“超前孵化”，深化以产业链协同和创新资源精准嫁接为核心的“产业孵化”，做精做专面向特定技术领域的“垂类孵化”</w:t>
      </w:r>
      <w:r>
        <w:rPr>
          <w:rFonts w:ascii="Times New Roman" w:hAnsi="Times New Roman" w:eastAsia="仿宋_GB2312" w:cs="Times New Roman"/>
          <w:color w:val="auto"/>
          <w:sz w:val="32"/>
          <w:szCs w:val="22"/>
        </w:rPr>
        <w:t>。</w:t>
      </w:r>
      <w:r>
        <w:rPr>
          <w:rFonts w:hint="eastAsia" w:ascii="Times New Roman" w:hAnsi="Times New Roman" w:eastAsia="仿宋_GB2312" w:cs="Times New Roman"/>
          <w:color w:val="auto"/>
          <w:sz w:val="32"/>
          <w:szCs w:val="22"/>
        </w:rPr>
        <w:t>支持孵化器</w:t>
      </w:r>
      <w:r>
        <w:rPr>
          <w:rFonts w:ascii="Times New Roman" w:hAnsi="Times New Roman" w:eastAsia="仿宋_GB2312" w:cs="Times New Roman"/>
          <w:color w:val="auto"/>
          <w:sz w:val="32"/>
          <w:szCs w:val="22"/>
        </w:rPr>
        <w:t>在运营机制、服务能效和资源整合上创新突破</w:t>
      </w:r>
      <w:r>
        <w:rPr>
          <w:rFonts w:hint="eastAsia" w:ascii="Times New Roman" w:hAnsi="Times New Roman" w:eastAsia="仿宋_GB2312" w:cs="Times New Roman"/>
          <w:color w:val="auto"/>
          <w:sz w:val="32"/>
          <w:szCs w:val="22"/>
        </w:rPr>
        <w:t>，</w:t>
      </w:r>
      <w:r>
        <w:rPr>
          <w:rFonts w:ascii="Times New Roman" w:hAnsi="Times New Roman" w:eastAsia="仿宋_GB2312" w:cs="Times New Roman"/>
          <w:color w:val="auto"/>
          <w:sz w:val="32"/>
          <w:szCs w:val="22"/>
        </w:rPr>
        <w:t>通过引入专业化管理团队、构建定制化赋能体系、对接多元化金融资本，全面提升创业孵化服务的精准性、高效性与附加值，为在孵企业和创业团队提供覆盖全生命周期的高水平服务</w:t>
      </w:r>
      <w:r>
        <w:rPr>
          <w:rFonts w:hint="eastAsia" w:ascii="Times New Roman" w:hAnsi="Times New Roman" w:eastAsia="仿宋_GB2312" w:cs="Times New Roman"/>
          <w:color w:val="auto"/>
          <w:sz w:val="32"/>
          <w:szCs w:val="22"/>
        </w:rPr>
        <w:t>。</w:t>
      </w:r>
    </w:p>
    <w:p w14:paraId="6D245117">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提升产业园区运营水平。</w:t>
      </w:r>
      <w:r>
        <w:rPr>
          <w:rFonts w:hint="eastAsia" w:ascii="仿宋_GB2312" w:hAnsi="仿宋_GB2312" w:eastAsia="仿宋_GB2312" w:cs="仿宋_GB2312"/>
          <w:color w:val="auto"/>
          <w:sz w:val="32"/>
          <w:szCs w:val="22"/>
        </w:rPr>
        <w:t>提升IVD医疗器械产业园等现有产业园区专业化运营能力，以深度化、网络化、生态化为引领，形成集研发、孵化、资本、市场、服务于一体的微型创新生态，打造一批集聚效应明显、效益贡献突出的产业园区。鼓励楼宇运营主体完善基础物业服务，探索构建增值服务体系，加大优质企业招引力度，实现从“闲置楼宇”到“活力科创社区”转变。聚焦生物医药、人工智能等新兴产业与未来产业领域，前瞻布局并高标准建设一批专业型创新加速器，重点扶持AI驱动型创业、前沿技术创业、硬科技创业等新型创业业态发展。</w:t>
      </w:r>
    </w:p>
    <w:p w14:paraId="2547DDD6">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123" w:name="_Toc20674"/>
      <w:bookmarkStart w:id="124" w:name="_Toc30517"/>
      <w:bookmarkStart w:id="125" w:name="_Toc230188709"/>
      <w:bookmarkStart w:id="126" w:name="_Toc230591547"/>
      <w:bookmarkStart w:id="127" w:name="_Toc23236"/>
      <w:bookmarkStart w:id="128" w:name="_Toc14801"/>
      <w:r>
        <w:rPr>
          <w:rFonts w:hint="eastAsia" w:ascii="黑体" w:hAnsi="黑体" w:eastAsia="黑体" w:cs="Times New Roman"/>
          <w:b w:val="0"/>
          <w:bCs w:val="0"/>
          <w:color w:val="auto"/>
          <w:kern w:val="2"/>
          <w:sz w:val="32"/>
          <w:szCs w:val="32"/>
          <w:lang w:val="en-US" w:eastAsia="zh-CN" w:bidi="ar-SA"/>
        </w:rPr>
        <w:t>第五节  搭建高质量科技型企业矩阵</w:t>
      </w:r>
      <w:bookmarkEnd w:id="123"/>
      <w:bookmarkEnd w:id="124"/>
      <w:bookmarkEnd w:id="125"/>
      <w:bookmarkEnd w:id="126"/>
      <w:bookmarkEnd w:id="127"/>
      <w:bookmarkEnd w:id="128"/>
    </w:p>
    <w:p w14:paraId="51162598">
      <w:pPr>
        <w:spacing w:line="560" w:lineRule="exact"/>
        <w:ind w:firstLine="640" w:firstLineChars="200"/>
        <w:rPr>
          <w:rFonts w:ascii="Times New Roman" w:hAnsi="Times New Roman" w:eastAsia="仿宋_GB2312" w:cs="Times New Roman"/>
          <w:color w:val="auto"/>
          <w:sz w:val="32"/>
          <w:szCs w:val="22"/>
        </w:rPr>
      </w:pPr>
      <w:r>
        <w:rPr>
          <w:rFonts w:hint="eastAsia" w:ascii="Times New Roman" w:hAnsi="Times New Roman" w:eastAsia="仿宋_GB2312" w:cs="Times New Roman"/>
          <w:color w:val="auto"/>
          <w:sz w:val="32"/>
          <w:szCs w:val="22"/>
        </w:rPr>
        <w:t>完善企业成长全周期、</w:t>
      </w:r>
      <w:r>
        <w:rPr>
          <w:rFonts w:ascii="Times New Roman" w:hAnsi="Times New Roman" w:eastAsia="仿宋_GB2312" w:cs="Times New Roman"/>
          <w:color w:val="auto"/>
          <w:sz w:val="32"/>
          <w:szCs w:val="22"/>
        </w:rPr>
        <w:t>精准化</w:t>
      </w:r>
      <w:r>
        <w:rPr>
          <w:rFonts w:hint="eastAsia" w:ascii="Times New Roman" w:hAnsi="Times New Roman" w:eastAsia="仿宋_GB2312" w:cs="Times New Roman"/>
          <w:color w:val="auto"/>
          <w:sz w:val="32"/>
          <w:szCs w:val="22"/>
        </w:rPr>
        <w:t>培育链条，推进科技领军企业、高新技术企业、</w:t>
      </w:r>
      <w:r>
        <w:rPr>
          <w:rFonts w:hint="eastAsia" w:ascii="Times New Roman" w:hAnsi="Times New Roman" w:eastAsia="仿宋_GB2312" w:cs="Times New Roman"/>
          <w:color w:val="auto"/>
          <w:sz w:val="32"/>
          <w:szCs w:val="22"/>
          <w:lang w:val="en-US" w:eastAsia="zh-CN"/>
        </w:rPr>
        <w:t>高成长企业、科技型中小</w:t>
      </w:r>
      <w:r>
        <w:rPr>
          <w:rFonts w:hint="eastAsia" w:ascii="Times New Roman" w:hAnsi="Times New Roman" w:eastAsia="仿宋_GB2312" w:cs="Times New Roman"/>
          <w:color w:val="auto"/>
          <w:sz w:val="32"/>
          <w:szCs w:val="22"/>
        </w:rPr>
        <w:t>企业群体数量快速攀升。</w:t>
      </w:r>
    </w:p>
    <w:p w14:paraId="59AD23AA">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聚力培育科技领军企业。</w:t>
      </w:r>
      <w:r>
        <w:rPr>
          <w:rFonts w:hint="eastAsia" w:ascii="仿宋_GB2312" w:hAnsi="仿宋_GB2312" w:eastAsia="仿宋_GB2312" w:cs="仿宋_GB2312"/>
          <w:color w:val="auto"/>
          <w:sz w:val="32"/>
          <w:szCs w:val="32"/>
        </w:rPr>
        <w:t>探索“双链主”领军企业培育，支持</w:t>
      </w:r>
      <w:r>
        <w:rPr>
          <w:rFonts w:hint="eastAsia" w:ascii="仿宋_GB2312" w:hAnsi="仿宋_GB2312" w:eastAsia="仿宋_GB2312" w:cs="仿宋_GB2312"/>
          <w:color w:val="auto"/>
          <w:sz w:val="32"/>
          <w:szCs w:val="32"/>
          <w:lang w:val="en-US" w:eastAsia="zh-CN"/>
        </w:rPr>
        <w:t>现有产业</w:t>
      </w:r>
      <w:r>
        <w:rPr>
          <w:rFonts w:hint="eastAsia" w:ascii="仿宋_GB2312" w:hAnsi="仿宋_GB2312" w:eastAsia="仿宋_GB2312" w:cs="仿宋_GB2312"/>
          <w:color w:val="auto"/>
          <w:sz w:val="32"/>
          <w:szCs w:val="32"/>
        </w:rPr>
        <w:t>领军企业</w:t>
      </w:r>
      <w:r>
        <w:rPr>
          <w:rFonts w:hint="eastAsia" w:ascii="Times New Roman" w:hAnsi="Times New Roman" w:eastAsia="仿宋_GB2312" w:cs="Times New Roman"/>
          <w:color w:val="auto"/>
          <w:sz w:val="32"/>
          <w:szCs w:val="22"/>
        </w:rPr>
        <w:t>通过全球布局、兼并重组、投资孵化、“垂直+跨界”等方式，成长为具有牵引产业链创新链能力的“双链主”企业。聚焦</w:t>
      </w:r>
      <w:r>
        <w:rPr>
          <w:rFonts w:hint="eastAsia" w:ascii="Times New Roman" w:hAnsi="Times New Roman" w:eastAsia="仿宋_GB2312" w:cs="Times New Roman"/>
          <w:color w:val="auto"/>
          <w:sz w:val="32"/>
          <w:szCs w:val="22"/>
          <w:lang w:val="en-US" w:eastAsia="zh-CN"/>
        </w:rPr>
        <w:t>现有</w:t>
      </w:r>
      <w:r>
        <w:rPr>
          <w:rFonts w:hint="eastAsia" w:ascii="Times New Roman" w:hAnsi="Times New Roman" w:eastAsia="仿宋_GB2312" w:cs="Times New Roman"/>
          <w:color w:val="auto"/>
          <w:sz w:val="32"/>
          <w:szCs w:val="22"/>
        </w:rPr>
        <w:t>制造业单项冠军，筛选一批潜力“双链主”企业，加强集成支持。支持和引进独角兽、科技上市公司，通过提供资本、算力、场景、制度等方式，加速成长为双链主企业。</w:t>
      </w:r>
      <w:r>
        <w:rPr>
          <w:rFonts w:ascii="Times New Roman" w:hAnsi="Times New Roman" w:eastAsia="仿宋_GB2312" w:cs="Times New Roman"/>
          <w:color w:val="auto"/>
          <w:sz w:val="32"/>
          <w:szCs w:val="22"/>
        </w:rPr>
        <w:t>建立拟上市企业后备资源库，联合证券交易所、券商、律所等专业机构，为企业提供股份制改造、公司治理、财务规范、上市路径规划等全过程辅导，推动企业在多层次资本市场上市融资。</w:t>
      </w:r>
    </w:p>
    <w:p w14:paraId="2A9C147B">
      <w:pPr>
        <w:spacing w:line="560" w:lineRule="exact"/>
        <w:ind w:firstLine="640" w:firstLineChars="200"/>
        <w:rPr>
          <w:rFonts w:hint="eastAsia" w:ascii="Times New Roman" w:hAnsi="Times New Roman" w:eastAsia="仿宋_GB2312" w:cs="Times New Roman"/>
          <w:color w:val="auto"/>
          <w:sz w:val="32"/>
          <w:szCs w:val="22"/>
          <w:lang w:eastAsia="zh-CN"/>
        </w:rPr>
      </w:pPr>
      <w:r>
        <w:rPr>
          <w:rFonts w:hint="eastAsia" w:ascii="楷体_GB2312" w:hAnsi="Times New Roman" w:eastAsia="楷体_GB2312" w:cs="Times New Roman"/>
          <w:color w:val="auto"/>
          <w:sz w:val="32"/>
          <w:szCs w:val="22"/>
        </w:rPr>
        <w:t>扩容提质高新技术企业。</w:t>
      </w:r>
      <w:r>
        <w:rPr>
          <w:rFonts w:hint="eastAsia" w:ascii="Times New Roman" w:hAnsi="Times New Roman" w:eastAsia="仿宋_GB2312" w:cs="仿宋_GB2312"/>
          <w:color w:val="auto"/>
          <w:kern w:val="21"/>
          <w:sz w:val="32"/>
          <w:szCs w:val="32"/>
          <w:lang w:val="en-US" w:eastAsia="zh-CN" w:bidi="ar"/>
        </w:rPr>
        <w:t>开展“高新企业规模化、规上企业高新化”行动，实施企业创新能力提升工程，在技术攻关、平台建设、人才引育、要素供给等方面给予联动支持。</w:t>
      </w:r>
      <w:r>
        <w:rPr>
          <w:rFonts w:hint="eastAsia" w:ascii="仿宋_GB2312" w:hAnsi="Times New Roman" w:eastAsia="仿宋_GB2312" w:cs="Times New Roman"/>
          <w:color w:val="auto"/>
          <w:sz w:val="32"/>
          <w:szCs w:val="22"/>
        </w:rPr>
        <w:t>完善科技创新券、企业研发准备金制度，支持入库企业开展高新技术产品、新产品、自主知识产权产品的开发，对符合条件的企业优先推荐申报国家高新技术企业。</w:t>
      </w:r>
      <w:r>
        <w:rPr>
          <w:rFonts w:hint="eastAsia" w:ascii="Times New Roman" w:hAnsi="Times New Roman" w:eastAsia="仿宋_GB2312" w:cs="Times New Roman"/>
          <w:color w:val="auto"/>
          <w:sz w:val="32"/>
          <w:szCs w:val="22"/>
        </w:rPr>
        <w:t>依托高企培育库，强化高企认定管理工作，进一步优选第三方专业机构，</w:t>
      </w:r>
      <w:r>
        <w:rPr>
          <w:rFonts w:hint="eastAsia" w:ascii="仿宋_GB2312" w:hAnsi="Times New Roman" w:eastAsia="仿宋_GB2312" w:cs="Times New Roman"/>
          <w:color w:val="auto"/>
          <w:sz w:val="32"/>
          <w:szCs w:val="22"/>
        </w:rPr>
        <w:t>推进“创业导师”体系建设，聘请专业咨询机构、创投人士和创业成功企业家，定期为</w:t>
      </w:r>
      <w:r>
        <w:rPr>
          <w:rFonts w:hint="eastAsia" w:ascii="Times New Roman" w:hAnsi="Times New Roman" w:eastAsia="仿宋_GB2312" w:cs="Times New Roman"/>
          <w:color w:val="auto"/>
          <w:sz w:val="32"/>
          <w:szCs w:val="22"/>
        </w:rPr>
        <w:t>入库企业开展申报辅导和资质认定评估。</w:t>
      </w:r>
    </w:p>
    <w:p w14:paraId="5568DEE0">
      <w:pPr>
        <w:spacing w:line="560" w:lineRule="exact"/>
        <w:ind w:firstLine="640" w:firstLineChars="200"/>
        <w:rPr>
          <w:rFonts w:ascii="Times New Roman" w:hAnsi="Times New Roman" w:eastAsia="仿宋_GB2312" w:cs="Times New Roman"/>
          <w:color w:val="auto"/>
          <w:sz w:val="32"/>
          <w:szCs w:val="22"/>
          <w:highlight w:val="none"/>
        </w:rPr>
      </w:pPr>
      <w:r>
        <w:rPr>
          <w:rFonts w:hint="eastAsia" w:ascii="楷体_GB2312" w:hAnsi="Times New Roman" w:eastAsia="楷体_GB2312" w:cs="Times New Roman"/>
          <w:color w:val="auto"/>
          <w:sz w:val="32"/>
          <w:szCs w:val="22"/>
          <w:highlight w:val="none"/>
        </w:rPr>
        <w:t>壮大做强高成长型企业。</w:t>
      </w:r>
      <w:r>
        <w:rPr>
          <w:rFonts w:hint="eastAsia" w:ascii="仿宋_GB2312" w:hAnsi="仿宋_GB2312" w:eastAsia="仿宋_GB2312" w:cs="仿宋_GB2312"/>
          <w:color w:val="auto"/>
          <w:sz w:val="32"/>
          <w:szCs w:val="32"/>
          <w:highlight w:val="none"/>
        </w:rPr>
        <w:t>聚焦</w:t>
      </w:r>
      <w:r>
        <w:rPr>
          <w:rFonts w:hint="eastAsia" w:ascii="Times New Roman" w:hAnsi="Times New Roman" w:eastAsia="仿宋_GB2312" w:cs="Times New Roman"/>
          <w:color w:val="auto"/>
          <w:sz w:val="32"/>
          <w:szCs w:val="22"/>
          <w:highlight w:val="none"/>
        </w:rPr>
        <w:t>生物医药</w:t>
      </w:r>
      <w:r>
        <w:rPr>
          <w:rFonts w:hint="eastAsia" w:ascii="仿宋_GB2312" w:hAnsi="仿宋_GB2312" w:eastAsia="仿宋_GB2312" w:cs="仿宋_GB2312"/>
          <w:color w:val="auto"/>
          <w:sz w:val="32"/>
          <w:szCs w:val="32"/>
          <w:highlight w:val="none"/>
        </w:rPr>
        <w:t>、航空航天、海洋工程、数智服务等产业领域，重点选择成长性好、竞争力强和技术优势明显的科技型企业纳入重点培育企业储备库，开展专项政策支持和专业化、特色化的跟踪服务。建立</w:t>
      </w:r>
      <w:r>
        <w:rPr>
          <w:rFonts w:hint="eastAsia" w:ascii="Times New Roman" w:hAnsi="Times New Roman" w:eastAsia="仿宋_GB2312" w:cs="Times New Roman"/>
          <w:color w:val="auto"/>
          <w:sz w:val="32"/>
          <w:szCs w:val="22"/>
          <w:highlight w:val="none"/>
        </w:rPr>
        <w:t>以技术支持、成果转化、资金对接、企业孵化、产业融通等为主要功能的专精特新赋能体系，重点向专精特新企业、“小巨人”企业提供管理诊断、人才培训、质量诊断等赋能服务，助力企业持续跃迁。</w:t>
      </w:r>
    </w:p>
    <w:p w14:paraId="6A14ED8A">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highlight w:val="none"/>
          <w:lang w:val="en-US" w:eastAsia="zh-CN"/>
        </w:rPr>
        <w:t>蓄力孵化</w:t>
      </w:r>
      <w:r>
        <w:rPr>
          <w:rFonts w:hint="eastAsia" w:ascii="楷体_GB2312" w:hAnsi="Times New Roman" w:eastAsia="楷体_GB2312" w:cs="Times New Roman"/>
          <w:color w:val="auto"/>
          <w:sz w:val="32"/>
          <w:szCs w:val="22"/>
        </w:rPr>
        <w:t>科技型中小企业。</w:t>
      </w:r>
      <w:r>
        <w:rPr>
          <w:rFonts w:hint="eastAsia" w:ascii="Times New Roman" w:hAnsi="Times New Roman" w:eastAsia="仿宋_GB2312" w:cs="仿宋_GB2312"/>
          <w:color w:val="auto"/>
          <w:kern w:val="21"/>
          <w:sz w:val="32"/>
          <w:szCs w:val="32"/>
          <w:lang w:val="en-US" w:eastAsia="zh-CN" w:bidi="ar"/>
        </w:rPr>
        <w:t>依托赛事培育、孵化器孵化联动机制，培育一批潜力大、成长快的科技型中小企业。</w:t>
      </w:r>
      <w:r>
        <w:rPr>
          <w:rFonts w:ascii="Times New Roman" w:hAnsi="Times New Roman" w:eastAsia="仿宋_GB2312" w:cs="Times New Roman"/>
          <w:color w:val="auto"/>
          <w:sz w:val="32"/>
          <w:szCs w:val="22"/>
        </w:rPr>
        <w:t>建立覆盖全域的科技型中小企业发现和遴选机制</w:t>
      </w:r>
      <w:r>
        <w:rPr>
          <w:rFonts w:hint="eastAsia" w:ascii="Times New Roman" w:hAnsi="Times New Roman" w:eastAsia="仿宋_GB2312" w:cs="Times New Roman"/>
          <w:color w:val="auto"/>
          <w:sz w:val="32"/>
          <w:szCs w:val="22"/>
        </w:rPr>
        <w:t>，</w:t>
      </w:r>
      <w:r>
        <w:rPr>
          <w:rFonts w:ascii="Times New Roman" w:hAnsi="Times New Roman" w:eastAsia="仿宋_GB2312" w:cs="Times New Roman"/>
          <w:color w:val="auto"/>
          <w:sz w:val="32"/>
          <w:szCs w:val="22"/>
        </w:rPr>
        <w:t>通过降低创新创业门槛、</w:t>
      </w:r>
      <w:r>
        <w:rPr>
          <w:rFonts w:hint="eastAsia" w:ascii="Times New Roman" w:hAnsi="Times New Roman" w:eastAsia="仿宋_GB2312" w:cs="Times New Roman"/>
          <w:color w:val="auto"/>
          <w:sz w:val="32"/>
          <w:szCs w:val="22"/>
        </w:rPr>
        <w:t>嫁接科技金融、</w:t>
      </w:r>
      <w:r>
        <w:rPr>
          <w:rFonts w:ascii="Times New Roman" w:hAnsi="Times New Roman" w:eastAsia="仿宋_GB2312" w:cs="Times New Roman"/>
          <w:color w:val="auto"/>
          <w:sz w:val="32"/>
          <w:szCs w:val="22"/>
        </w:rPr>
        <w:t>提供</w:t>
      </w:r>
      <w:r>
        <w:rPr>
          <w:rFonts w:hint="eastAsia" w:ascii="仿宋_GB2312" w:hAnsi="Times New Roman" w:eastAsia="仿宋_GB2312" w:cs="Times New Roman"/>
          <w:color w:val="auto"/>
          <w:sz w:val="32"/>
          <w:szCs w:val="22"/>
        </w:rPr>
        <w:t>“首投、首贷、首保”</w:t>
      </w:r>
      <w:r>
        <w:rPr>
          <w:rFonts w:ascii="Times New Roman" w:hAnsi="Times New Roman" w:eastAsia="仿宋_GB2312" w:cs="Times New Roman"/>
          <w:color w:val="auto"/>
          <w:sz w:val="32"/>
          <w:szCs w:val="22"/>
        </w:rPr>
        <w:t>支持、举办创新创业大赛等方式，吸引和孵化科技型小微企业和创业团队。</w:t>
      </w:r>
      <w:r>
        <w:rPr>
          <w:rFonts w:hint="eastAsia" w:ascii="仿宋_GB2312" w:hAnsi="仿宋_GB2312" w:eastAsia="仿宋_GB2312" w:cs="仿宋_GB2312"/>
          <w:color w:val="auto"/>
          <w:sz w:val="32"/>
          <w:szCs w:val="32"/>
        </w:rPr>
        <w:t>实施科技型中小企业创新能力提升工程，在研发投入、成果转化、人才队伍、项目管理、知识产权等方面开展全方位辅导服务，支持“三高一核心”中小企业发展壮大。</w:t>
      </w:r>
    </w:p>
    <w:bookmarkEnd w:id="122"/>
    <w:p w14:paraId="3FE9C9A9">
      <w:pPr>
        <w:keepNext/>
        <w:keepLines/>
        <w:widowControl w:val="0"/>
        <w:spacing w:before="217" w:beforeLines="50" w:after="217" w:afterLines="50" w:line="560" w:lineRule="exact"/>
        <w:ind w:firstLine="0" w:firstLineChars="0"/>
        <w:jc w:val="center"/>
        <w:outlineLvl w:val="0"/>
        <w:rPr>
          <w:rFonts w:hint="eastAsia" w:ascii="方正小标宋简体" w:hAnsi="方正小标宋简体" w:eastAsia="方正小标宋简体" w:cs="方正小标宋简体"/>
          <w:bCs/>
          <w:color w:val="auto"/>
          <w:kern w:val="44"/>
          <w:sz w:val="36"/>
          <w:szCs w:val="48"/>
          <w:lang w:val="en-US" w:eastAsia="zh-CN" w:bidi="ar-SA"/>
        </w:rPr>
      </w:pPr>
      <w:bookmarkStart w:id="129" w:name="_Toc230188710"/>
      <w:bookmarkStart w:id="130" w:name="_Toc230591548"/>
      <w:bookmarkStart w:id="131" w:name="_Toc25848"/>
      <w:bookmarkStart w:id="132" w:name="_Toc2652"/>
      <w:bookmarkStart w:id="133" w:name="_Toc14481"/>
      <w:bookmarkStart w:id="134" w:name="_Toc24528"/>
      <w:bookmarkStart w:id="135" w:name="_Toc208924240"/>
      <w:r>
        <w:rPr>
          <w:rFonts w:hint="eastAsia" w:ascii="方正小标宋简体" w:hAnsi="方正小标宋简体" w:eastAsia="方正小标宋简体" w:cs="方正小标宋简体"/>
          <w:bCs/>
          <w:color w:val="auto"/>
          <w:kern w:val="44"/>
          <w:sz w:val="36"/>
          <w:szCs w:val="48"/>
          <w:lang w:val="en-US" w:eastAsia="zh-CN" w:bidi="ar-SA"/>
        </w:rPr>
        <w:t>第四章 全方位扩大内需，建设体验消费强劲</w:t>
      </w:r>
      <w:bookmarkEnd w:id="129"/>
      <w:r>
        <w:rPr>
          <w:rFonts w:hint="eastAsia" w:ascii="方正小标宋简体" w:hAnsi="方正小标宋简体" w:eastAsia="方正小标宋简体" w:cs="方正小标宋简体"/>
          <w:bCs/>
          <w:color w:val="auto"/>
          <w:kern w:val="44"/>
          <w:sz w:val="36"/>
          <w:szCs w:val="48"/>
          <w:lang w:val="en-US" w:eastAsia="zh-CN" w:bidi="ar-SA"/>
        </w:rPr>
        <w:t>内核</w:t>
      </w:r>
      <w:bookmarkEnd w:id="130"/>
      <w:bookmarkEnd w:id="131"/>
      <w:bookmarkEnd w:id="132"/>
      <w:bookmarkEnd w:id="133"/>
      <w:bookmarkEnd w:id="134"/>
    </w:p>
    <w:p w14:paraId="778C2096">
      <w:pPr>
        <w:spacing w:before="0" w:beforeLines="-2147483648" w:after="0" w:afterLines="-2147483648" w:line="560" w:lineRule="exact"/>
        <w:ind w:firstLine="640" w:firstLineChars="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深入实施扩大内需战略和供给侧结构性改革，坚持惠民生和促消费、投资于物和投资于人紧密结合，进一步激发有潜能的消费、扩大有效益的投资，强化消费、投资对稳增长的关键作用，形成经济增长的良性循环。</w:t>
      </w:r>
    </w:p>
    <w:p w14:paraId="2E5A0933">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136" w:name="_Toc26899"/>
      <w:bookmarkStart w:id="137" w:name="_Toc9522"/>
      <w:bookmarkStart w:id="138" w:name="_Toc10451"/>
      <w:bookmarkStart w:id="139" w:name="_Toc21476"/>
      <w:bookmarkStart w:id="140" w:name="_Toc230188711"/>
      <w:bookmarkStart w:id="141" w:name="_Toc230591549"/>
      <w:r>
        <w:rPr>
          <w:rFonts w:hint="eastAsia" w:ascii="黑体" w:hAnsi="黑体" w:eastAsia="黑体" w:cs="Times New Roman"/>
          <w:b w:val="0"/>
          <w:bCs w:val="0"/>
          <w:color w:val="auto"/>
          <w:kern w:val="2"/>
          <w:sz w:val="32"/>
          <w:szCs w:val="32"/>
          <w:lang w:val="en-US" w:eastAsia="zh-CN" w:bidi="ar-SA"/>
        </w:rPr>
        <w:t>第一节  全面释放消费潜能</w:t>
      </w:r>
      <w:bookmarkEnd w:id="136"/>
      <w:bookmarkEnd w:id="137"/>
      <w:bookmarkEnd w:id="138"/>
      <w:bookmarkEnd w:id="139"/>
    </w:p>
    <w:p w14:paraId="7EA5A9BC">
      <w:pPr>
        <w:keepNext w:val="0"/>
        <w:keepLines w:val="0"/>
        <w:pageBreakBefore w:val="0"/>
        <w:widowControl w:val="0"/>
        <w:kinsoku/>
        <w:wordWrap/>
        <w:overflowPunct/>
        <w:topLinePunct w:val="0"/>
        <w:autoSpaceDE/>
        <w:autoSpaceDN/>
        <w:bidi w:val="0"/>
        <w:adjustRightInd/>
        <w:snapToGrid/>
        <w:spacing w:line="560" w:lineRule="exact"/>
        <w:ind w:firstLine="64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顺应居民消费品质化、多样化、服务化升级趋势，加快集聚优质消费资源供给，</w:t>
      </w:r>
      <w:r>
        <w:rPr>
          <w:rFonts w:hint="eastAsia" w:ascii="Times New Roman" w:hAnsi="Times New Roman" w:eastAsia="仿宋_GB2312" w:cs="Times New Roman"/>
          <w:color w:val="auto"/>
          <w:sz w:val="32"/>
          <w:szCs w:val="32"/>
          <w:highlight w:val="none"/>
          <w:lang w:bidi="ar"/>
        </w:rPr>
        <w:t>丰富消费业态，推进</w:t>
      </w:r>
      <w:r>
        <w:rPr>
          <w:rFonts w:hint="eastAsia" w:ascii="仿宋_GB2312" w:hAnsi="仿宋_GB2312" w:eastAsia="仿宋_GB2312" w:cs="仿宋_GB2312"/>
          <w:color w:val="auto"/>
          <w:sz w:val="32"/>
          <w:szCs w:val="32"/>
          <w:highlight w:val="none"/>
        </w:rPr>
        <w:t>消费融合发展。</w:t>
      </w:r>
      <w:bookmarkEnd w:id="140"/>
      <w:bookmarkEnd w:id="141"/>
    </w:p>
    <w:p w14:paraId="73990690">
      <w:pPr>
        <w:keepNext w:val="0"/>
        <w:keepLines w:val="0"/>
        <w:pageBreakBefore w:val="0"/>
        <w:widowControl w:val="0"/>
        <w:kinsoku/>
        <w:wordWrap/>
        <w:overflowPunct/>
        <w:topLinePunct w:val="0"/>
        <w:autoSpaceDE/>
        <w:autoSpaceDN/>
        <w:bidi w:val="0"/>
        <w:adjustRightInd/>
        <w:snapToGrid/>
        <w:spacing w:line="560" w:lineRule="exact"/>
        <w:ind w:firstLine="640" w:firstLineChars="0"/>
        <w:jc w:val="both"/>
        <w:textAlignment w:val="auto"/>
        <w:rPr>
          <w:rFonts w:hint="eastAsia" w:ascii="仿宋_GB2312" w:hAnsi="仿宋_GB2312" w:eastAsia="仿宋_GB2312" w:cs="仿宋_GB2312"/>
          <w:color w:val="auto"/>
          <w:sz w:val="32"/>
          <w:szCs w:val="22"/>
          <w:highlight w:val="none"/>
        </w:rPr>
      </w:pPr>
      <w:r>
        <w:rPr>
          <w:rFonts w:hint="eastAsia" w:ascii="楷体_GB2312" w:hAnsi="Times New Roman" w:eastAsia="楷体_GB2312" w:cs="Times New Roman"/>
          <w:color w:val="auto"/>
          <w:sz w:val="32"/>
          <w:szCs w:val="22"/>
          <w:highlight w:val="none"/>
        </w:rPr>
        <w:t>积极推进消费载体建设。</w:t>
      </w:r>
      <w:r>
        <w:rPr>
          <w:rFonts w:hint="eastAsia" w:ascii="仿宋_GB2312" w:hAnsi="Calibri" w:eastAsia="仿宋_GB2312" w:cs="Times New Roman"/>
          <w:color w:val="auto"/>
          <w:sz w:val="32"/>
          <w:szCs w:val="32"/>
          <w:highlight w:val="none"/>
        </w:rPr>
        <w:t>聚焦滨海一线、马山寨世界设计公园等稀缺资源，高标准整体策划住宿餐饮、休闲娱乐等场景，打造滨海消费场景，提高游客承载力。</w:t>
      </w:r>
      <w:r>
        <w:rPr>
          <w:rFonts w:hint="eastAsia" w:ascii="Times New Roman" w:hAnsi="Times New Roman" w:eastAsia="仿宋_GB2312" w:cs="Times New Roman"/>
          <w:bCs/>
          <w:color w:val="auto"/>
          <w:sz w:val="32"/>
          <w:szCs w:val="22"/>
          <w:highlight w:val="none"/>
        </w:rPr>
        <w:t>加快完善区域商业配套，优化社区级商业中心、高品质商贸综合体布局，构建分层分类的城市商业网络。创新多元化服务消费场景，借鉴“人工智能+消费”建设经验，推动数字化技术融入消费全链条</w:t>
      </w:r>
      <w:r>
        <w:rPr>
          <w:rFonts w:hint="eastAsia" w:ascii="Times New Roman" w:hAnsi="Times New Roman" w:eastAsia="仿宋_GB2312" w:cs="Times New Roman"/>
          <w:bCs/>
          <w:color w:val="auto"/>
          <w:sz w:val="32"/>
          <w:szCs w:val="22"/>
          <w:highlight w:val="none"/>
          <w:lang w:eastAsia="zh-CN"/>
        </w:rPr>
        <w:t>，</w:t>
      </w:r>
      <w:r>
        <w:rPr>
          <w:rFonts w:hint="eastAsia" w:ascii="Times New Roman" w:hAnsi="Times New Roman" w:eastAsia="仿宋_GB2312" w:cs="Times New Roman"/>
          <w:bCs/>
          <w:color w:val="auto"/>
          <w:sz w:val="32"/>
          <w:szCs w:val="22"/>
          <w:highlight w:val="none"/>
        </w:rPr>
        <w:t>积极培育数字消费、绿色消费、体验消费、社交消费等新兴业态。</w:t>
      </w:r>
      <w:r>
        <w:rPr>
          <w:rFonts w:hint="eastAsia" w:ascii="Times New Roman" w:hAnsi="Times New Roman" w:eastAsia="仿宋_GB2312" w:cs="Times New Roman"/>
          <w:color w:val="auto"/>
          <w:sz w:val="32"/>
          <w:szCs w:val="22"/>
          <w:highlight w:val="none"/>
        </w:rPr>
        <w:t>完善高校周边配套服务，规划建设集商业购物、餐饮住宿、休闲娱乐、科研配套于一体的综合性服务设施，形成“校园经济圈”。</w:t>
      </w:r>
      <w:r>
        <w:rPr>
          <w:rFonts w:hint="eastAsia" w:ascii="Times New Roman" w:hAnsi="Times New Roman" w:eastAsia="仿宋_GB2312" w:cs="Times New Roman"/>
          <w:bCs/>
          <w:color w:val="auto"/>
          <w:sz w:val="32"/>
          <w:szCs w:val="22"/>
          <w:highlight w:val="none"/>
        </w:rPr>
        <w:t>谋划智慧街区建设，推动基础设施智能化和业态升级，</w:t>
      </w:r>
      <w:r>
        <w:rPr>
          <w:rFonts w:hint="eastAsia" w:ascii="Times New Roman" w:hAnsi="Times New Roman" w:eastAsia="仿宋_GB2312" w:cs="Times New Roman"/>
          <w:color w:val="auto"/>
          <w:sz w:val="32"/>
          <w:szCs w:val="22"/>
          <w:highlight w:val="none"/>
        </w:rPr>
        <w:t>探索无人驾驶、低空配送等场景，</w:t>
      </w:r>
      <w:r>
        <w:rPr>
          <w:rFonts w:hint="eastAsia" w:ascii="Times New Roman" w:hAnsi="Times New Roman" w:eastAsia="仿宋_GB2312" w:cs="Times New Roman"/>
          <w:bCs/>
          <w:color w:val="auto"/>
          <w:sz w:val="32"/>
          <w:szCs w:val="22"/>
          <w:highlight w:val="none"/>
        </w:rPr>
        <w:t>培育一批智慧商圈。</w:t>
      </w:r>
      <w:r>
        <w:rPr>
          <w:rFonts w:hint="eastAsia" w:ascii="Times New Roman" w:hAnsi="Times New Roman" w:eastAsia="仿宋_GB2312" w:cs="Times New Roman"/>
          <w:color w:val="auto"/>
          <w:sz w:val="32"/>
          <w:szCs w:val="22"/>
          <w:highlight w:val="none"/>
        </w:rPr>
        <w:t>基于人口规模，</w:t>
      </w:r>
      <w:r>
        <w:rPr>
          <w:rFonts w:hint="eastAsia" w:ascii="Times New Roman" w:hAnsi="Times New Roman" w:eastAsia="仿宋_GB2312" w:cs="Times New Roman"/>
          <w:color w:val="auto"/>
          <w:sz w:val="32"/>
          <w:szCs w:val="32"/>
          <w:highlight w:val="none"/>
        </w:rPr>
        <w:t>统筹谋划全龄段亲子娱乐教育综合体、“区域级”大型仓储式超市集群，加大品牌</w:t>
      </w:r>
      <w:r>
        <w:rPr>
          <w:rFonts w:ascii="Times New Roman" w:hAnsi="Times New Roman" w:eastAsia="仿宋_GB2312" w:cs="Times New Roman"/>
          <w:color w:val="auto"/>
          <w:sz w:val="32"/>
          <w:szCs w:val="32"/>
          <w:highlight w:val="none"/>
        </w:rPr>
        <w:t>连锁</w:t>
      </w:r>
      <w:r>
        <w:rPr>
          <w:rFonts w:hint="eastAsia" w:ascii="Times New Roman" w:hAnsi="Times New Roman" w:eastAsia="仿宋_GB2312" w:cs="Times New Roman"/>
          <w:color w:val="auto"/>
          <w:sz w:val="32"/>
          <w:szCs w:val="32"/>
          <w:highlight w:val="none"/>
        </w:rPr>
        <w:t>超市、品质家居生活馆等零售商业品牌招引力度，</w:t>
      </w:r>
      <w:r>
        <w:rPr>
          <w:rFonts w:hint="eastAsia" w:ascii="Times New Roman" w:hAnsi="Times New Roman" w:eastAsia="仿宋_GB2312" w:cs="Times New Roman"/>
          <w:color w:val="auto"/>
          <w:sz w:val="32"/>
          <w:szCs w:val="22"/>
          <w:highlight w:val="none"/>
        </w:rPr>
        <w:t>满足</w:t>
      </w:r>
      <w:r>
        <w:rPr>
          <w:rFonts w:hint="eastAsia" w:ascii="仿宋_GB2312" w:hAnsi="仿宋_GB2312" w:eastAsia="仿宋_GB2312" w:cs="仿宋_GB2312"/>
          <w:color w:val="auto"/>
          <w:sz w:val="32"/>
          <w:szCs w:val="22"/>
          <w:highlight w:val="none"/>
        </w:rPr>
        <w:t>居民购物、餐饮、休闲娱乐、文化教育等</w:t>
      </w:r>
      <w:r>
        <w:rPr>
          <w:rFonts w:hint="eastAsia" w:ascii="Times New Roman" w:hAnsi="Times New Roman" w:eastAsia="仿宋_GB2312" w:cs="Times New Roman"/>
          <w:color w:val="auto"/>
          <w:sz w:val="32"/>
          <w:szCs w:val="22"/>
          <w:highlight w:val="none"/>
        </w:rPr>
        <w:t>多样化消费需求</w:t>
      </w:r>
      <w:r>
        <w:rPr>
          <w:rFonts w:ascii="Times New Roman" w:hAnsi="Times New Roman" w:eastAsia="仿宋_GB2312" w:cs="Times New Roman"/>
          <w:color w:val="auto"/>
          <w:sz w:val="32"/>
          <w:szCs w:val="22"/>
          <w:highlight w:val="none"/>
        </w:rPr>
        <w:t>。</w:t>
      </w:r>
    </w:p>
    <w:p w14:paraId="509DBA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楷体_GB2312" w:hAnsi="Times New Roman" w:eastAsia="楷体_GB2312" w:cs="Times New Roman"/>
          <w:color w:val="auto"/>
          <w:sz w:val="32"/>
          <w:szCs w:val="22"/>
          <w:highlight w:val="none"/>
        </w:rPr>
        <w:t>谋划一批文体娱乐地标项目。</w:t>
      </w:r>
      <w:r>
        <w:rPr>
          <w:rFonts w:hint="eastAsia" w:ascii="仿宋_GB2312" w:hAnsi="仿宋_GB2312" w:eastAsia="仿宋_GB2312" w:cs="仿宋_GB2312"/>
          <w:color w:val="auto"/>
          <w:sz w:val="32"/>
          <w:szCs w:val="32"/>
          <w:highlight w:val="none"/>
        </w:rPr>
        <w:t>深度打造“核电科技IP”，改造提升山东核电科技馆3A级旅游景区，</w:t>
      </w:r>
      <w:r>
        <w:rPr>
          <w:rFonts w:hint="eastAsia" w:ascii="仿宋_GB2312" w:hAnsi="仿宋_GB2312" w:eastAsia="仿宋_GB2312" w:cs="仿宋_GB2312"/>
          <w:color w:val="auto"/>
          <w:sz w:val="32"/>
          <w:szCs w:val="22"/>
          <w:highlight w:val="none"/>
        </w:rPr>
        <w:t>高标准完成天琴湾至鱼鸟河段滨海路两侧片区文旅产业策划规划，协同蓝天集团</w:t>
      </w:r>
      <w:r>
        <w:rPr>
          <w:rFonts w:hint="eastAsia" w:ascii="仿宋_GB2312" w:hAnsi="仿宋_GB2312" w:eastAsia="仿宋_GB2312" w:cs="仿宋_GB2312"/>
          <w:color w:val="auto"/>
          <w:sz w:val="32"/>
          <w:szCs w:val="22"/>
          <w:highlight w:val="none"/>
          <w:lang w:val="en-US" w:eastAsia="zh-CN"/>
        </w:rPr>
        <w:t>推进</w:t>
      </w:r>
      <w:r>
        <w:rPr>
          <w:rFonts w:hint="eastAsia" w:ascii="仿宋_GB2312" w:hAnsi="仿宋_GB2312" w:eastAsia="仿宋_GB2312" w:cs="仿宋_GB2312"/>
          <w:color w:val="auto"/>
          <w:sz w:val="32"/>
          <w:szCs w:val="32"/>
          <w:highlight w:val="none"/>
        </w:rPr>
        <w:t>马山寨世界设计公园</w:t>
      </w:r>
      <w:r>
        <w:rPr>
          <w:rFonts w:hint="eastAsia" w:ascii="仿宋_GB2312" w:hAnsi="仿宋_GB2312" w:eastAsia="仿宋_GB2312" w:cs="仿宋_GB2312"/>
          <w:color w:val="auto"/>
          <w:sz w:val="32"/>
          <w:szCs w:val="32"/>
          <w:highlight w:val="none"/>
          <w:lang w:val="en-US" w:eastAsia="zh-CN"/>
        </w:rPr>
        <w:t>综合开发</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22"/>
          <w:highlight w:val="none"/>
        </w:rPr>
        <w:t>马山寨游艇码头建设，</w:t>
      </w:r>
      <w:r>
        <w:rPr>
          <w:rFonts w:hint="eastAsia" w:ascii="仿宋_GB2312" w:hAnsi="仿宋_GB2312" w:eastAsia="仿宋_GB2312" w:cs="仿宋_GB2312"/>
          <w:color w:val="auto"/>
          <w:sz w:val="32"/>
          <w:szCs w:val="32"/>
          <w:highlight w:val="none"/>
        </w:rPr>
        <w:t>高品质打造“商文旅体”融合发展的文化地标。</w:t>
      </w:r>
      <w:r>
        <w:rPr>
          <w:rFonts w:hint="eastAsia" w:ascii="仿宋_GB2312" w:hAnsi="仿宋_GB2312" w:eastAsia="仿宋_GB2312" w:cs="仿宋_GB2312"/>
          <w:color w:val="auto"/>
          <w:sz w:val="32"/>
          <w:szCs w:val="22"/>
          <w:highlight w:val="none"/>
        </w:rPr>
        <w:t>谋划建设文化艺术中心，打造集科技馆、图书馆、文化馆、美术馆、档案馆、青少年宫、老年活动中心等功能于一体</w:t>
      </w:r>
      <w:r>
        <w:rPr>
          <w:rFonts w:hint="eastAsia" w:ascii="仿宋_GB2312" w:hAnsi="仿宋_GB2312" w:eastAsia="仿宋_GB2312" w:cs="仿宋_GB2312"/>
          <w:color w:val="auto"/>
          <w:sz w:val="32"/>
          <w:szCs w:val="22"/>
          <w:highlight w:val="none"/>
          <w:lang w:val="en-US" w:eastAsia="zh-CN"/>
        </w:rPr>
        <w:t>的</w:t>
      </w:r>
      <w:r>
        <w:rPr>
          <w:rFonts w:hint="eastAsia" w:ascii="仿宋_GB2312" w:hAnsi="仿宋_GB2312" w:eastAsia="仿宋_GB2312" w:cs="仿宋_GB2312"/>
          <w:color w:val="auto"/>
          <w:sz w:val="32"/>
          <w:szCs w:val="22"/>
          <w:highlight w:val="none"/>
        </w:rPr>
        <w:t>“科创文化阵地”。围绕</w:t>
      </w:r>
      <w:r>
        <w:rPr>
          <w:rFonts w:hint="eastAsia" w:ascii="仿宋_GB2312" w:hAnsi="仿宋_GB2312" w:eastAsia="仿宋_GB2312" w:cs="仿宋_GB2312"/>
          <w:color w:val="auto"/>
          <w:sz w:val="32"/>
          <w:szCs w:val="32"/>
          <w:highlight w:val="none"/>
        </w:rPr>
        <w:t>科技文化主题教育基地</w:t>
      </w:r>
      <w:r>
        <w:rPr>
          <w:rFonts w:hint="eastAsia" w:ascii="仿宋_GB2312" w:hAnsi="仿宋_GB2312" w:eastAsia="仿宋_GB2312" w:cs="仿宋_GB2312"/>
          <w:color w:val="auto"/>
          <w:sz w:val="32"/>
          <w:szCs w:val="22"/>
          <w:highlight w:val="none"/>
        </w:rPr>
        <w:t>，充实广场休闲娱乐设施。丰富音乐角、文化驿站、数字博物馆、沉浸式大剧院、数字音乐剧场等新型公共文化空间，推动</w:t>
      </w:r>
      <w:r>
        <w:rPr>
          <w:rFonts w:hint="eastAsia" w:ascii="仿宋_GB2312" w:hAnsi="仿宋_GB2312" w:eastAsia="仿宋_GB2312" w:cs="仿宋_GB2312"/>
          <w:color w:val="auto"/>
          <w:sz w:val="32"/>
          <w:szCs w:val="32"/>
          <w:highlight w:val="none"/>
        </w:rPr>
        <w:t>烟台图书馆海澜分馆、</w:t>
      </w:r>
      <w:r>
        <w:rPr>
          <w:rFonts w:hint="eastAsia" w:ascii="仿宋_GB2312" w:hAnsi="仿宋_GB2312" w:eastAsia="仿宋_GB2312" w:cs="仿宋_GB2312"/>
          <w:color w:val="auto"/>
          <w:sz w:val="32"/>
          <w:szCs w:val="22"/>
          <w:highlight w:val="none"/>
        </w:rPr>
        <w:t>城市书房、都市书房、图书漂流点等阅读空间建设，打造“15分钟公共文化服务圈”。推进体育场地新建与改造升级，丰富体育健身设施空间载体</w:t>
      </w:r>
      <w:r>
        <w:rPr>
          <w:rFonts w:hint="eastAsia" w:ascii="仿宋_GB2312" w:hAnsi="仿宋_GB2312" w:eastAsia="仿宋_GB2312" w:cs="仿宋_GB2312"/>
          <w:color w:val="auto"/>
          <w:sz w:val="32"/>
          <w:szCs w:val="32"/>
          <w:highlight w:val="none"/>
        </w:rPr>
        <w:t>，满足人民群众健身多元化需求。</w:t>
      </w:r>
    </w:p>
    <w:p w14:paraId="21EBC72D">
      <w:pPr>
        <w:spacing w:line="560" w:lineRule="exact"/>
        <w:ind w:firstLine="640" w:firstLineChars="200"/>
        <w:rPr>
          <w:rFonts w:hint="eastAsia" w:ascii="Times New Roman" w:hAnsi="Times New Roman" w:eastAsia="仿宋_GB2312" w:cs="Times New Roman"/>
          <w:color w:val="auto"/>
          <w:sz w:val="32"/>
          <w:szCs w:val="22"/>
          <w:highlight w:val="none"/>
        </w:rPr>
      </w:pPr>
      <w:r>
        <w:rPr>
          <w:rFonts w:hint="eastAsia" w:ascii="楷体_GB2312" w:hAnsi="Times New Roman" w:eastAsia="楷体_GB2312" w:cs="Times New Roman"/>
          <w:color w:val="auto"/>
          <w:sz w:val="32"/>
          <w:szCs w:val="22"/>
          <w:highlight w:val="none"/>
        </w:rPr>
        <w:t>积极拓展消费新业态。</w:t>
      </w:r>
      <w:r>
        <w:rPr>
          <w:rFonts w:ascii="Times New Roman" w:hAnsi="Times New Roman" w:eastAsia="仿宋_GB2312" w:cs="Times New Roman"/>
          <w:color w:val="auto"/>
          <w:sz w:val="32"/>
          <w:szCs w:val="22"/>
          <w:highlight w:val="none"/>
        </w:rPr>
        <w:t>推动</w:t>
      </w:r>
      <w:r>
        <w:rPr>
          <w:rFonts w:hint="eastAsia" w:ascii="Times New Roman" w:hAnsi="Times New Roman" w:eastAsia="仿宋_GB2312" w:cs="Times New Roman"/>
          <w:color w:val="auto"/>
          <w:sz w:val="32"/>
          <w:szCs w:val="22"/>
          <w:highlight w:val="none"/>
        </w:rPr>
        <w:t>“</w:t>
      </w:r>
      <w:r>
        <w:rPr>
          <w:rFonts w:ascii="Times New Roman" w:hAnsi="Times New Roman" w:eastAsia="仿宋_GB2312" w:cs="Times New Roman"/>
          <w:color w:val="auto"/>
          <w:sz w:val="32"/>
          <w:szCs w:val="22"/>
          <w:highlight w:val="none"/>
        </w:rPr>
        <w:t>产业</w:t>
      </w:r>
      <w:r>
        <w:rPr>
          <w:rFonts w:hint="eastAsia" w:ascii="Times New Roman" w:hAnsi="Times New Roman" w:eastAsia="仿宋_GB2312" w:cs="Times New Roman"/>
          <w:color w:val="auto"/>
          <w:sz w:val="32"/>
          <w:szCs w:val="22"/>
          <w:highlight w:val="none"/>
        </w:rPr>
        <w:t>+</w:t>
      </w:r>
      <w:r>
        <w:rPr>
          <w:rFonts w:ascii="Times New Roman" w:hAnsi="Times New Roman" w:eastAsia="仿宋_GB2312" w:cs="Times New Roman"/>
          <w:color w:val="auto"/>
          <w:sz w:val="32"/>
          <w:szCs w:val="22"/>
          <w:highlight w:val="none"/>
        </w:rPr>
        <w:t>消费</w:t>
      </w:r>
      <w:r>
        <w:rPr>
          <w:rFonts w:hint="eastAsia" w:ascii="Times New Roman" w:hAnsi="Times New Roman" w:eastAsia="仿宋_GB2312" w:cs="Times New Roman"/>
          <w:color w:val="auto"/>
          <w:sz w:val="32"/>
          <w:szCs w:val="22"/>
          <w:highlight w:val="none"/>
        </w:rPr>
        <w:t>”</w:t>
      </w:r>
      <w:r>
        <w:rPr>
          <w:rFonts w:ascii="Times New Roman" w:hAnsi="Times New Roman" w:eastAsia="仿宋_GB2312" w:cs="Times New Roman"/>
          <w:color w:val="auto"/>
          <w:sz w:val="32"/>
          <w:szCs w:val="22"/>
          <w:highlight w:val="none"/>
        </w:rPr>
        <w:t>融合</w:t>
      </w:r>
      <w:r>
        <w:rPr>
          <w:rFonts w:hint="eastAsia" w:ascii="Times New Roman" w:hAnsi="Times New Roman" w:eastAsia="仿宋_GB2312" w:cs="Times New Roman"/>
          <w:color w:val="auto"/>
          <w:sz w:val="32"/>
          <w:szCs w:val="22"/>
          <w:highlight w:val="none"/>
        </w:rPr>
        <w:t>发展，</w:t>
      </w:r>
      <w:r>
        <w:rPr>
          <w:rFonts w:ascii="Times New Roman" w:hAnsi="Times New Roman" w:eastAsia="仿宋_GB2312" w:cs="Times New Roman"/>
          <w:color w:val="auto"/>
          <w:sz w:val="32"/>
          <w:szCs w:val="22"/>
          <w:highlight w:val="none"/>
        </w:rPr>
        <w:t>针对品质消费、</w:t>
      </w:r>
      <w:r>
        <w:rPr>
          <w:rFonts w:hint="eastAsia" w:ascii="Times New Roman" w:hAnsi="Times New Roman" w:eastAsia="仿宋_GB2312" w:cs="Times New Roman"/>
          <w:color w:val="auto"/>
          <w:sz w:val="32"/>
          <w:szCs w:val="22"/>
          <w:highlight w:val="none"/>
        </w:rPr>
        <w:t>健康消费</w:t>
      </w:r>
      <w:r>
        <w:rPr>
          <w:rFonts w:ascii="Times New Roman" w:hAnsi="Times New Roman" w:eastAsia="仿宋_GB2312" w:cs="Times New Roman"/>
          <w:color w:val="auto"/>
          <w:sz w:val="32"/>
          <w:szCs w:val="22"/>
          <w:highlight w:val="none"/>
        </w:rPr>
        <w:t>、婴童经济等热点，</w:t>
      </w:r>
      <w:r>
        <w:rPr>
          <w:rFonts w:hint="eastAsia" w:ascii="Times New Roman" w:hAnsi="Times New Roman" w:eastAsia="仿宋_GB2312" w:cs="Times New Roman"/>
          <w:color w:val="auto"/>
          <w:sz w:val="32"/>
          <w:szCs w:val="22"/>
          <w:highlight w:val="none"/>
        </w:rPr>
        <w:t>支持企业探索推出健康管理、</w:t>
      </w:r>
      <w:r>
        <w:rPr>
          <w:rFonts w:hint="eastAsia" w:ascii="仿宋_GB2312" w:hAnsi="Times New Roman" w:eastAsia="仿宋_GB2312" w:cs="Times New Roman"/>
          <w:color w:val="auto"/>
          <w:sz w:val="32"/>
          <w:szCs w:val="22"/>
          <w:highlight w:val="none"/>
        </w:rPr>
        <w:t>医疗康养、</w:t>
      </w:r>
      <w:r>
        <w:rPr>
          <w:rFonts w:ascii="Times New Roman" w:hAnsi="Times New Roman" w:eastAsia="仿宋_GB2312" w:cs="Times New Roman"/>
          <w:color w:val="auto"/>
          <w:sz w:val="32"/>
          <w:szCs w:val="22"/>
          <w:highlight w:val="none"/>
        </w:rPr>
        <w:t>母婴护理、</w:t>
      </w:r>
      <w:r>
        <w:rPr>
          <w:rFonts w:hint="eastAsia" w:ascii="仿宋_GB2312" w:hAnsi="Times New Roman" w:eastAsia="仿宋_GB2312" w:cs="Times New Roman"/>
          <w:color w:val="auto"/>
          <w:sz w:val="32"/>
          <w:szCs w:val="22"/>
          <w:highlight w:val="none"/>
        </w:rPr>
        <w:t>智能电子体验等“产业+消费”产品，</w:t>
      </w:r>
      <w:r>
        <w:rPr>
          <w:rFonts w:ascii="Times New Roman" w:hAnsi="Times New Roman" w:eastAsia="仿宋_GB2312" w:cs="Times New Roman"/>
          <w:color w:val="auto"/>
          <w:sz w:val="32"/>
          <w:szCs w:val="22"/>
          <w:highlight w:val="none"/>
        </w:rPr>
        <w:t>满足多样化高品质</w:t>
      </w:r>
      <w:r>
        <w:rPr>
          <w:rFonts w:hint="eastAsia" w:ascii="Times New Roman" w:hAnsi="Times New Roman" w:eastAsia="仿宋_GB2312" w:cs="Times New Roman"/>
          <w:color w:val="auto"/>
          <w:sz w:val="32"/>
          <w:szCs w:val="22"/>
          <w:highlight w:val="none"/>
        </w:rPr>
        <w:t>消费</w:t>
      </w:r>
      <w:r>
        <w:rPr>
          <w:rFonts w:ascii="Times New Roman" w:hAnsi="Times New Roman" w:eastAsia="仿宋_GB2312" w:cs="Times New Roman"/>
          <w:color w:val="auto"/>
          <w:sz w:val="32"/>
          <w:szCs w:val="22"/>
          <w:highlight w:val="none"/>
        </w:rPr>
        <w:t>需求。</w:t>
      </w:r>
      <w:r>
        <w:rPr>
          <w:rFonts w:hint="eastAsia" w:ascii="Times New Roman" w:hAnsi="Times New Roman" w:eastAsia="仿宋_GB2312" w:cs="Times New Roman"/>
          <w:color w:val="auto"/>
          <w:sz w:val="32"/>
          <w:szCs w:val="32"/>
          <w:highlight w:val="none"/>
        </w:rPr>
        <w:t>实施全域旅游精品工程，聚焦深海深空科技展览、海上海岛观光、滨海滨水乡村游等特色旅游元素，挖掘培育一批具有吸引力的主题旅游精品线路，丰富旅游产品供给。依托</w:t>
      </w:r>
      <w:r>
        <w:rPr>
          <w:rFonts w:ascii="Times New Roman" w:hAnsi="Times New Roman" w:eastAsia="仿宋_GB2312" w:cs="Times New Roman"/>
          <w:color w:val="auto"/>
          <w:sz w:val="32"/>
          <w:szCs w:val="32"/>
          <w:highlight w:val="none"/>
        </w:rPr>
        <w:t>山东航天科技展馆、山东核电科技馆</w:t>
      </w:r>
      <w:r>
        <w:rPr>
          <w:rFonts w:hint="eastAsia" w:ascii="Times New Roman" w:hAnsi="Times New Roman" w:eastAsia="仿宋_GB2312" w:cs="Times New Roman"/>
          <w:color w:val="auto"/>
          <w:sz w:val="32"/>
          <w:szCs w:val="32"/>
          <w:highlight w:val="none"/>
        </w:rPr>
        <w:t>等载体，做强空天、能源等领域产业展览品牌，探索发展工业游、科技游、研学游等旅游业态。</w:t>
      </w:r>
      <w:r>
        <w:rPr>
          <w:rFonts w:ascii="Times New Roman" w:hAnsi="Times New Roman" w:eastAsia="仿宋_GB2312" w:cs="Times New Roman"/>
          <w:color w:val="auto"/>
          <w:sz w:val="32"/>
          <w:szCs w:val="22"/>
          <w:highlight w:val="none"/>
        </w:rPr>
        <w:t>壮大数字消费，推动数字内容、在线服务、智能消费等领域发展，培育数字文创、直播电商等新型消费模式</w:t>
      </w:r>
      <w:r>
        <w:rPr>
          <w:rFonts w:hint="eastAsia" w:ascii="Times New Roman" w:hAnsi="Times New Roman" w:eastAsia="仿宋_GB2312" w:cs="Times New Roman"/>
          <w:color w:val="auto"/>
          <w:sz w:val="32"/>
          <w:szCs w:val="22"/>
          <w:highlight w:val="none"/>
        </w:rPr>
        <w:t>。</w:t>
      </w:r>
    </w:p>
    <w:p w14:paraId="792F895E">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142" w:name="_Toc17363"/>
      <w:bookmarkStart w:id="143" w:name="_Toc11521"/>
      <w:bookmarkStart w:id="144" w:name="_Toc24243"/>
      <w:bookmarkStart w:id="145" w:name="_Toc16272"/>
      <w:r>
        <w:rPr>
          <w:rFonts w:hint="eastAsia" w:ascii="黑体" w:hAnsi="黑体" w:eastAsia="黑体" w:cs="Times New Roman"/>
          <w:b w:val="0"/>
          <w:bCs w:val="0"/>
          <w:color w:val="auto"/>
          <w:kern w:val="2"/>
          <w:sz w:val="32"/>
          <w:szCs w:val="32"/>
          <w:lang w:val="en-US" w:eastAsia="zh-CN" w:bidi="ar-SA"/>
        </w:rPr>
        <w:t>第二节  全面提高投资质效</w:t>
      </w:r>
      <w:bookmarkEnd w:id="142"/>
      <w:bookmarkEnd w:id="143"/>
      <w:bookmarkEnd w:id="144"/>
      <w:bookmarkEnd w:id="145"/>
    </w:p>
    <w:p w14:paraId="3EAC9B4F">
      <w:pPr>
        <w:spacing w:line="560" w:lineRule="exact"/>
        <w:ind w:firstLine="640" w:firstLineChars="200"/>
        <w:rPr>
          <w:rFonts w:ascii="Times New Roman" w:hAnsi="Times New Roman" w:eastAsia="仿宋_GB2312" w:cs="Times New Roman"/>
          <w:color w:val="auto"/>
          <w:sz w:val="32"/>
          <w:szCs w:val="22"/>
        </w:rPr>
      </w:pPr>
      <w:r>
        <w:rPr>
          <w:rFonts w:hint="eastAsia" w:ascii="Times New Roman" w:hAnsi="Times New Roman" w:eastAsia="仿宋_GB2312" w:cs="Times New Roman"/>
          <w:color w:val="auto"/>
          <w:sz w:val="32"/>
          <w:szCs w:val="22"/>
        </w:rPr>
        <w:t>坚持</w:t>
      </w:r>
      <w:r>
        <w:rPr>
          <w:rFonts w:ascii="Times New Roman" w:hAnsi="Times New Roman" w:eastAsia="仿宋_GB2312" w:cs="Times New Roman"/>
          <w:color w:val="auto"/>
          <w:sz w:val="32"/>
          <w:szCs w:val="22"/>
        </w:rPr>
        <w:t>投资于物和投资于人紧密结合，强化投资对稳增长、调结构的关键作用</w:t>
      </w:r>
      <w:r>
        <w:rPr>
          <w:rFonts w:hint="eastAsia" w:ascii="Times New Roman" w:hAnsi="Times New Roman" w:eastAsia="仿宋_GB2312" w:cs="Times New Roman"/>
          <w:color w:val="auto"/>
          <w:sz w:val="32"/>
          <w:szCs w:val="22"/>
        </w:rPr>
        <w:t>，发挥好重大项目牵引和政府投资撬动作用，</w:t>
      </w:r>
      <w:r>
        <w:rPr>
          <w:rFonts w:ascii="Times New Roman" w:hAnsi="Times New Roman" w:eastAsia="仿宋_GB2312" w:cs="Times New Roman"/>
          <w:color w:val="auto"/>
          <w:sz w:val="32"/>
          <w:szCs w:val="22"/>
        </w:rPr>
        <w:t>保持投资合理增长，提高投资效益。</w:t>
      </w:r>
    </w:p>
    <w:p w14:paraId="397C4A3C">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highlight w:val="none"/>
        </w:rPr>
        <w:t>优化政府投资结构。</w:t>
      </w:r>
      <w:r>
        <w:rPr>
          <w:rFonts w:ascii="Times New Roman" w:hAnsi="Times New Roman" w:eastAsia="仿宋_GB2312" w:cs="Times New Roman"/>
          <w:color w:val="auto"/>
          <w:sz w:val="32"/>
          <w:szCs w:val="22"/>
        </w:rPr>
        <w:t>适应人口结构变化和流动趋势，发挥政府投资基金引导带动作用，加大教育、医疗、养老、托育等领域投资力度，完善基础设施和公共服务设施布局，不断提升人力资本积累和公共服务供给质量</w:t>
      </w:r>
      <w:r>
        <w:rPr>
          <w:rFonts w:hint="eastAsia" w:ascii="Times New Roman" w:hAnsi="Times New Roman" w:eastAsia="仿宋_GB2312" w:cs="Times New Roman"/>
          <w:color w:val="auto"/>
          <w:sz w:val="32"/>
          <w:szCs w:val="22"/>
        </w:rPr>
        <w:t>。</w:t>
      </w:r>
      <w:r>
        <w:rPr>
          <w:rFonts w:ascii="Times New Roman" w:hAnsi="Times New Roman" w:eastAsia="仿宋_GB2312" w:cs="Times New Roman"/>
          <w:color w:val="auto"/>
          <w:sz w:val="32"/>
          <w:szCs w:val="22"/>
        </w:rPr>
        <w:t>鼓励投资推动转型升级的重点项目，支持新型基础设施布局，加大以数智化、绿色化转型为导向的技术改造投资。构建</w:t>
      </w:r>
      <w:r>
        <w:rPr>
          <w:rFonts w:hint="eastAsia" w:ascii="Times New Roman" w:hAnsi="Times New Roman" w:eastAsia="仿宋_GB2312" w:cs="Times New Roman"/>
          <w:color w:val="auto"/>
          <w:sz w:val="32"/>
          <w:szCs w:val="22"/>
        </w:rPr>
        <w:t>“十</w:t>
      </w:r>
      <w:r>
        <w:rPr>
          <w:rFonts w:ascii="Times New Roman" w:hAnsi="Times New Roman" w:eastAsia="仿宋_GB2312" w:cs="Times New Roman"/>
          <w:color w:val="auto"/>
          <w:sz w:val="32"/>
          <w:szCs w:val="22"/>
        </w:rPr>
        <w:t>五五”规划重大项目库，健全项目谋划、储备、推进机制。</w:t>
      </w:r>
      <w:r>
        <w:rPr>
          <w:rFonts w:hint="eastAsia" w:ascii="Times New Roman" w:hAnsi="Times New Roman" w:eastAsia="仿宋_GB2312" w:cs="Times New Roman"/>
          <w:color w:val="auto"/>
          <w:sz w:val="32"/>
          <w:szCs w:val="22"/>
        </w:rPr>
        <w:t>强化财政承受能力评估，完善投入保障长效机制。</w:t>
      </w:r>
    </w:p>
    <w:p w14:paraId="24F34BA1">
      <w:pPr>
        <w:spacing w:line="560" w:lineRule="exact"/>
        <w:ind w:firstLine="640" w:firstLineChars="200"/>
        <w:rPr>
          <w:rFonts w:hint="eastAsia" w:ascii="Times New Roman" w:hAnsi="Times New Roman" w:eastAsia="仿宋_GB2312" w:cs="Times New Roman"/>
          <w:color w:val="auto"/>
          <w:sz w:val="32"/>
          <w:szCs w:val="22"/>
          <w:highlight w:val="none"/>
        </w:rPr>
      </w:pPr>
      <w:r>
        <w:rPr>
          <w:rFonts w:hint="eastAsia" w:ascii="楷体_GB2312" w:hAnsi="Times New Roman" w:eastAsia="楷体_GB2312" w:cs="Times New Roman"/>
          <w:b w:val="0"/>
          <w:bCs w:val="0"/>
          <w:color w:val="auto"/>
          <w:sz w:val="32"/>
          <w:szCs w:val="22"/>
          <w:highlight w:val="none"/>
        </w:rPr>
        <w:t>激发民间投资活力。</w:t>
      </w:r>
      <w:r>
        <w:rPr>
          <w:rFonts w:ascii="Times New Roman" w:hAnsi="Times New Roman" w:eastAsia="仿宋_GB2312" w:cs="Times New Roman"/>
          <w:b w:val="0"/>
          <w:bCs w:val="0"/>
          <w:color w:val="auto"/>
          <w:sz w:val="32"/>
          <w:szCs w:val="22"/>
        </w:rPr>
        <w:t>完善民营企业参与重大项目建设长效机制，提高民间投资比重，促进民间投资与政府投资协调联动，增强市场主导的有效投资增长动力。</w:t>
      </w:r>
      <w:r>
        <w:rPr>
          <w:rFonts w:ascii="Times New Roman" w:hAnsi="Times New Roman" w:eastAsia="仿宋_GB2312" w:cs="Times New Roman"/>
          <w:color w:val="auto"/>
          <w:sz w:val="32"/>
          <w:szCs w:val="22"/>
        </w:rPr>
        <w:t>完善基础设施维护和更新改造的资金统筹、</w:t>
      </w:r>
      <w:r>
        <w:rPr>
          <w:rFonts w:ascii="Times New Roman" w:hAnsi="Times New Roman" w:eastAsia="仿宋_GB2312" w:cs="Times New Roman"/>
          <w:color w:val="auto"/>
          <w:sz w:val="32"/>
          <w:szCs w:val="22"/>
          <w:highlight w:val="none"/>
        </w:rPr>
        <w:t>保障和增长机制，加大城市基础设施等民间投资重点领域开放力度。创新投融资机制，引导民间资本合规参与存量资产盘活，形成存量资产和新增投资良性循环。</w:t>
      </w:r>
      <w:r>
        <w:rPr>
          <w:rFonts w:hint="eastAsia" w:ascii="仿宋_GB2312" w:hAnsi="仿宋_GB2312" w:eastAsia="仿宋_GB2312" w:cs="仿宋_GB2312"/>
          <w:color w:val="auto"/>
          <w:sz w:val="32"/>
          <w:szCs w:val="22"/>
          <w:highlight w:val="none"/>
        </w:rPr>
        <w:t>支持民营企业积极参与“两重”建设和“两新”领域投资，形成市场主导的投资内生增长机制。</w:t>
      </w:r>
    </w:p>
    <w:p w14:paraId="73383E54">
      <w:pPr>
        <w:widowControl/>
        <w:spacing w:line="560" w:lineRule="exact"/>
        <w:ind w:firstLine="640" w:firstLineChars="200"/>
        <w:jc w:val="both"/>
        <w:rPr>
          <w:rFonts w:hint="eastAsia" w:ascii="仿宋_GB2312" w:hAnsi="仿宋_GB2312" w:eastAsia="仿宋_GB2312" w:cs="仿宋_GB2312"/>
          <w:color w:val="auto"/>
          <w:sz w:val="32"/>
          <w:szCs w:val="22"/>
          <w:highlight w:val="none"/>
        </w:rPr>
      </w:pPr>
      <w:r>
        <w:rPr>
          <w:rFonts w:hint="eastAsia" w:ascii="楷体_GB2312" w:hAnsi="Times New Roman" w:eastAsia="楷体_GB2312" w:cs="Times New Roman"/>
          <w:color w:val="auto"/>
          <w:sz w:val="32"/>
          <w:szCs w:val="22"/>
          <w:highlight w:val="none"/>
        </w:rPr>
        <w:t>推进重大项目招引落地。</w:t>
      </w:r>
      <w:r>
        <w:rPr>
          <w:rFonts w:hint="eastAsia" w:ascii="仿宋_GB2312" w:hAnsi="仿宋_GB2312" w:eastAsia="仿宋_GB2312" w:cs="仿宋_GB2312"/>
          <w:color w:val="auto"/>
          <w:kern w:val="2"/>
          <w:sz w:val="32"/>
          <w:szCs w:val="22"/>
          <w:highlight w:val="none"/>
          <w:lang w:val="en-US" w:eastAsia="zh-CN" w:bidi="ar"/>
        </w:rPr>
        <w:t>围绕落实国家重大战略和省委、市委决策部署，加强提振消费、科技创新、先进制造、绿色低碳、城市更新等重点领域项目谋划论证，强化要素保障支撑，落地实施更多具有标志性、引领性、前瞻性的大项目好项目。</w:t>
      </w:r>
      <w:r>
        <w:rPr>
          <w:rFonts w:hint="eastAsia" w:ascii="仿宋_GB2312" w:hAnsi="仿宋_GB2312" w:eastAsia="仿宋_GB2312" w:cs="仿宋_GB2312"/>
          <w:color w:val="auto"/>
          <w:sz w:val="32"/>
          <w:szCs w:val="22"/>
          <w:highlight w:val="none"/>
        </w:rPr>
        <w:t>加大招大引强力度，聚焦主导产业领域，瞄准世界500强、中国500强、民营500强企业和行业龙头企业，重点引进</w:t>
      </w:r>
      <w:r>
        <w:rPr>
          <w:rFonts w:hint="eastAsia" w:ascii="仿宋_GB2312" w:hAnsi="仿宋_GB2312" w:eastAsia="仿宋_GB2312" w:cs="仿宋_GB2312"/>
          <w:color w:val="auto"/>
          <w:sz w:val="32"/>
          <w:szCs w:val="22"/>
          <w:highlight w:val="none"/>
          <w:lang w:val="en-US" w:eastAsia="zh-CN"/>
        </w:rPr>
        <w:t>投资</w:t>
      </w:r>
      <w:r>
        <w:rPr>
          <w:rFonts w:hint="eastAsia" w:ascii="仿宋_GB2312" w:hAnsi="仿宋_GB2312" w:eastAsia="仿宋_GB2312" w:cs="仿宋_GB2312"/>
          <w:color w:val="auto"/>
          <w:sz w:val="32"/>
          <w:szCs w:val="22"/>
          <w:highlight w:val="none"/>
        </w:rPr>
        <w:t>5</w:t>
      </w:r>
      <w:r>
        <w:rPr>
          <w:rFonts w:hint="eastAsia" w:ascii="仿宋_GB2312" w:hAnsi="仿宋_GB2312" w:eastAsia="仿宋_GB2312" w:cs="仿宋_GB2312"/>
          <w:color w:val="auto"/>
          <w:sz w:val="32"/>
          <w:szCs w:val="22"/>
          <w:highlight w:val="none"/>
          <w:lang w:eastAsia="zh-CN"/>
        </w:rPr>
        <w:t>亿元</w:t>
      </w:r>
      <w:r>
        <w:rPr>
          <w:rFonts w:hint="eastAsia" w:ascii="仿宋_GB2312" w:hAnsi="仿宋_GB2312" w:eastAsia="仿宋_GB2312" w:cs="仿宋_GB2312"/>
          <w:color w:val="auto"/>
          <w:sz w:val="32"/>
          <w:szCs w:val="22"/>
          <w:highlight w:val="none"/>
        </w:rPr>
        <w:t>以上、科技含量高的产业支柱项目和高新技术项目，争取落地一批</w:t>
      </w:r>
      <w:r>
        <w:rPr>
          <w:rFonts w:hint="eastAsia" w:ascii="仿宋_GB2312" w:hAnsi="仿宋_GB2312" w:eastAsia="仿宋_GB2312" w:cs="仿宋_GB2312"/>
          <w:color w:val="auto"/>
          <w:sz w:val="32"/>
          <w:szCs w:val="22"/>
          <w:highlight w:val="none"/>
          <w:lang w:val="en-US" w:eastAsia="zh-CN"/>
        </w:rPr>
        <w:t>投资</w:t>
      </w:r>
      <w:r>
        <w:rPr>
          <w:rFonts w:hint="eastAsia" w:ascii="仿宋_GB2312" w:hAnsi="仿宋_GB2312" w:eastAsia="仿宋_GB2312" w:cs="仿宋_GB2312"/>
          <w:color w:val="auto"/>
          <w:sz w:val="32"/>
          <w:szCs w:val="22"/>
          <w:highlight w:val="none"/>
        </w:rPr>
        <w:t>10亿元以上的重大产业项目。强力推进项目建设，强化顶层设计与资源配置，建立产业项目“招引、落地、投达”闭环跟踪问效工作机制，实施全生命周期穿透式管理，确保项目稳步快速推进。</w:t>
      </w:r>
    </w:p>
    <w:p w14:paraId="0FD6FB53">
      <w:pPr>
        <w:keepNext/>
        <w:keepLines/>
        <w:widowControl w:val="0"/>
        <w:spacing w:before="217" w:beforeLines="50" w:after="217" w:afterLines="50" w:line="560" w:lineRule="exact"/>
        <w:ind w:firstLine="0" w:firstLineChars="0"/>
        <w:jc w:val="center"/>
        <w:outlineLvl w:val="0"/>
        <w:rPr>
          <w:rFonts w:hint="eastAsia" w:ascii="方正小标宋简体" w:hAnsi="方正小标宋简体" w:eastAsia="方正小标宋简体" w:cs="方正小标宋简体"/>
          <w:bCs/>
          <w:color w:val="auto"/>
          <w:kern w:val="44"/>
          <w:sz w:val="36"/>
          <w:szCs w:val="48"/>
          <w:highlight w:val="none"/>
          <w:lang w:val="en-US" w:eastAsia="zh-CN" w:bidi="ar-SA"/>
        </w:rPr>
      </w:pPr>
      <w:bookmarkStart w:id="146" w:name="_Toc230591552"/>
      <w:bookmarkStart w:id="147" w:name="_Toc22296"/>
      <w:bookmarkStart w:id="148" w:name="_Toc230188714"/>
      <w:bookmarkStart w:id="149" w:name="_Toc3016"/>
      <w:bookmarkStart w:id="150" w:name="_Toc16278"/>
      <w:bookmarkStart w:id="151" w:name="_Toc30996"/>
      <w:r>
        <w:rPr>
          <w:rFonts w:hint="eastAsia" w:ascii="方正小标宋简体" w:hAnsi="方正小标宋简体" w:eastAsia="方正小标宋简体" w:cs="方正小标宋简体"/>
          <w:bCs/>
          <w:color w:val="auto"/>
          <w:kern w:val="44"/>
          <w:sz w:val="36"/>
          <w:szCs w:val="48"/>
          <w:highlight w:val="none"/>
          <w:lang w:val="en-US" w:eastAsia="zh-CN" w:bidi="ar-SA"/>
        </w:rPr>
        <w:t>第五章 推动改革开放融通发展，打造</w:t>
      </w:r>
      <w:bookmarkEnd w:id="135"/>
      <w:r>
        <w:rPr>
          <w:rFonts w:hint="eastAsia" w:ascii="方正小标宋简体" w:hAnsi="方正小标宋简体" w:eastAsia="方正小标宋简体" w:cs="方正小标宋简体"/>
          <w:bCs/>
          <w:color w:val="auto"/>
          <w:kern w:val="44"/>
          <w:sz w:val="36"/>
          <w:szCs w:val="48"/>
          <w:highlight w:val="none"/>
          <w:lang w:val="en-US" w:eastAsia="zh-CN" w:bidi="ar-SA"/>
        </w:rPr>
        <w:t>活力经济兴业沃土</w:t>
      </w:r>
      <w:bookmarkEnd w:id="146"/>
      <w:bookmarkEnd w:id="147"/>
      <w:bookmarkEnd w:id="148"/>
      <w:bookmarkEnd w:id="149"/>
      <w:bookmarkEnd w:id="150"/>
      <w:bookmarkEnd w:id="151"/>
    </w:p>
    <w:p w14:paraId="45746AE8">
      <w:pPr>
        <w:spacing w:line="560" w:lineRule="exact"/>
        <w:ind w:firstLine="640" w:firstLineChars="200"/>
        <w:rPr>
          <w:rFonts w:ascii="Times New Roman" w:hAnsi="Times New Roman" w:eastAsia="仿宋_GB2312" w:cs="Times New Roman"/>
          <w:color w:val="auto"/>
          <w:sz w:val="32"/>
          <w:szCs w:val="22"/>
          <w:highlight w:val="none"/>
        </w:rPr>
      </w:pPr>
      <w:r>
        <w:rPr>
          <w:rFonts w:hint="eastAsia" w:ascii="Times New Roman" w:hAnsi="Times New Roman" w:eastAsia="仿宋_GB2312" w:cs="Times New Roman"/>
          <w:color w:val="auto"/>
          <w:sz w:val="32"/>
          <w:szCs w:val="22"/>
          <w:highlight w:val="none"/>
        </w:rPr>
        <w:t>以改革创新为动力，优化资本、场景、数据、土地等各类要素市场化配置，稳妥推进国企事业单位改革，强化区域协同发展，打造一流的营商环境，持续增强发展动力和活力。</w:t>
      </w:r>
    </w:p>
    <w:p w14:paraId="1E361243">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highlight w:val="none"/>
          <w:lang w:val="en-US" w:eastAsia="zh-CN" w:bidi="ar-SA"/>
        </w:rPr>
      </w:pPr>
      <w:bookmarkStart w:id="152" w:name="_Toc23088"/>
      <w:bookmarkStart w:id="153" w:name="_Toc12013"/>
      <w:bookmarkStart w:id="154" w:name="_Toc230188715"/>
      <w:bookmarkStart w:id="155" w:name="_Toc22603"/>
      <w:bookmarkStart w:id="156" w:name="_Toc16620"/>
      <w:bookmarkStart w:id="157" w:name="_Toc230591553"/>
      <w:r>
        <w:rPr>
          <w:rFonts w:hint="eastAsia" w:ascii="黑体" w:hAnsi="黑体" w:eastAsia="黑体" w:cs="Times New Roman"/>
          <w:b w:val="0"/>
          <w:bCs w:val="0"/>
          <w:color w:val="auto"/>
          <w:kern w:val="2"/>
          <w:sz w:val="32"/>
          <w:szCs w:val="32"/>
          <w:highlight w:val="none"/>
          <w:lang w:val="en-US" w:eastAsia="zh-CN" w:bidi="ar-SA"/>
        </w:rPr>
        <w:t>第一节  深入推进市场化改革创新</w:t>
      </w:r>
      <w:bookmarkEnd w:id="152"/>
      <w:bookmarkEnd w:id="153"/>
      <w:bookmarkEnd w:id="154"/>
      <w:bookmarkEnd w:id="155"/>
      <w:bookmarkEnd w:id="156"/>
      <w:bookmarkEnd w:id="157"/>
    </w:p>
    <w:p w14:paraId="1B674EDD">
      <w:pPr>
        <w:spacing w:line="560" w:lineRule="exact"/>
        <w:ind w:firstLine="640" w:firstLineChars="200"/>
        <w:rPr>
          <w:rFonts w:hint="eastAsia" w:ascii="仿宋_GB2312" w:hAnsi="仿宋_GB2312" w:eastAsia="仿宋_GB2312" w:cs="仿宋_GB2312"/>
          <w:color w:val="auto"/>
          <w:sz w:val="32"/>
          <w:szCs w:val="32"/>
        </w:rPr>
      </w:pPr>
      <w:r>
        <w:rPr>
          <w:rFonts w:hint="eastAsia" w:ascii="楷体_GB2312" w:hAnsi="Times New Roman" w:eastAsia="楷体_GB2312" w:cs="Times New Roman"/>
          <w:color w:val="auto"/>
          <w:sz w:val="32"/>
          <w:szCs w:val="22"/>
          <w:highlight w:val="none"/>
        </w:rPr>
        <w:t>完善各类要素市场化配置。</w:t>
      </w:r>
      <w:r>
        <w:rPr>
          <w:rFonts w:hint="eastAsia" w:ascii="仿宋_GB2312" w:hAnsi="仿宋_GB2312" w:eastAsia="仿宋_GB2312" w:cs="仿宋_GB2312"/>
          <w:color w:val="auto"/>
          <w:sz w:val="32"/>
          <w:szCs w:val="32"/>
          <w:highlight w:val="none"/>
        </w:rPr>
        <w:t>坚持重点突破、协同推进，开展要素市场化配置差别化改革，促进各类要素资源畅通流动、高效配置，建立生产要素向新质生产力集聚机制。</w:t>
      </w:r>
      <w:r>
        <w:rPr>
          <w:rFonts w:hint="eastAsia" w:ascii="仿宋_GB2312" w:hAnsi="仿宋_GB2312" w:eastAsia="仿宋_GB2312" w:cs="仿宋_GB2312"/>
          <w:color w:val="auto"/>
          <w:sz w:val="32"/>
          <w:szCs w:val="32"/>
          <w:highlight w:val="none"/>
          <w:lang w:val="en-US" w:eastAsia="zh-CN"/>
        </w:rPr>
        <w:t>强化</w:t>
      </w:r>
      <w:r>
        <w:rPr>
          <w:rFonts w:ascii="Times New Roman" w:hAnsi="Times New Roman" w:eastAsia="仿宋_GB2312" w:cs="Times New Roman"/>
          <w:color w:val="auto"/>
          <w:sz w:val="32"/>
          <w:szCs w:val="22"/>
          <w:highlight w:val="none"/>
        </w:rPr>
        <w:t>资本要素</w:t>
      </w:r>
      <w:r>
        <w:rPr>
          <w:rFonts w:hint="eastAsia" w:ascii="Times New Roman" w:hAnsi="Times New Roman" w:eastAsia="仿宋_GB2312" w:cs="Times New Roman"/>
          <w:color w:val="auto"/>
          <w:sz w:val="32"/>
          <w:szCs w:val="22"/>
          <w:highlight w:val="none"/>
          <w:lang w:val="en-US" w:eastAsia="zh-CN"/>
        </w:rPr>
        <w:t>赋能</w:t>
      </w:r>
      <w:r>
        <w:rPr>
          <w:rFonts w:ascii="Times New Roman" w:hAnsi="Times New Roman" w:eastAsia="仿宋_GB2312" w:cs="Times New Roman"/>
          <w:color w:val="auto"/>
          <w:sz w:val="32"/>
          <w:szCs w:val="22"/>
          <w:highlight w:val="none"/>
        </w:rPr>
        <w:t>实体经济，</w:t>
      </w:r>
      <w:r>
        <w:rPr>
          <w:rFonts w:hint="eastAsia" w:ascii="Times New Roman" w:hAnsi="Times New Roman" w:eastAsia="仿宋_GB2312" w:cs="Times New Roman"/>
          <w:color w:val="auto"/>
          <w:sz w:val="32"/>
          <w:szCs w:val="22"/>
          <w:highlight w:val="none"/>
        </w:rPr>
        <w:t>支持现有产业投资基金</w:t>
      </w:r>
      <w:r>
        <w:rPr>
          <w:rFonts w:hint="eastAsia" w:ascii="Times New Roman" w:hAnsi="Times New Roman" w:eastAsia="仿宋_GB2312" w:cs="Times New Roman"/>
          <w:color w:val="auto"/>
          <w:sz w:val="32"/>
          <w:szCs w:val="22"/>
          <w:highlight w:val="none"/>
          <w:lang w:eastAsia="zh-CN"/>
        </w:rPr>
        <w:t>，</w:t>
      </w:r>
      <w:r>
        <w:rPr>
          <w:rFonts w:hint="eastAsia" w:ascii="Times New Roman" w:hAnsi="Times New Roman" w:eastAsia="仿宋_GB2312" w:cs="Times New Roman"/>
          <w:color w:val="auto"/>
          <w:sz w:val="32"/>
          <w:szCs w:val="22"/>
          <w:highlight w:val="none"/>
        </w:rPr>
        <w:t>以“投孵联动”“招投联动”等模式推进重点项目招引。</w:t>
      </w:r>
      <w:r>
        <w:rPr>
          <w:rFonts w:hint="eastAsia" w:ascii="仿宋_GB2312" w:hAnsi="Times New Roman" w:eastAsia="仿宋_GB2312" w:cs="Times New Roman"/>
          <w:color w:val="auto"/>
          <w:sz w:val="32"/>
          <w:szCs w:val="22"/>
          <w:highlight w:val="none"/>
        </w:rPr>
        <w:t>强化土地要素</w:t>
      </w:r>
      <w:r>
        <w:rPr>
          <w:rFonts w:hint="eastAsia" w:ascii="仿宋_GB2312" w:hAnsi="Times New Roman" w:eastAsia="仿宋_GB2312" w:cs="Times New Roman"/>
          <w:color w:val="auto"/>
          <w:sz w:val="32"/>
          <w:szCs w:val="22"/>
          <w:highlight w:val="none"/>
          <w:lang w:val="en-US" w:eastAsia="zh-CN"/>
        </w:rPr>
        <w:t>保障能力</w:t>
      </w:r>
      <w:r>
        <w:rPr>
          <w:rFonts w:hint="eastAsia" w:ascii="仿宋_GB2312" w:hAnsi="Times New Roman" w:eastAsia="仿宋_GB2312" w:cs="Times New Roman"/>
          <w:color w:val="auto"/>
          <w:sz w:val="32"/>
          <w:szCs w:val="22"/>
          <w:highlight w:val="none"/>
        </w:rPr>
        <w:t>，</w:t>
      </w:r>
      <w:r>
        <w:rPr>
          <w:rFonts w:hint="eastAsia" w:ascii="仿宋_GB2312" w:hAnsi="Times New Roman" w:eastAsia="仿宋_GB2312" w:cs="Times New Roman"/>
          <w:color w:val="auto"/>
          <w:sz w:val="32"/>
          <w:szCs w:val="22"/>
          <w:highlight w:val="none"/>
          <w:lang w:val="en-US" w:eastAsia="zh-CN"/>
        </w:rPr>
        <w:t>坚持要素跟着项目走，优先保障主导产业、重大项目合理用地，深化“亩产效益”综合评价改革，推广“四证齐发”“拿地即开工”模式，鼓励采用灵活性供地方式，深化低效用地再开发，</w:t>
      </w:r>
      <w:r>
        <w:rPr>
          <w:rFonts w:ascii="Times New Roman" w:hAnsi="Times New Roman" w:eastAsia="仿宋_GB2312" w:cs="Times New Roman"/>
          <w:color w:val="auto"/>
          <w:sz w:val="32"/>
          <w:szCs w:val="22"/>
          <w:highlight w:val="none"/>
        </w:rPr>
        <w:t>持续提升土地集约节约利用水平</w:t>
      </w:r>
      <w:r>
        <w:rPr>
          <w:rFonts w:hint="eastAsia" w:ascii="仿宋_GB2312" w:hAnsi="Times New Roman" w:eastAsia="仿宋_GB2312" w:cs="Times New Roman"/>
          <w:color w:val="auto"/>
          <w:sz w:val="32"/>
          <w:szCs w:val="22"/>
          <w:highlight w:val="none"/>
        </w:rPr>
        <w:t>。</w:t>
      </w:r>
      <w:r>
        <w:rPr>
          <w:rFonts w:hint="eastAsia" w:ascii="仿宋_GB2312" w:hAnsi="Times New Roman" w:eastAsia="仿宋_GB2312" w:cs="Times New Roman"/>
          <w:color w:val="auto"/>
          <w:sz w:val="32"/>
          <w:szCs w:val="22"/>
          <w:highlight w:val="none"/>
          <w:lang w:val="en-US" w:eastAsia="zh-CN"/>
        </w:rPr>
        <w:t>激发技术与人才要素供给活力，聚焦重点产业领域和产业链关键环节，鼓励实施科技创新技术攻关和项目突破。</w:t>
      </w:r>
      <w:r>
        <w:rPr>
          <w:rFonts w:hint="eastAsia" w:ascii="仿宋_GB2312" w:hAnsi="仿宋_GB2312" w:eastAsia="仿宋_GB2312" w:cs="仿宋_GB2312"/>
          <w:color w:val="auto"/>
          <w:sz w:val="32"/>
          <w:szCs w:val="32"/>
          <w:highlight w:val="none"/>
        </w:rPr>
        <w:t>健全完善劳动力市场</w:t>
      </w:r>
      <w:r>
        <w:rPr>
          <w:rFonts w:hint="eastAsia" w:ascii="仿宋_GB2312" w:hAnsi="仿宋_GB2312" w:eastAsia="仿宋_GB2312" w:cs="仿宋_GB2312"/>
          <w:color w:val="auto"/>
          <w:sz w:val="32"/>
          <w:szCs w:val="32"/>
          <w:highlight w:val="none"/>
          <w:lang w:val="en-US" w:eastAsia="zh-CN"/>
        </w:rPr>
        <w:t>建设</w:t>
      </w:r>
      <w:r>
        <w:rPr>
          <w:rFonts w:hint="eastAsia" w:ascii="仿宋_GB2312" w:hAnsi="仿宋_GB2312" w:eastAsia="仿宋_GB2312" w:cs="仿宋_GB2312"/>
          <w:color w:val="auto"/>
          <w:sz w:val="32"/>
          <w:szCs w:val="32"/>
          <w:highlight w:val="none"/>
        </w:rPr>
        <w:t>，促进高端科创人才、产业技能人才集聚、培育与高效配置，</w:t>
      </w:r>
      <w:r>
        <w:rPr>
          <w:rFonts w:hint="eastAsia" w:ascii="仿宋_GB2312" w:hAnsi="仿宋_GB2312" w:eastAsia="仿宋_GB2312" w:cs="仿宋_GB2312"/>
          <w:color w:val="auto"/>
          <w:sz w:val="32"/>
          <w:szCs w:val="32"/>
        </w:rPr>
        <w:t>夯实产业创新人才支撑。</w:t>
      </w:r>
      <w:r>
        <w:rPr>
          <w:rFonts w:hint="eastAsia" w:ascii="Times New Roman" w:hAnsi="Times New Roman" w:eastAsia="仿宋_GB2312" w:cs="Times New Roman"/>
          <w:color w:val="auto"/>
          <w:sz w:val="32"/>
          <w:szCs w:val="22"/>
          <w:highlight w:val="none"/>
          <w:lang w:val="en-US" w:eastAsia="zh-CN"/>
        </w:rPr>
        <w:t>深挖</w:t>
      </w:r>
      <w:r>
        <w:rPr>
          <w:rFonts w:hint="eastAsia" w:ascii="Times New Roman" w:hAnsi="Times New Roman" w:eastAsia="仿宋_GB2312" w:cs="Times New Roman"/>
          <w:color w:val="auto"/>
          <w:sz w:val="32"/>
          <w:szCs w:val="22"/>
          <w:highlight w:val="none"/>
        </w:rPr>
        <w:t>场景要素</w:t>
      </w:r>
      <w:r>
        <w:rPr>
          <w:rFonts w:hint="eastAsia" w:ascii="Times New Roman" w:hAnsi="Times New Roman" w:eastAsia="仿宋_GB2312" w:cs="Times New Roman"/>
          <w:color w:val="auto"/>
          <w:sz w:val="32"/>
          <w:szCs w:val="22"/>
          <w:highlight w:val="none"/>
          <w:lang w:val="en-US" w:eastAsia="zh-CN"/>
        </w:rPr>
        <w:t>赋能价值</w:t>
      </w:r>
      <w:r>
        <w:rPr>
          <w:rFonts w:hint="eastAsia" w:ascii="Times New Roman" w:hAnsi="Times New Roman" w:eastAsia="仿宋_GB2312" w:cs="Times New Roman"/>
          <w:color w:val="auto"/>
          <w:sz w:val="32"/>
          <w:szCs w:val="22"/>
          <w:highlight w:val="none"/>
        </w:rPr>
        <w:t>，</w:t>
      </w:r>
      <w:r>
        <w:rPr>
          <w:rFonts w:hint="eastAsia" w:ascii="仿宋_GB2312" w:hAnsi="仿宋_GB2312" w:eastAsia="仿宋_GB2312" w:cs="仿宋_GB2312"/>
          <w:color w:val="auto"/>
          <w:sz w:val="32"/>
          <w:szCs w:val="32"/>
          <w:highlight w:val="none"/>
        </w:rPr>
        <w:t>围绕智能制造、智能网联、智慧城市、智慧海</w:t>
      </w:r>
      <w:r>
        <w:rPr>
          <w:rFonts w:hint="eastAsia" w:ascii="仿宋_GB2312" w:hAnsi="仿宋_GB2312" w:eastAsia="仿宋_GB2312" w:cs="仿宋_GB2312"/>
          <w:color w:val="auto"/>
          <w:sz w:val="32"/>
          <w:szCs w:val="32"/>
        </w:rPr>
        <w:t>洋、数字医疗、数字消费等领域，梳理场景资源、制定场景供给清单，多形式开展场景发布、</w:t>
      </w:r>
      <w:r>
        <w:rPr>
          <w:rFonts w:hint="eastAsia" w:ascii="仿宋_GB2312" w:hAnsi="仿宋_GB2312" w:eastAsia="仿宋_GB2312" w:cs="仿宋_GB2312"/>
          <w:color w:val="auto"/>
          <w:sz w:val="32"/>
          <w:szCs w:val="32"/>
          <w:lang w:val="en-US" w:eastAsia="zh-CN"/>
        </w:rPr>
        <w:t>精准</w:t>
      </w:r>
      <w:r>
        <w:rPr>
          <w:rFonts w:hint="eastAsia" w:ascii="仿宋_GB2312" w:hAnsi="仿宋_GB2312" w:eastAsia="仿宋_GB2312" w:cs="仿宋_GB2312"/>
          <w:color w:val="auto"/>
          <w:sz w:val="32"/>
          <w:szCs w:val="32"/>
        </w:rPr>
        <w:t>对接、落地</w:t>
      </w:r>
      <w:r>
        <w:rPr>
          <w:rFonts w:hint="eastAsia" w:ascii="仿宋_GB2312" w:hAnsi="仿宋_GB2312" w:eastAsia="仿宋_GB2312" w:cs="仿宋_GB2312"/>
          <w:color w:val="auto"/>
          <w:sz w:val="32"/>
          <w:szCs w:val="32"/>
          <w:lang w:val="en-US" w:eastAsia="zh-CN"/>
        </w:rPr>
        <w:t>赋能</w:t>
      </w:r>
      <w:r>
        <w:rPr>
          <w:rFonts w:hint="eastAsia" w:ascii="仿宋_GB2312" w:hAnsi="仿宋_GB2312" w:eastAsia="仿宋_GB2312" w:cs="仿宋_GB2312"/>
          <w:color w:val="auto"/>
          <w:sz w:val="32"/>
          <w:szCs w:val="32"/>
        </w:rPr>
        <w:t>，以多元应用场景助推产业升级。</w:t>
      </w:r>
    </w:p>
    <w:p w14:paraId="65492270">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稳妥推进区属国有企业改革。</w:t>
      </w:r>
      <w:r>
        <w:rPr>
          <w:rFonts w:hint="eastAsia" w:ascii="Times New Roman" w:hAnsi="Times New Roman" w:eastAsia="仿宋_GB2312" w:cs="Times New Roman"/>
          <w:color w:val="auto"/>
          <w:sz w:val="32"/>
          <w:szCs w:val="22"/>
        </w:rPr>
        <w:t>完善“管委会</w:t>
      </w:r>
      <w:r>
        <w:rPr>
          <w:rFonts w:ascii="Times New Roman" w:hAnsi="Times New Roman" w:eastAsia="仿宋_GB2312" w:cs="Times New Roman"/>
          <w:color w:val="auto"/>
          <w:sz w:val="32"/>
          <w:szCs w:val="22"/>
        </w:rPr>
        <w:t>+</w:t>
      </w:r>
      <w:r>
        <w:rPr>
          <w:rFonts w:hint="eastAsia" w:ascii="Times New Roman" w:hAnsi="Times New Roman" w:eastAsia="仿宋_GB2312" w:cs="Times New Roman"/>
          <w:color w:val="auto"/>
          <w:sz w:val="32"/>
          <w:szCs w:val="22"/>
        </w:rPr>
        <w:t>公司”运营模式，进一步明确管委会与平台公司</w:t>
      </w:r>
      <w:r>
        <w:rPr>
          <w:rFonts w:ascii="Times New Roman" w:hAnsi="Times New Roman" w:eastAsia="仿宋_GB2312" w:cs="Times New Roman"/>
          <w:color w:val="auto"/>
          <w:sz w:val="32"/>
          <w:szCs w:val="22"/>
        </w:rPr>
        <w:t>职能边界、权责范围及协同运作机制，理顺权责分工、强化联动配合</w:t>
      </w:r>
      <w:r>
        <w:rPr>
          <w:rFonts w:hint="eastAsia" w:ascii="Times New Roman" w:hAnsi="Times New Roman" w:eastAsia="仿宋_GB2312" w:cs="Times New Roman"/>
          <w:color w:val="auto"/>
          <w:sz w:val="32"/>
          <w:szCs w:val="22"/>
        </w:rPr>
        <w:t>。</w:t>
      </w:r>
      <w:r>
        <w:rPr>
          <w:rFonts w:ascii="Times New Roman" w:hAnsi="Times New Roman" w:eastAsia="仿宋_GB2312" w:cs="Times New Roman"/>
          <w:color w:val="auto"/>
          <w:sz w:val="32"/>
          <w:szCs w:val="22"/>
        </w:rPr>
        <w:t>引导高新国资集团</w:t>
      </w:r>
      <w:r>
        <w:rPr>
          <w:rFonts w:hint="eastAsia" w:ascii="Times New Roman" w:hAnsi="Times New Roman" w:eastAsia="仿宋_GB2312" w:cs="Times New Roman"/>
          <w:color w:val="auto"/>
          <w:sz w:val="32"/>
          <w:szCs w:val="22"/>
        </w:rPr>
        <w:t>聚焦</w:t>
      </w:r>
      <w:r>
        <w:rPr>
          <w:rFonts w:ascii="Times New Roman" w:hAnsi="Times New Roman" w:eastAsia="仿宋_GB2312" w:cs="Times New Roman"/>
          <w:color w:val="auto"/>
          <w:sz w:val="32"/>
          <w:szCs w:val="22"/>
        </w:rPr>
        <w:t>主责主业，</w:t>
      </w:r>
      <w:r>
        <w:rPr>
          <w:rFonts w:hint="eastAsia" w:ascii="仿宋_GB2312" w:hAnsi="仿宋_GB2312" w:eastAsia="仿宋_GB2312" w:cs="仿宋_GB2312"/>
          <w:color w:val="auto"/>
          <w:sz w:val="32"/>
          <w:szCs w:val="32"/>
        </w:rPr>
        <w:t>优化资源配置，提升运营效率，向市场化、专业化、实体化方向转型发展。</w:t>
      </w:r>
      <w:r>
        <w:rPr>
          <w:rFonts w:ascii="Times New Roman" w:hAnsi="Times New Roman" w:eastAsia="仿宋_GB2312" w:cs="Times New Roman"/>
          <w:color w:val="auto"/>
          <w:sz w:val="32"/>
          <w:szCs w:val="22"/>
        </w:rPr>
        <w:t>深耕</w:t>
      </w:r>
      <w:r>
        <w:rPr>
          <w:rFonts w:hint="eastAsia" w:ascii="仿宋_GB2312" w:hAnsi="仿宋_GB2312" w:eastAsia="仿宋_GB2312" w:cs="仿宋_GB2312"/>
          <w:color w:val="auto"/>
          <w:sz w:val="32"/>
          <w:szCs w:val="32"/>
        </w:rPr>
        <w:t>成果转化、企业服务、产业导入等业务板块，成为区域扩大经济总量、优化产业结构的重要支撑力量。</w:t>
      </w:r>
    </w:p>
    <w:p w14:paraId="41BB1EB2">
      <w:pPr>
        <w:wordWrap w:val="0"/>
        <w:topLinePunct/>
        <w:spacing w:line="560" w:lineRule="exact"/>
        <w:ind w:firstLine="640" w:firstLineChars="200"/>
        <w:rPr>
          <w:rFonts w:hint="eastAsia" w:ascii="仿宋_GB2312" w:hAnsi="仿宋_GB2312" w:eastAsia="仿宋_GB2312" w:cs="仿宋_GB2312"/>
          <w:color w:val="auto"/>
          <w:sz w:val="32"/>
          <w:szCs w:val="32"/>
        </w:rPr>
      </w:pPr>
      <w:r>
        <w:rPr>
          <w:rFonts w:hint="eastAsia" w:ascii="楷体_GB2312" w:hAnsi="Times New Roman" w:eastAsia="楷体_GB2312" w:cs="Times New Roman"/>
          <w:color w:val="auto"/>
          <w:sz w:val="32"/>
          <w:szCs w:val="22"/>
        </w:rPr>
        <w:t>厚植民营经济发展沃土。</w:t>
      </w:r>
      <w:r>
        <w:rPr>
          <w:rFonts w:hint="eastAsia" w:ascii="仿宋_GB2312" w:hAnsi="仿宋_GB2312" w:eastAsia="仿宋_GB2312" w:cs="仿宋_GB2312"/>
          <w:color w:val="auto"/>
          <w:kern w:val="2"/>
          <w:sz w:val="32"/>
          <w:szCs w:val="32"/>
          <w:lang w:val="en-US" w:eastAsia="zh-CN" w:bidi="ar"/>
        </w:rPr>
        <w:t>全面取消对民间资本单独设置的不合理附加条件和歧视性条款，保障民营企业公平参与招标投标。完善小微企业和个体工商户融资支持政策，全面落实支持中小企业采购政策，</w:t>
      </w:r>
      <w:r>
        <w:rPr>
          <w:rFonts w:hint="eastAsia" w:ascii="仿宋_GB2312" w:hAnsi="仿宋_GB2312" w:eastAsia="仿宋_GB2312" w:cs="仿宋_GB2312"/>
          <w:color w:val="auto"/>
          <w:sz w:val="32"/>
          <w:szCs w:val="32"/>
          <w:lang w:bidi="ar"/>
        </w:rPr>
        <w:t>提高工业用地、新增能耗支持民间投资项目比重</w:t>
      </w:r>
      <w:r>
        <w:rPr>
          <w:rFonts w:hint="eastAsia" w:ascii="仿宋_GB2312" w:hAnsi="仿宋_GB2312" w:eastAsia="仿宋_GB2312" w:cs="仿宋_GB2312"/>
          <w:color w:val="auto"/>
          <w:sz w:val="32"/>
          <w:szCs w:val="32"/>
          <w:lang w:eastAsia="zh-CN" w:bidi="ar"/>
        </w:rPr>
        <w:t>，</w:t>
      </w:r>
      <w:r>
        <w:rPr>
          <w:rFonts w:hint="eastAsia" w:ascii="仿宋_GB2312" w:hAnsi="仿宋_GB2312" w:eastAsia="仿宋_GB2312" w:cs="仿宋_GB2312"/>
          <w:color w:val="auto"/>
          <w:sz w:val="32"/>
          <w:szCs w:val="32"/>
          <w:lang w:bidi="ar"/>
        </w:rPr>
        <w:t>保障民营企业公平参与市场竞争、平等使用生产要素。</w:t>
      </w:r>
      <w:r>
        <w:rPr>
          <w:rFonts w:hint="eastAsia" w:ascii="仿宋_GB2312" w:hAnsi="仿宋_GB2312" w:eastAsia="仿宋_GB2312" w:cs="仿宋_GB2312"/>
          <w:color w:val="auto"/>
          <w:kern w:val="2"/>
          <w:sz w:val="32"/>
          <w:szCs w:val="32"/>
          <w:lang w:val="en-US" w:eastAsia="zh-CN" w:bidi="ar"/>
        </w:rPr>
        <w:t>开展融链固链专项行动，联动央企、国企、产业链龙头企业，带动中小企业卡位入链。依法保护民营企业和企业家合法权益，弘扬新时代企业家精神，培养年轻一代企业家，持续激发民营经济发展内生动力。</w:t>
      </w:r>
    </w:p>
    <w:p w14:paraId="42955DBE">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158" w:name="_Toc230188716"/>
      <w:bookmarkStart w:id="159" w:name="_Toc4688"/>
      <w:bookmarkStart w:id="160" w:name="_Toc230591554"/>
      <w:bookmarkStart w:id="161" w:name="_Toc17085"/>
      <w:bookmarkStart w:id="162" w:name="_Toc11354"/>
      <w:bookmarkStart w:id="163" w:name="_Toc25571"/>
      <w:r>
        <w:rPr>
          <w:rFonts w:hint="eastAsia" w:ascii="黑体" w:hAnsi="黑体" w:eastAsia="黑体" w:cs="Times New Roman"/>
          <w:b w:val="0"/>
          <w:bCs w:val="0"/>
          <w:color w:val="auto"/>
          <w:kern w:val="2"/>
          <w:sz w:val="32"/>
          <w:szCs w:val="32"/>
          <w:lang w:val="en-US" w:eastAsia="zh-CN" w:bidi="ar-SA"/>
        </w:rPr>
        <w:t>第二节  构建多层次区域联动网络</w:t>
      </w:r>
      <w:bookmarkEnd w:id="158"/>
      <w:bookmarkEnd w:id="159"/>
      <w:bookmarkEnd w:id="160"/>
      <w:bookmarkEnd w:id="161"/>
      <w:bookmarkEnd w:id="162"/>
      <w:bookmarkEnd w:id="163"/>
    </w:p>
    <w:p w14:paraId="773A1C02">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强化市区协同融合发展。</w:t>
      </w:r>
      <w:r>
        <w:rPr>
          <w:rFonts w:hint="eastAsia" w:ascii="Times New Roman" w:hAnsi="Times New Roman" w:eastAsia="仿宋_GB2312" w:cs="Times New Roman"/>
          <w:color w:val="auto"/>
          <w:sz w:val="32"/>
          <w:szCs w:val="22"/>
        </w:rPr>
        <w:t>深化与市级相关部门联动，开展产业、科技、开放、产城融合等重大项目谋划和招商资源对接，争取一批标志性产业项目、科技创新项目落地。与海阳东方航天港联动，重点承接卫星总装、星箭设计协同、核心元器件、卫星平台、卫星载荷与遥感、通信、导航系统等关键环节研发制造，打造全链条创新体系。深化</w:t>
      </w:r>
      <w:r>
        <w:rPr>
          <w:rFonts w:hint="eastAsia" w:ascii="Times New Roman" w:hAnsi="Times New Roman" w:eastAsia="仿宋_GB2312" w:cs="Times New Roman"/>
          <w:color w:val="auto"/>
          <w:sz w:val="32"/>
          <w:szCs w:val="22"/>
          <w:lang w:val="en-US" w:eastAsia="zh-CN"/>
        </w:rPr>
        <w:t>市内</w:t>
      </w:r>
      <w:r>
        <w:rPr>
          <w:rFonts w:hint="eastAsia" w:ascii="Times New Roman" w:hAnsi="Times New Roman" w:eastAsia="仿宋_GB2312" w:cs="Times New Roman"/>
          <w:color w:val="auto"/>
          <w:sz w:val="32"/>
          <w:szCs w:val="22"/>
        </w:rPr>
        <w:t>生物医药产业</w:t>
      </w:r>
      <w:r>
        <w:rPr>
          <w:rFonts w:hint="eastAsia" w:ascii="Times New Roman" w:hAnsi="Times New Roman" w:eastAsia="仿宋_GB2312" w:cs="Times New Roman"/>
          <w:color w:val="auto"/>
          <w:sz w:val="32"/>
          <w:szCs w:val="22"/>
          <w:lang w:val="en-US" w:eastAsia="zh-CN"/>
        </w:rPr>
        <w:t>高地</w:t>
      </w:r>
      <w:r>
        <w:rPr>
          <w:rFonts w:hint="eastAsia" w:ascii="Times New Roman" w:hAnsi="Times New Roman" w:eastAsia="仿宋_GB2312" w:cs="Times New Roman"/>
          <w:color w:val="auto"/>
          <w:sz w:val="32"/>
          <w:szCs w:val="22"/>
        </w:rPr>
        <w:t>合作，探索建立生物医药产业创新联盟，整合全市生物医药头部企业、科研院所资源，联合开展和申报国家、省、市生物药关键技术攻关。依托</w:t>
      </w:r>
      <w:r>
        <w:rPr>
          <w:rFonts w:hint="eastAsia" w:ascii="仿宋_GB2312" w:hAnsi="仿宋_GB2312" w:eastAsia="仿宋_GB2312" w:cs="仿宋_GB2312"/>
          <w:color w:val="auto"/>
          <w:kern w:val="0"/>
          <w:sz w:val="32"/>
          <w:szCs w:val="32"/>
          <w:lang w:bidi="ar"/>
        </w:rPr>
        <w:t>莱山区—高新区海工装备研发基地，</w:t>
      </w:r>
      <w:r>
        <w:rPr>
          <w:rFonts w:hint="eastAsia" w:ascii="Times New Roman" w:hAnsi="Times New Roman" w:eastAsia="仿宋_GB2312" w:cs="Times New Roman"/>
          <w:color w:val="auto"/>
          <w:sz w:val="32"/>
          <w:szCs w:val="22"/>
        </w:rPr>
        <w:t>重点开展海洋资源勘探开发装备、海上风电装备、海水淡化与综合利用装备等海洋工程研发设计、工程总包以及电子元器件、定位系统等关键部件产业化。</w:t>
      </w:r>
    </w:p>
    <w:p w14:paraId="0B517EB4">
      <w:pPr>
        <w:spacing w:line="560" w:lineRule="exact"/>
        <w:ind w:firstLine="640" w:firstLineChars="200"/>
        <w:rPr>
          <w:rFonts w:hint="eastAsia" w:ascii="仿宋_GB2312" w:hAnsi="仿宋_GB2312" w:eastAsia="仿宋_GB2312" w:cs="仿宋_GB2312"/>
          <w:color w:val="auto"/>
          <w:sz w:val="32"/>
          <w:szCs w:val="22"/>
          <w:lang w:eastAsia="zh-CN"/>
        </w:rPr>
      </w:pPr>
      <w:r>
        <w:rPr>
          <w:rFonts w:hint="eastAsia" w:ascii="楷体_GB2312" w:hAnsi="Times New Roman" w:eastAsia="楷体_GB2312" w:cs="Times New Roman"/>
          <w:color w:val="auto"/>
          <w:sz w:val="32"/>
          <w:szCs w:val="22"/>
        </w:rPr>
        <w:t>加强环渤海、沿黄地区城市协同联动。</w:t>
      </w:r>
      <w:r>
        <w:rPr>
          <w:rFonts w:hint="eastAsia" w:ascii="Times New Roman" w:hAnsi="Times New Roman" w:eastAsia="仿宋_GB2312" w:cs="Times New Roman"/>
          <w:color w:val="auto"/>
          <w:sz w:val="32"/>
          <w:szCs w:val="22"/>
          <w:highlight w:val="none"/>
          <w:lang w:val="en-US" w:eastAsia="zh-CN"/>
        </w:rPr>
        <w:t>深度融入黄河流域生态保护和高质量发展重大战略，引导高校院所、科技企业与沿黄地区优势单位开展技术创新合作，加强关键技术联合攻关。</w:t>
      </w:r>
      <w:r>
        <w:rPr>
          <w:rFonts w:hint="eastAsia" w:ascii="Times New Roman" w:hAnsi="Times New Roman" w:eastAsia="仿宋_GB2312" w:cs="Times New Roman"/>
          <w:color w:val="auto"/>
          <w:sz w:val="32"/>
          <w:szCs w:val="22"/>
        </w:rPr>
        <w:t>借助大连、青岛等船舶与海工装备国家先进制造业集群优势，重点吸引海洋工程领域技术研发、产品设计等项目落地。深化</w:t>
      </w:r>
      <w:r>
        <w:rPr>
          <w:rFonts w:hint="eastAsia" w:ascii="Times New Roman" w:hAnsi="Times New Roman" w:eastAsia="仿宋_GB2312" w:cs="Times New Roman"/>
          <w:color w:val="auto"/>
          <w:sz w:val="32"/>
          <w:szCs w:val="22"/>
          <w:lang w:val="en-US" w:eastAsia="zh-CN"/>
        </w:rPr>
        <w:t>与</w:t>
      </w:r>
      <w:r>
        <w:rPr>
          <w:rFonts w:hint="eastAsia" w:ascii="Times New Roman" w:hAnsi="Times New Roman" w:eastAsia="仿宋_GB2312" w:cs="Times New Roman"/>
          <w:color w:val="auto"/>
          <w:sz w:val="32"/>
          <w:szCs w:val="22"/>
        </w:rPr>
        <w:t>大连高新区“双城联动”战略，</w:t>
      </w:r>
      <w:r>
        <w:rPr>
          <w:rFonts w:hint="eastAsia" w:ascii="仿宋_GB2312" w:hAnsi="仿宋_GB2312" w:eastAsia="仿宋_GB2312" w:cs="仿宋_GB2312"/>
          <w:color w:val="auto"/>
          <w:sz w:val="32"/>
          <w:szCs w:val="32"/>
        </w:rPr>
        <w:t>强化两地政府</w:t>
      </w:r>
      <w:r>
        <w:rPr>
          <w:rFonts w:hint="eastAsia" w:ascii="Times New Roman" w:hAnsi="Times New Roman" w:eastAsia="仿宋_GB2312" w:cs="Times New Roman"/>
          <w:color w:val="auto"/>
          <w:sz w:val="32"/>
          <w:szCs w:val="22"/>
        </w:rPr>
        <w:t>在产业协同、人才交流、科技创新等方面精准对接，</w:t>
      </w:r>
      <w:r>
        <w:rPr>
          <w:rFonts w:hint="eastAsia" w:ascii="仿宋_GB2312" w:hAnsi="仿宋_GB2312" w:eastAsia="仿宋_GB2312" w:cs="仿宋_GB2312"/>
          <w:color w:val="auto"/>
          <w:sz w:val="32"/>
          <w:szCs w:val="32"/>
        </w:rPr>
        <w:t>激发协同发展内生动力。</w:t>
      </w:r>
      <w:r>
        <w:rPr>
          <w:rFonts w:hint="eastAsia" w:ascii="Times New Roman" w:hAnsi="Times New Roman" w:eastAsia="仿宋_GB2312" w:cs="Times New Roman"/>
          <w:color w:val="auto"/>
          <w:sz w:val="32"/>
          <w:szCs w:val="22"/>
        </w:rPr>
        <w:t>发挥工业设计产业集群优势，吸引</w:t>
      </w:r>
      <w:r>
        <w:rPr>
          <w:rFonts w:hint="eastAsia" w:ascii="Times New Roman" w:hAnsi="Times New Roman" w:eastAsia="仿宋_GB2312" w:cs="Times New Roman"/>
          <w:color w:val="auto"/>
          <w:sz w:val="32"/>
          <w:szCs w:val="22"/>
          <w:lang w:val="en-US" w:eastAsia="zh-CN"/>
        </w:rPr>
        <w:t>周边城市</w:t>
      </w:r>
      <w:r>
        <w:rPr>
          <w:rFonts w:hint="eastAsia" w:ascii="Times New Roman" w:hAnsi="Times New Roman" w:eastAsia="仿宋_GB2312" w:cs="Times New Roman"/>
          <w:color w:val="auto"/>
          <w:sz w:val="32"/>
          <w:szCs w:val="22"/>
        </w:rPr>
        <w:t>制造业企业分离工业设计业务，成立工业设计公司。</w:t>
      </w:r>
      <w:r>
        <w:rPr>
          <w:rFonts w:hint="eastAsia" w:ascii="仿宋_GB2312" w:hAnsi="仿宋_GB2312" w:eastAsia="仿宋_GB2312" w:cs="仿宋_GB2312"/>
          <w:color w:val="auto"/>
          <w:sz w:val="32"/>
          <w:szCs w:val="22"/>
        </w:rPr>
        <w:t>发挥生物药产业优势，</w:t>
      </w:r>
      <w:r>
        <w:rPr>
          <w:rFonts w:hint="eastAsia" w:ascii="仿宋_GB2312" w:hAnsi="仿宋_GB2312" w:eastAsia="仿宋_GB2312" w:cs="仿宋_GB2312"/>
          <w:color w:val="auto"/>
          <w:sz w:val="32"/>
          <w:szCs w:val="22"/>
          <w:highlight w:val="none"/>
        </w:rPr>
        <w:t>与</w:t>
      </w:r>
      <w:r>
        <w:rPr>
          <w:rFonts w:hint="eastAsia" w:ascii="仿宋_GB2312" w:hAnsi="仿宋_GB2312" w:eastAsia="仿宋_GB2312" w:cs="仿宋_GB2312"/>
          <w:color w:val="auto"/>
          <w:sz w:val="32"/>
          <w:szCs w:val="22"/>
          <w:highlight w:val="none"/>
          <w:lang w:val="en-US" w:eastAsia="zh-CN"/>
        </w:rPr>
        <w:t>省内生物医药</w:t>
      </w:r>
      <w:r>
        <w:rPr>
          <w:rFonts w:hint="eastAsia" w:ascii="仿宋_GB2312" w:hAnsi="仿宋_GB2312" w:eastAsia="仿宋_GB2312" w:cs="仿宋_GB2312"/>
          <w:color w:val="auto"/>
          <w:sz w:val="32"/>
          <w:szCs w:val="22"/>
          <w:highlight w:val="none"/>
        </w:rPr>
        <w:t>战略平台，围绕细胞与基因治疗、</w:t>
      </w:r>
      <w:r>
        <w:rPr>
          <w:rFonts w:hint="eastAsia" w:ascii="仿宋_GB2312" w:hAnsi="仿宋_GB2312" w:eastAsia="仿宋_GB2312" w:cs="仿宋_GB2312"/>
          <w:color w:val="auto"/>
          <w:sz w:val="32"/>
          <w:szCs w:val="22"/>
          <w:highlight w:val="none"/>
          <w:lang w:val="en-US" w:eastAsia="zh-CN"/>
        </w:rPr>
        <w:t>生物制造、</w:t>
      </w:r>
      <w:r>
        <w:rPr>
          <w:rFonts w:hint="eastAsia" w:ascii="仿宋_GB2312" w:hAnsi="仿宋_GB2312" w:eastAsia="仿宋_GB2312" w:cs="仿宋_GB2312"/>
          <w:color w:val="auto"/>
          <w:sz w:val="32"/>
          <w:szCs w:val="22"/>
          <w:highlight w:val="none"/>
        </w:rPr>
        <w:t>AI</w:t>
      </w:r>
      <w:r>
        <w:rPr>
          <w:rFonts w:hint="eastAsia" w:ascii="仿宋_GB2312" w:hAnsi="仿宋_GB2312" w:eastAsia="仿宋_GB2312" w:cs="仿宋_GB2312"/>
          <w:color w:val="auto"/>
          <w:sz w:val="32"/>
          <w:szCs w:val="22"/>
          <w:highlight w:val="none"/>
          <w:lang w:val="en-US" w:eastAsia="zh-CN"/>
        </w:rPr>
        <w:t>医疗</w:t>
      </w:r>
      <w:r>
        <w:rPr>
          <w:rFonts w:hint="eastAsia" w:ascii="仿宋_GB2312" w:hAnsi="仿宋_GB2312" w:eastAsia="仿宋_GB2312" w:cs="仿宋_GB2312"/>
          <w:color w:val="auto"/>
          <w:sz w:val="32"/>
          <w:szCs w:val="22"/>
          <w:highlight w:val="none"/>
        </w:rPr>
        <w:t>等领域共建共性技术平台，共同开展技术攻关。</w:t>
      </w:r>
      <w:r>
        <w:rPr>
          <w:rFonts w:hint="eastAsia" w:ascii="仿宋_GB2312" w:hAnsi="仿宋_GB2312" w:eastAsia="仿宋_GB2312" w:cs="仿宋_GB2312"/>
          <w:color w:val="auto"/>
          <w:sz w:val="32"/>
          <w:szCs w:val="22"/>
        </w:rPr>
        <w:t>聚焦航空航天、数智服务等领域产业链群培育，深化与</w:t>
      </w:r>
      <w:r>
        <w:rPr>
          <w:rFonts w:hint="eastAsia" w:ascii="仿宋_GB2312" w:hAnsi="仿宋_GB2312" w:eastAsia="仿宋_GB2312" w:cs="仿宋_GB2312"/>
          <w:color w:val="auto"/>
          <w:sz w:val="32"/>
          <w:szCs w:val="22"/>
          <w:lang w:val="en-US" w:eastAsia="zh-CN"/>
        </w:rPr>
        <w:t>京津冀、长三角</w:t>
      </w:r>
      <w:r>
        <w:rPr>
          <w:rFonts w:hint="eastAsia" w:ascii="仿宋_GB2312" w:hAnsi="仿宋_GB2312" w:eastAsia="仿宋_GB2312" w:cs="仿宋_GB2312"/>
          <w:color w:val="auto"/>
          <w:sz w:val="32"/>
          <w:szCs w:val="22"/>
        </w:rPr>
        <w:t>等产业高地合作，争取落地一批补链强链重点项目。</w:t>
      </w:r>
    </w:p>
    <w:p w14:paraId="50766A2D">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164" w:name="_Toc230591555"/>
      <w:bookmarkStart w:id="165" w:name="_Toc18801"/>
      <w:bookmarkStart w:id="166" w:name="_Toc28869"/>
      <w:bookmarkStart w:id="167" w:name="_Toc11378"/>
      <w:bookmarkStart w:id="168" w:name="_Toc230188717"/>
      <w:bookmarkStart w:id="169" w:name="_Toc7298"/>
      <w:r>
        <w:rPr>
          <w:rFonts w:hint="eastAsia" w:ascii="黑体" w:hAnsi="黑体" w:eastAsia="黑体" w:cs="Times New Roman"/>
          <w:b w:val="0"/>
          <w:bCs w:val="0"/>
          <w:color w:val="auto"/>
          <w:kern w:val="2"/>
          <w:sz w:val="32"/>
          <w:szCs w:val="32"/>
          <w:lang w:val="en-US" w:eastAsia="zh-CN" w:bidi="ar-SA"/>
        </w:rPr>
        <w:t>第三节  开展宽领域对外经贸合作</w:t>
      </w:r>
      <w:bookmarkEnd w:id="164"/>
      <w:bookmarkEnd w:id="165"/>
      <w:bookmarkEnd w:id="166"/>
      <w:bookmarkEnd w:id="167"/>
      <w:bookmarkEnd w:id="168"/>
      <w:bookmarkEnd w:id="169"/>
    </w:p>
    <w:p w14:paraId="69D40F52">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打造烟台对亚太合作重要引擎。</w:t>
      </w:r>
      <w:r>
        <w:rPr>
          <w:rFonts w:hint="eastAsia" w:ascii="仿宋_GB2312" w:hAnsi="仿宋_GB2312" w:eastAsia="仿宋_GB2312" w:cs="仿宋_GB2312"/>
          <w:color w:val="auto"/>
          <w:sz w:val="32"/>
          <w:szCs w:val="40"/>
        </w:rPr>
        <w:t>高水平建设</w:t>
      </w:r>
      <w:r>
        <w:rPr>
          <w:rFonts w:hint="eastAsia" w:ascii="仿宋_GB2312" w:hAnsi="仿宋_GB2312" w:eastAsia="仿宋_GB2312" w:cs="仿宋_GB2312"/>
          <w:color w:val="auto"/>
          <w:sz w:val="32"/>
          <w:szCs w:val="40"/>
          <w:u w:val="none"/>
        </w:rPr>
        <w:t>中韩（烟台）产业园</w:t>
      </w:r>
      <w:r>
        <w:rPr>
          <w:rFonts w:hint="eastAsia" w:ascii="仿宋_GB2312" w:hAnsi="仿宋_GB2312" w:eastAsia="仿宋_GB2312" w:cs="仿宋_GB2312"/>
          <w:color w:val="auto"/>
          <w:sz w:val="32"/>
          <w:szCs w:val="22"/>
        </w:rPr>
        <w:t>，</w:t>
      </w:r>
      <w:r>
        <w:rPr>
          <w:rFonts w:hint="eastAsia" w:ascii="仿宋_GB2312" w:hAnsi="仿宋_GB2312" w:eastAsia="仿宋_GB2312" w:cs="仿宋_GB2312"/>
          <w:color w:val="auto"/>
          <w:sz w:val="32"/>
          <w:szCs w:val="32"/>
        </w:rPr>
        <w:t>对接韩国京畿道创造经济创新中心等，共建双向服务平台，依托韩国板桥科技谷与IVD产业园“两国双园”，</w:t>
      </w:r>
      <w:r>
        <w:rPr>
          <w:rFonts w:hint="eastAsia" w:ascii="仿宋_GB2312" w:hAnsi="仿宋_GB2312" w:eastAsia="仿宋_GB2312" w:cs="仿宋_GB2312"/>
          <w:color w:val="auto"/>
          <w:sz w:val="32"/>
          <w:szCs w:val="22"/>
        </w:rPr>
        <w:t>引进高端产业资源，支持</w:t>
      </w:r>
      <w:r>
        <w:rPr>
          <w:rFonts w:hint="eastAsia" w:ascii="仿宋_GB2312" w:hAnsi="仿宋_GB2312" w:eastAsia="仿宋_GB2312" w:cs="仿宋_GB2312"/>
          <w:color w:val="auto"/>
          <w:sz w:val="32"/>
          <w:szCs w:val="32"/>
        </w:rPr>
        <w:t>区内企业对接韩国技术、渠道与合作伙伴，形成中韩双向孵化与产业协同效应。</w:t>
      </w:r>
      <w:r>
        <w:rPr>
          <w:rFonts w:hint="eastAsia" w:ascii="仿宋_GB2312" w:hAnsi="仿宋_GB2312" w:eastAsia="仿宋_GB2312" w:cs="仿宋_GB2312"/>
          <w:color w:val="auto"/>
          <w:sz w:val="32"/>
          <w:szCs w:val="22"/>
        </w:rPr>
        <w:t>定期组织国际科技合作活动，为科技合作、企业出海提供桥梁。用好东亚合作经贸部长系列会议、东亚地方政府会议、东亚海洋博览会等高端会议，争取吸引更多国家级平台、国际组织、跨国公司落地设点。引</w:t>
      </w:r>
      <w:r>
        <w:rPr>
          <w:rFonts w:hint="eastAsia" w:ascii="Times New Roman" w:hAnsi="Times New Roman" w:eastAsia="仿宋_GB2312" w:cs="Times New Roman"/>
          <w:color w:val="auto"/>
          <w:sz w:val="32"/>
          <w:szCs w:val="22"/>
        </w:rPr>
        <w:t>导企业、科研机构在全球科技创新高地设立全球总部和研发中心、离岸创新基地，深度融入全球创新链产业链网络。</w:t>
      </w:r>
    </w:p>
    <w:p w14:paraId="075CA7DE">
      <w:pPr>
        <w:spacing w:line="560" w:lineRule="exact"/>
        <w:ind w:firstLine="640" w:firstLineChars="200"/>
        <w:rPr>
          <w:rFonts w:hint="eastAsia" w:ascii="仿宋_GB2312" w:hAnsi="仿宋_GB2312" w:eastAsia="仿宋_GB2312" w:cs="宋体"/>
          <w:color w:val="auto"/>
          <w:kern w:val="0"/>
          <w:sz w:val="32"/>
          <w:szCs w:val="32"/>
        </w:rPr>
      </w:pPr>
      <w:r>
        <w:rPr>
          <w:rFonts w:hint="eastAsia" w:ascii="楷体_GB2312" w:hAnsi="Times New Roman" w:eastAsia="楷体_GB2312" w:cs="Times New Roman"/>
          <w:color w:val="auto"/>
          <w:sz w:val="32"/>
          <w:szCs w:val="22"/>
        </w:rPr>
        <w:t>加强国际合作。</w:t>
      </w:r>
      <w:r>
        <w:rPr>
          <w:rFonts w:hint="eastAsia" w:ascii="Times New Roman" w:hAnsi="Times New Roman" w:eastAsia="仿宋_GB2312" w:cs="Times New Roman"/>
          <w:color w:val="auto"/>
          <w:sz w:val="32"/>
          <w:szCs w:val="22"/>
        </w:rPr>
        <w:t>支持生物医药、海洋工程等</w:t>
      </w:r>
      <w:r>
        <w:rPr>
          <w:rFonts w:hint="eastAsia" w:ascii="Times New Roman" w:hAnsi="Times New Roman" w:eastAsia="仿宋_GB2312" w:cs="Times New Roman"/>
          <w:color w:val="auto"/>
          <w:sz w:val="32"/>
          <w:szCs w:val="22"/>
          <w:lang w:val="en-US" w:eastAsia="zh-CN"/>
        </w:rPr>
        <w:t>优势</w:t>
      </w:r>
      <w:r>
        <w:rPr>
          <w:rFonts w:hint="eastAsia" w:ascii="Times New Roman" w:hAnsi="Times New Roman" w:eastAsia="仿宋_GB2312" w:cs="Times New Roman"/>
          <w:color w:val="auto"/>
          <w:sz w:val="32"/>
          <w:szCs w:val="22"/>
        </w:rPr>
        <w:t>产业</w:t>
      </w:r>
      <w:r>
        <w:rPr>
          <w:rFonts w:hint="eastAsia" w:ascii="Times New Roman" w:hAnsi="Times New Roman" w:eastAsia="仿宋_GB2312" w:cs="Times New Roman"/>
          <w:color w:val="auto"/>
          <w:sz w:val="32"/>
          <w:szCs w:val="22"/>
          <w:lang w:val="en-US" w:eastAsia="zh-CN"/>
        </w:rPr>
        <w:t>企业</w:t>
      </w:r>
      <w:r>
        <w:rPr>
          <w:rFonts w:hint="eastAsia" w:ascii="Times New Roman" w:hAnsi="Times New Roman" w:eastAsia="仿宋_GB2312" w:cs="Times New Roman"/>
          <w:color w:val="auto"/>
          <w:sz w:val="32"/>
          <w:szCs w:val="22"/>
        </w:rPr>
        <w:t>“走出去”，</w:t>
      </w:r>
      <w:r>
        <w:rPr>
          <w:rFonts w:hint="eastAsia" w:ascii="Times New Roman" w:hAnsi="Times New Roman" w:eastAsia="仿宋_GB2312" w:cs="Times New Roman"/>
          <w:color w:val="auto"/>
          <w:sz w:val="32"/>
          <w:szCs w:val="22"/>
          <w:lang w:val="en-US" w:eastAsia="zh-CN"/>
        </w:rPr>
        <w:t>深耕</w:t>
      </w:r>
      <w:r>
        <w:rPr>
          <w:rFonts w:hint="eastAsia" w:ascii="Times New Roman" w:hAnsi="Times New Roman" w:eastAsia="仿宋_GB2312" w:cs="Times New Roman"/>
          <w:color w:val="auto"/>
          <w:sz w:val="32"/>
          <w:szCs w:val="22"/>
        </w:rPr>
        <w:t>海外市场</w:t>
      </w:r>
      <w:r>
        <w:rPr>
          <w:rFonts w:hint="eastAsia" w:ascii="Times New Roman" w:hAnsi="Times New Roman" w:eastAsia="仿宋_GB2312" w:cs="Times New Roman"/>
          <w:color w:val="auto"/>
          <w:sz w:val="32"/>
          <w:szCs w:val="22"/>
          <w:lang w:val="en-US" w:eastAsia="zh-CN"/>
        </w:rPr>
        <w:t>布局</w:t>
      </w:r>
      <w:r>
        <w:rPr>
          <w:rFonts w:hint="eastAsia" w:ascii="Times New Roman" w:hAnsi="Times New Roman" w:eastAsia="仿宋_GB2312" w:cs="Times New Roman"/>
          <w:color w:val="auto"/>
          <w:sz w:val="32"/>
          <w:szCs w:val="22"/>
        </w:rPr>
        <w:t>，</w:t>
      </w:r>
      <w:r>
        <w:rPr>
          <w:rFonts w:hint="eastAsia" w:ascii="Times New Roman" w:hAnsi="Times New Roman" w:eastAsia="仿宋_GB2312" w:cs="Times New Roman"/>
          <w:color w:val="auto"/>
          <w:sz w:val="32"/>
          <w:szCs w:val="22"/>
          <w:lang w:val="en-US" w:eastAsia="zh-CN"/>
        </w:rPr>
        <w:t>有序</w:t>
      </w:r>
      <w:r>
        <w:rPr>
          <w:rFonts w:hint="eastAsia" w:ascii="Times New Roman" w:hAnsi="Times New Roman" w:eastAsia="仿宋_GB2312" w:cs="Times New Roman"/>
          <w:color w:val="auto"/>
          <w:sz w:val="32"/>
          <w:szCs w:val="22"/>
        </w:rPr>
        <w:t>开展跨国并购、国际产能合作、境外经贸合作</w:t>
      </w:r>
      <w:r>
        <w:rPr>
          <w:rFonts w:hint="eastAsia" w:ascii="Times New Roman" w:hAnsi="Times New Roman" w:eastAsia="仿宋_GB2312" w:cs="Times New Roman"/>
          <w:color w:val="auto"/>
          <w:sz w:val="32"/>
          <w:szCs w:val="22"/>
          <w:lang w:eastAsia="zh-CN"/>
        </w:rPr>
        <w:t>，</w:t>
      </w:r>
      <w:r>
        <w:rPr>
          <w:rFonts w:hint="eastAsia" w:ascii="Times New Roman" w:hAnsi="Times New Roman" w:eastAsia="仿宋_GB2312" w:cs="Times New Roman"/>
          <w:color w:val="auto"/>
          <w:sz w:val="32"/>
          <w:szCs w:val="22"/>
          <w:lang w:val="en-US" w:eastAsia="zh-CN"/>
        </w:rPr>
        <w:t>持续提升企业全球化经营能力</w:t>
      </w:r>
      <w:r>
        <w:rPr>
          <w:rFonts w:hint="eastAsia" w:ascii="Times New Roman" w:hAnsi="Times New Roman" w:eastAsia="仿宋_GB2312" w:cs="Times New Roman"/>
          <w:color w:val="auto"/>
          <w:sz w:val="32"/>
          <w:szCs w:val="22"/>
        </w:rPr>
        <w:t>。</w:t>
      </w:r>
      <w:r>
        <w:rPr>
          <w:rFonts w:hint="eastAsia" w:ascii="Times New Roman" w:hAnsi="Times New Roman" w:eastAsia="仿宋_GB2312" w:cs="Times New Roman"/>
          <w:color w:val="auto"/>
          <w:sz w:val="32"/>
          <w:szCs w:val="22"/>
          <w:lang w:val="en-US" w:eastAsia="zh-CN"/>
        </w:rPr>
        <w:t>赋能外贸企业转型升级，大力发</w:t>
      </w:r>
      <w:r>
        <w:rPr>
          <w:rFonts w:hint="eastAsia" w:ascii="Times New Roman" w:hAnsi="Times New Roman" w:eastAsia="仿宋_GB2312" w:cs="Times New Roman"/>
          <w:color w:val="auto"/>
          <w:sz w:val="32"/>
          <w:szCs w:val="22"/>
        </w:rPr>
        <w:t>展跨境电商</w:t>
      </w:r>
      <w:r>
        <w:rPr>
          <w:rFonts w:hint="eastAsia" w:ascii="Times New Roman" w:hAnsi="Times New Roman" w:eastAsia="仿宋_GB2312" w:cs="Times New Roman"/>
          <w:color w:val="auto"/>
          <w:sz w:val="32"/>
          <w:szCs w:val="22"/>
          <w:lang w:val="en-US" w:eastAsia="zh-CN"/>
        </w:rPr>
        <w:t>新业态</w:t>
      </w:r>
      <w:r>
        <w:rPr>
          <w:rFonts w:hint="eastAsia" w:ascii="Times New Roman" w:hAnsi="Times New Roman" w:eastAsia="仿宋_GB2312" w:cs="Times New Roman"/>
          <w:color w:val="auto"/>
          <w:sz w:val="32"/>
          <w:szCs w:val="22"/>
        </w:rPr>
        <w:t>，</w:t>
      </w:r>
      <w:r>
        <w:rPr>
          <w:rFonts w:hint="eastAsia" w:ascii="仿宋" w:hAnsi="仿宋" w:eastAsia="仿宋_GB2312" w:cs="Times New Roman"/>
          <w:color w:val="auto"/>
          <w:sz w:val="32"/>
          <w:szCs w:val="32"/>
        </w:rPr>
        <w:t>鼓励企业</w:t>
      </w:r>
      <w:r>
        <w:rPr>
          <w:rFonts w:hint="eastAsia" w:ascii="仿宋" w:hAnsi="仿宋" w:eastAsia="仿宋_GB2312" w:cs="Times New Roman"/>
          <w:color w:val="auto"/>
          <w:sz w:val="32"/>
          <w:szCs w:val="32"/>
          <w:lang w:val="en-US" w:eastAsia="zh-CN"/>
        </w:rPr>
        <w:t>搭建海外</w:t>
      </w:r>
      <w:r>
        <w:rPr>
          <w:rFonts w:hint="eastAsia" w:ascii="仿宋" w:hAnsi="仿宋" w:eastAsia="仿宋_GB2312" w:cs="Times New Roman"/>
          <w:color w:val="auto"/>
          <w:sz w:val="32"/>
          <w:szCs w:val="32"/>
        </w:rPr>
        <w:t>独立站</w:t>
      </w:r>
      <w:r>
        <w:rPr>
          <w:rFonts w:hint="eastAsia" w:ascii="仿宋" w:hAnsi="仿宋" w:eastAsia="仿宋_GB2312" w:cs="Times New Roman"/>
          <w:color w:val="auto"/>
          <w:sz w:val="32"/>
          <w:szCs w:val="32"/>
          <w:lang w:eastAsia="zh-CN"/>
        </w:rPr>
        <w:t>、</w:t>
      </w:r>
      <w:r>
        <w:rPr>
          <w:rFonts w:hint="eastAsia" w:ascii="仿宋" w:hAnsi="仿宋" w:eastAsia="仿宋_GB2312" w:cs="Times New Roman"/>
          <w:color w:val="auto"/>
          <w:sz w:val="32"/>
          <w:szCs w:val="32"/>
          <w:lang w:val="en-US" w:eastAsia="zh-CN"/>
        </w:rPr>
        <w:t>布局</w:t>
      </w:r>
      <w:r>
        <w:rPr>
          <w:rFonts w:hint="eastAsia" w:ascii="仿宋" w:hAnsi="仿宋" w:eastAsia="仿宋_GB2312" w:cs="Times New Roman"/>
          <w:color w:val="auto"/>
          <w:sz w:val="32"/>
          <w:szCs w:val="32"/>
        </w:rPr>
        <w:t>海外品牌运营中心，</w:t>
      </w:r>
      <w:r>
        <w:rPr>
          <w:rFonts w:hint="eastAsia" w:ascii="Times New Roman" w:hAnsi="Times New Roman" w:eastAsia="仿宋_GB2312" w:cs="Times New Roman"/>
          <w:color w:val="auto"/>
          <w:sz w:val="32"/>
          <w:szCs w:val="22"/>
          <w:lang w:val="en-US" w:eastAsia="zh-CN"/>
        </w:rPr>
        <w:t>构建</w:t>
      </w:r>
      <w:r>
        <w:rPr>
          <w:rFonts w:hint="eastAsia" w:ascii="Times New Roman" w:hAnsi="Times New Roman" w:eastAsia="仿宋_GB2312" w:cs="Times New Roman"/>
          <w:color w:val="auto"/>
          <w:sz w:val="32"/>
          <w:szCs w:val="22"/>
        </w:rPr>
        <w:t>线上线下融合、境内境外联动的</w:t>
      </w:r>
      <w:r>
        <w:rPr>
          <w:rFonts w:hint="eastAsia" w:ascii="Times New Roman" w:hAnsi="Times New Roman" w:eastAsia="仿宋_GB2312" w:cs="Times New Roman"/>
          <w:color w:val="auto"/>
          <w:sz w:val="32"/>
          <w:szCs w:val="22"/>
          <w:lang w:val="en-US" w:eastAsia="zh-CN"/>
        </w:rPr>
        <w:t>国际化</w:t>
      </w:r>
      <w:r>
        <w:rPr>
          <w:rFonts w:hint="eastAsia" w:ascii="Times New Roman" w:hAnsi="Times New Roman" w:eastAsia="仿宋_GB2312" w:cs="Times New Roman"/>
          <w:color w:val="auto"/>
          <w:sz w:val="32"/>
          <w:szCs w:val="22"/>
        </w:rPr>
        <w:t>营销服务体系。</w:t>
      </w:r>
      <w:r>
        <w:rPr>
          <w:rFonts w:hint="eastAsia" w:ascii="Times New Roman" w:hAnsi="Times New Roman" w:eastAsia="仿宋_GB2312" w:cs="Times New Roman"/>
          <w:color w:val="auto"/>
          <w:sz w:val="32"/>
          <w:szCs w:val="22"/>
          <w:lang w:val="en-US" w:eastAsia="zh-CN"/>
        </w:rPr>
        <w:t>推动</w:t>
      </w:r>
      <w:r>
        <w:rPr>
          <w:rFonts w:hint="eastAsia" w:ascii="Times New Roman" w:hAnsi="Times New Roman" w:eastAsia="仿宋_GB2312" w:cs="Times New Roman"/>
          <w:color w:val="auto"/>
          <w:sz w:val="32"/>
          <w:szCs w:val="22"/>
        </w:rPr>
        <w:t>研发设</w:t>
      </w:r>
      <w:r>
        <w:rPr>
          <w:rFonts w:hint="eastAsia" w:ascii="仿宋_GB2312" w:hAnsi="仿宋_GB2312" w:eastAsia="仿宋_GB2312" w:cs="仿宋_GB2312"/>
          <w:color w:val="auto"/>
          <w:sz w:val="32"/>
          <w:szCs w:val="32"/>
        </w:rPr>
        <w:t>计、检验检测、工程总包、</w:t>
      </w:r>
      <w:r>
        <w:rPr>
          <w:rFonts w:hint="eastAsia" w:ascii="仿宋_GB2312" w:hAnsi="仿宋_GB2312" w:eastAsia="仿宋_GB2312" w:cs="仿宋_GB2312"/>
          <w:color w:val="auto"/>
          <w:sz w:val="32"/>
          <w:szCs w:val="32"/>
          <w:lang w:val="en-US" w:eastAsia="zh-CN"/>
        </w:rPr>
        <w:t>运维保障</w:t>
      </w:r>
      <w:r>
        <w:rPr>
          <w:rFonts w:hint="eastAsia" w:ascii="仿宋_GB2312" w:hAnsi="仿宋_GB2312" w:eastAsia="仿宋_GB2312" w:cs="仿宋_GB2312"/>
          <w:color w:val="auto"/>
          <w:sz w:val="32"/>
          <w:szCs w:val="32"/>
        </w:rPr>
        <w:t>等科技服务与制造服务</w:t>
      </w:r>
      <w:r>
        <w:rPr>
          <w:rFonts w:hint="eastAsia" w:ascii="仿宋_GB2312" w:hAnsi="仿宋_GB2312" w:eastAsia="仿宋_GB2312" w:cs="仿宋_GB2312"/>
          <w:color w:val="auto"/>
          <w:sz w:val="32"/>
          <w:szCs w:val="32"/>
          <w:lang w:val="en-US" w:eastAsia="zh-CN"/>
        </w:rPr>
        <w:t>对外开放输出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宋体"/>
          <w:color w:val="auto"/>
          <w:kern w:val="0"/>
          <w:sz w:val="32"/>
          <w:szCs w:val="32"/>
          <w:lang w:val="en-US" w:eastAsia="zh-CN"/>
        </w:rPr>
        <w:t>全方位拓宽产业国际合作维度，培育壮大区域对外开放新优势。</w:t>
      </w:r>
    </w:p>
    <w:p w14:paraId="08A0926B">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170" w:name="_Toc230188718"/>
      <w:bookmarkStart w:id="171" w:name="_Toc26821"/>
      <w:bookmarkStart w:id="172" w:name="_Toc22503"/>
      <w:bookmarkStart w:id="173" w:name="_Toc2809"/>
      <w:bookmarkStart w:id="174" w:name="_Toc25435"/>
      <w:bookmarkStart w:id="175" w:name="_Toc230591556"/>
      <w:r>
        <w:rPr>
          <w:rFonts w:hint="eastAsia" w:ascii="黑体" w:hAnsi="黑体" w:eastAsia="黑体" w:cs="Times New Roman"/>
          <w:b w:val="0"/>
          <w:bCs w:val="0"/>
          <w:color w:val="auto"/>
          <w:kern w:val="2"/>
          <w:sz w:val="32"/>
          <w:szCs w:val="32"/>
          <w:lang w:val="en-US" w:eastAsia="zh-CN" w:bidi="ar-SA"/>
        </w:rPr>
        <w:t xml:space="preserve">第四节  </w:t>
      </w:r>
      <w:bookmarkStart w:id="176" w:name="_Toc208924242"/>
      <w:r>
        <w:rPr>
          <w:rFonts w:hint="eastAsia" w:ascii="黑体" w:hAnsi="黑体" w:eastAsia="黑体" w:cs="Times New Roman"/>
          <w:b w:val="0"/>
          <w:bCs w:val="0"/>
          <w:color w:val="auto"/>
          <w:kern w:val="2"/>
          <w:sz w:val="32"/>
          <w:szCs w:val="32"/>
          <w:lang w:val="en-US" w:eastAsia="zh-CN" w:bidi="ar-SA"/>
        </w:rPr>
        <w:t>持续优化营商环境</w:t>
      </w:r>
      <w:bookmarkEnd w:id="170"/>
      <w:bookmarkEnd w:id="171"/>
      <w:bookmarkEnd w:id="172"/>
      <w:bookmarkEnd w:id="173"/>
      <w:bookmarkEnd w:id="174"/>
      <w:bookmarkEnd w:id="175"/>
      <w:bookmarkEnd w:id="176"/>
    </w:p>
    <w:p w14:paraId="131DD124">
      <w:pPr>
        <w:spacing w:line="560" w:lineRule="exact"/>
        <w:ind w:firstLine="640" w:firstLineChars="200"/>
        <w:rPr>
          <w:rFonts w:ascii="Times New Roman" w:hAnsi="Times New Roman" w:eastAsia="仿宋_GB2312" w:cs="Times New Roman"/>
          <w:color w:val="auto"/>
          <w:sz w:val="32"/>
          <w:szCs w:val="22"/>
        </w:rPr>
      </w:pPr>
      <w:r>
        <w:rPr>
          <w:rFonts w:hint="eastAsia" w:ascii="Times New Roman" w:hAnsi="Times New Roman" w:eastAsia="仿宋_GB2312" w:cs="Times New Roman"/>
          <w:color w:val="auto"/>
          <w:sz w:val="32"/>
          <w:szCs w:val="22"/>
        </w:rPr>
        <w:t>塑强“民事无忧、企事有解、政事高效”的政务服务体系。深化“高效办成一件事”改革，构建覆盖企业和个人全生命周期的“一件事”服务模式。探索开展“人工智能+政务服务”，为企业和群众提供智能问答、智能引导、智能预填、智能帮办等服务。深化数据共享，推动更多电子证照、电子印章在政务服务领域的应用。落实国家、省、市新出台及持续优化完善各项税收优惠政策，优化政策兑现流程，推动更多政策“免申即享”。持续</w:t>
      </w:r>
      <w:r>
        <w:rPr>
          <w:rFonts w:hint="eastAsia" w:ascii="Times New Roman" w:hAnsi="Times New Roman" w:eastAsia="仿宋_GB2312" w:cs="Times New Roman"/>
          <w:color w:val="auto"/>
          <w:sz w:val="32"/>
          <w:szCs w:val="22"/>
          <w:lang w:val="en-US" w:eastAsia="zh-CN"/>
        </w:rPr>
        <w:t>优化</w:t>
      </w:r>
      <w:r>
        <w:rPr>
          <w:rFonts w:hint="eastAsia" w:ascii="Times New Roman" w:hAnsi="Times New Roman" w:eastAsia="仿宋_GB2312" w:cs="Times New Roman"/>
          <w:color w:val="auto"/>
          <w:sz w:val="32"/>
          <w:szCs w:val="22"/>
        </w:rPr>
        <w:t>提升竞争有序市场环境，严格落实公平竞争审查制度，推动重要应用场景向经营主体公平开放，全力支持更多民间资本。</w:t>
      </w:r>
      <w:r>
        <w:rPr>
          <w:rFonts w:ascii="Times New Roman" w:hAnsi="Times New Roman" w:eastAsia="仿宋_GB2312" w:cs="Times New Roman"/>
          <w:color w:val="auto"/>
          <w:sz w:val="32"/>
          <w:szCs w:val="22"/>
        </w:rPr>
        <w:t>推进信用风险分类监管，协同实施经营异常、严重违法失信惩戒和信用修复，达到信用监管最佳效果。</w:t>
      </w:r>
      <w:r>
        <w:rPr>
          <w:rFonts w:hint="eastAsia" w:ascii="仿宋_GB2312" w:hAnsi="仿宋_GB2312" w:eastAsia="仿宋_GB2312" w:cs="仿宋_GB2312"/>
          <w:color w:val="auto"/>
          <w:sz w:val="32"/>
          <w:szCs w:val="32"/>
        </w:rPr>
        <w:t>持续</w:t>
      </w:r>
      <w:r>
        <w:rPr>
          <w:rFonts w:hint="eastAsia" w:ascii="仿宋_GB2312" w:hAnsi="仿宋_GB2312" w:eastAsia="仿宋_GB2312" w:cs="仿宋_GB2312"/>
          <w:color w:val="auto"/>
          <w:sz w:val="32"/>
          <w:szCs w:val="32"/>
          <w:lang w:val="en-US" w:eastAsia="zh-CN"/>
        </w:rPr>
        <w:t>优化</w:t>
      </w:r>
      <w:r>
        <w:rPr>
          <w:rFonts w:hint="eastAsia" w:ascii="仿宋_GB2312" w:hAnsi="仿宋_GB2312" w:eastAsia="仿宋_GB2312" w:cs="仿宋_GB2312"/>
          <w:color w:val="auto"/>
          <w:sz w:val="32"/>
          <w:szCs w:val="32"/>
        </w:rPr>
        <w:t>提升公平公正的法治环境，深化重点产业领域法治风险防范体系建设，针对重大产业项目建设关键环节，开展全流程、跟踪式专项监督。深化“检企联络”机制，探索设立检察工作站，定期开展“法治体检”“送法上门”等活动。</w:t>
      </w:r>
      <w:r>
        <w:rPr>
          <w:rFonts w:hint="eastAsia" w:ascii="仿宋_GB2312" w:hAnsi="仿宋_GB2312" w:eastAsia="仿宋_GB2312" w:cs="Times New Roman"/>
          <w:color w:val="auto"/>
          <w:sz w:val="32"/>
          <w:szCs w:val="32"/>
        </w:rPr>
        <w:t>优化外商服务环境，</w:t>
      </w:r>
      <w:r>
        <w:rPr>
          <w:rFonts w:hint="eastAsia" w:ascii="Times New Roman" w:hAnsi="Times New Roman" w:eastAsia="仿宋_GB2312" w:cs="Times New Roman"/>
          <w:color w:val="auto"/>
          <w:sz w:val="32"/>
          <w:szCs w:val="22"/>
        </w:rPr>
        <w:t>建立外贸外资外包外经外智“五外联动”工作机制，形成涉外服务工作合力，建设一站式“涉外综合服务窗口”，为外籍人才投资创业、经贸活动提供出入境和工作居留便利。</w:t>
      </w:r>
    </w:p>
    <w:p w14:paraId="79ED0361">
      <w:pPr>
        <w:keepNext/>
        <w:keepLines/>
        <w:widowControl w:val="0"/>
        <w:spacing w:before="217" w:beforeLines="50" w:after="217" w:afterLines="50" w:line="560" w:lineRule="exact"/>
        <w:ind w:firstLine="0" w:firstLineChars="0"/>
        <w:jc w:val="center"/>
        <w:outlineLvl w:val="0"/>
        <w:rPr>
          <w:rFonts w:hint="eastAsia" w:ascii="方正小标宋简体" w:hAnsi="方正小标宋简体" w:eastAsia="方正小标宋简体" w:cs="方正小标宋简体"/>
          <w:bCs/>
          <w:color w:val="auto"/>
          <w:kern w:val="44"/>
          <w:sz w:val="36"/>
          <w:szCs w:val="48"/>
          <w:lang w:val="en-US" w:eastAsia="zh-CN" w:bidi="ar-SA"/>
        </w:rPr>
      </w:pPr>
      <w:bookmarkStart w:id="177" w:name="_Toc27573"/>
      <w:bookmarkStart w:id="178" w:name="_Toc12458"/>
      <w:bookmarkStart w:id="179" w:name="_Toc230591557"/>
      <w:bookmarkStart w:id="180" w:name="_Toc230188719"/>
      <w:bookmarkStart w:id="181" w:name="_Toc14934"/>
      <w:bookmarkStart w:id="182" w:name="_Toc5929"/>
      <w:r>
        <w:rPr>
          <w:rFonts w:hint="eastAsia" w:ascii="方正小标宋简体" w:hAnsi="方正小标宋简体" w:eastAsia="方正小标宋简体" w:cs="方正小标宋简体"/>
          <w:bCs/>
          <w:color w:val="auto"/>
          <w:kern w:val="44"/>
          <w:sz w:val="36"/>
          <w:szCs w:val="48"/>
          <w:lang w:val="en-US" w:eastAsia="zh-CN" w:bidi="ar-SA"/>
        </w:rPr>
        <w:t>第六章 优化城市空间和功能布局，推进城市品质内涵提升</w:t>
      </w:r>
      <w:bookmarkEnd w:id="177"/>
      <w:bookmarkEnd w:id="178"/>
      <w:bookmarkEnd w:id="179"/>
      <w:bookmarkEnd w:id="180"/>
      <w:bookmarkEnd w:id="181"/>
      <w:bookmarkEnd w:id="182"/>
    </w:p>
    <w:p w14:paraId="14A78E03">
      <w:pPr>
        <w:spacing w:line="560" w:lineRule="exact"/>
        <w:ind w:firstLine="640" w:firstLineChars="200"/>
        <w:rPr>
          <w:rFonts w:ascii="Times New Roman" w:hAnsi="Times New Roman" w:eastAsia="仿宋_GB2312" w:cs="Times New Roman"/>
          <w:color w:val="auto"/>
          <w:sz w:val="32"/>
          <w:szCs w:val="22"/>
        </w:rPr>
      </w:pPr>
      <w:r>
        <w:rPr>
          <w:rFonts w:hint="eastAsia" w:ascii="Times New Roman" w:hAnsi="Times New Roman" w:eastAsia="仿宋_GB2312" w:cs="Times New Roman"/>
          <w:color w:val="auto"/>
          <w:sz w:val="32"/>
          <w:szCs w:val="22"/>
        </w:rPr>
        <w:t>聚焦“优基础、补短板、利长远、增后劲”，以系统思维推进交通、能源、市政、数字等重大基础设施建设，实现</w:t>
      </w:r>
      <w:r>
        <w:rPr>
          <w:rFonts w:hint="eastAsia" w:ascii="仿宋_GB2312" w:hAnsi="Times New Roman" w:eastAsia="仿宋_GB2312" w:cs="Times New Roman"/>
          <w:color w:val="auto"/>
          <w:sz w:val="32"/>
          <w:szCs w:val="22"/>
        </w:rPr>
        <w:t>“科产城人文”融通发展、全面升级。</w:t>
      </w:r>
    </w:p>
    <w:p w14:paraId="7AFFC09C">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183" w:name="_Toc28336"/>
      <w:bookmarkStart w:id="184" w:name="_Toc230591558"/>
      <w:bookmarkStart w:id="185" w:name="_Toc31470"/>
      <w:bookmarkStart w:id="186" w:name="_Toc3690"/>
      <w:bookmarkStart w:id="187" w:name="_Toc230188720"/>
      <w:bookmarkStart w:id="188" w:name="_Toc31200"/>
      <w:r>
        <w:rPr>
          <w:rFonts w:hint="eastAsia" w:ascii="黑体" w:hAnsi="黑体" w:eastAsia="黑体" w:cs="Times New Roman"/>
          <w:b w:val="0"/>
          <w:bCs w:val="0"/>
          <w:color w:val="auto"/>
          <w:kern w:val="2"/>
          <w:sz w:val="32"/>
          <w:szCs w:val="32"/>
          <w:lang w:val="en-US" w:eastAsia="zh-CN" w:bidi="ar-SA"/>
        </w:rPr>
        <w:t>第一节  优化国土空间格局</w:t>
      </w:r>
      <w:bookmarkEnd w:id="183"/>
      <w:bookmarkEnd w:id="184"/>
      <w:bookmarkEnd w:id="185"/>
      <w:bookmarkEnd w:id="186"/>
      <w:bookmarkEnd w:id="187"/>
      <w:bookmarkEnd w:id="188"/>
    </w:p>
    <w:p w14:paraId="408D115D">
      <w:pPr>
        <w:spacing w:line="560" w:lineRule="exact"/>
        <w:ind w:firstLine="640" w:firstLineChars="200"/>
        <w:rPr>
          <w:rFonts w:hint="eastAsia" w:ascii="Times New Roman" w:hAnsi="Times New Roman" w:eastAsia="仿宋_GB2312" w:cs="Times New Roman"/>
          <w:color w:val="auto"/>
          <w:sz w:val="32"/>
          <w:szCs w:val="22"/>
        </w:rPr>
      </w:pPr>
      <w:r>
        <w:rPr>
          <w:rFonts w:ascii="Times New Roman" w:hAnsi="Times New Roman" w:eastAsia="仿宋_GB2312" w:cs="Times New Roman"/>
          <w:color w:val="auto"/>
          <w:sz w:val="32"/>
          <w:szCs w:val="22"/>
        </w:rPr>
        <w:t>从</w:t>
      </w:r>
      <w:r>
        <w:rPr>
          <w:rFonts w:hint="eastAsia" w:ascii="仿宋_GB2312" w:hAnsi="Times New Roman" w:eastAsia="仿宋_GB2312" w:cs="Times New Roman"/>
          <w:color w:val="auto"/>
          <w:sz w:val="32"/>
          <w:szCs w:val="22"/>
        </w:rPr>
        <w:t>“以产为本”转向“以人为本”</w:t>
      </w:r>
      <w:r>
        <w:rPr>
          <w:rFonts w:ascii="Times New Roman" w:hAnsi="Times New Roman" w:eastAsia="仿宋_GB2312" w:cs="Times New Roman"/>
          <w:color w:val="auto"/>
          <w:sz w:val="32"/>
          <w:szCs w:val="22"/>
        </w:rPr>
        <w:t>，将科技人才、产业工人、常住居民作为空间规划的出发点和落脚点</w:t>
      </w:r>
      <w:r>
        <w:rPr>
          <w:rFonts w:hint="eastAsia" w:ascii="Times New Roman" w:hAnsi="Times New Roman" w:eastAsia="仿宋_GB2312" w:cs="Times New Roman"/>
          <w:color w:val="auto"/>
          <w:sz w:val="32"/>
          <w:szCs w:val="22"/>
        </w:rPr>
        <w:t>，立足自然地理格局，落实主体功能区战略，强化底线管控，统筹全域布局，形成“三轴一带、一屏一廊、三区联动”的国土空间开发保护总体格局。落实分区规划空间结构与用地布局，优化形成“两中心、三基地、四片区”功能布局。</w:t>
      </w:r>
    </w:p>
    <w:p w14:paraId="196699F6">
      <w:pPr>
        <w:spacing w:line="560" w:lineRule="exact"/>
        <w:ind w:firstLine="640" w:firstLineChars="200"/>
        <w:rPr>
          <w:rFonts w:hint="eastAsia" w:ascii="Times New Roman" w:hAnsi="Times New Roman" w:eastAsia="仿宋_GB2312" w:cs="Times New Roman"/>
          <w:color w:val="auto"/>
          <w:sz w:val="32"/>
          <w:szCs w:val="22"/>
        </w:rPr>
      </w:pPr>
    </w:p>
    <w:p w14:paraId="34BECCD9">
      <w:pPr>
        <w:spacing w:line="560" w:lineRule="exact"/>
        <w:ind w:firstLine="640" w:firstLineChars="200"/>
        <w:rPr>
          <w:rFonts w:hint="eastAsia" w:ascii="Times New Roman" w:hAnsi="Times New Roman" w:eastAsia="仿宋_GB2312" w:cs="Times New Roman"/>
          <w:color w:val="auto"/>
          <w:sz w:val="32"/>
          <w:szCs w:val="22"/>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4"/>
      </w:tblGrid>
      <w:tr w14:paraId="2736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4" w:type="dxa"/>
          </w:tcPr>
          <w:p w14:paraId="7EDFFDD0">
            <w:pPr>
              <w:keepNext w:val="0"/>
              <w:keepLines w:val="0"/>
              <w:suppressLineNumbers w:val="0"/>
              <w:spacing w:before="217" w:beforeLines="50" w:beforeAutospacing="0" w:after="217" w:afterLines="50" w:afterAutospacing="0" w:line="400" w:lineRule="exact"/>
              <w:ind w:left="0" w:right="0" w:firstLine="0" w:firstLineChars="0"/>
              <w:jc w:val="center"/>
              <w:rPr>
                <w:rFonts w:hint="eastAsia" w:ascii="黑体" w:hAnsi="黑体" w:eastAsia="黑体" w:cs="黑体"/>
                <w:b/>
                <w:bCs/>
                <w:color w:val="auto"/>
                <w:sz w:val="28"/>
                <w:szCs w:val="21"/>
              </w:rPr>
            </w:pPr>
            <w:r>
              <w:rPr>
                <w:rFonts w:hint="eastAsia" w:ascii="黑体" w:hAnsi="黑体" w:eastAsia="黑体" w:cs="黑体"/>
                <w:b w:val="0"/>
                <w:bCs w:val="0"/>
                <w:color w:val="auto"/>
                <w:sz w:val="32"/>
                <w:szCs w:val="22"/>
              </w:rPr>
              <w:drawing>
                <wp:anchor distT="0" distB="0" distL="114300" distR="114300" simplePos="0" relativeHeight="251660288" behindDoc="0" locked="0" layoutInCell="1" allowOverlap="1">
                  <wp:simplePos x="0" y="0"/>
                  <wp:positionH relativeFrom="column">
                    <wp:posOffset>751840</wp:posOffset>
                  </wp:positionH>
                  <wp:positionV relativeFrom="paragraph">
                    <wp:posOffset>473075</wp:posOffset>
                  </wp:positionV>
                  <wp:extent cx="3952875" cy="4364990"/>
                  <wp:effectExtent l="0" t="0" r="9525" b="16510"/>
                  <wp:wrapNone/>
                  <wp:docPr id="6084631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463195" name="图片 1"/>
                          <pic:cNvPicPr>
                            <a:picLocks noChangeAspect="1"/>
                          </pic:cNvPicPr>
                        </pic:nvPicPr>
                        <pic:blipFill>
                          <a:blip r:embed="rId15">
                            <a:extLst>
                              <a:ext uri="{28A0092B-C50C-407E-A947-70E740481C1C}">
                                <a14:useLocalDpi xmlns:a14="http://schemas.microsoft.com/office/drawing/2010/main" val="0"/>
                              </a:ext>
                            </a:extLst>
                          </a:blip>
                          <a:srcRect l="1" t="1702" r="1426" b="1470"/>
                          <a:stretch>
                            <a:fillRect/>
                          </a:stretch>
                        </pic:blipFill>
                        <pic:spPr>
                          <a:xfrm>
                            <a:off x="0" y="0"/>
                            <a:ext cx="3952875" cy="4364990"/>
                          </a:xfrm>
                          <a:prstGeom prst="rect">
                            <a:avLst/>
                          </a:prstGeom>
                          <a:ln>
                            <a:noFill/>
                          </a:ln>
                        </pic:spPr>
                      </pic:pic>
                    </a:graphicData>
                  </a:graphic>
                </wp:anchor>
              </w:drawing>
            </w:r>
            <w:r>
              <w:rPr>
                <w:rFonts w:hint="eastAsia" w:ascii="黑体" w:hAnsi="黑体" w:eastAsia="黑体" w:cs="黑体"/>
                <w:b w:val="0"/>
                <w:bCs w:val="0"/>
                <w:color w:val="auto"/>
                <w:sz w:val="28"/>
                <w:szCs w:val="21"/>
              </w:rPr>
              <w:t>专栏2：“十五五”时期国土空间总体格局规划图</w:t>
            </w:r>
          </w:p>
          <w:p w14:paraId="72191D61">
            <w:pPr>
              <w:keepNext w:val="0"/>
              <w:keepLines w:val="0"/>
              <w:suppressLineNumbers w:val="0"/>
              <w:spacing w:before="0" w:beforeAutospacing="0" w:after="0" w:afterAutospacing="0" w:line="560" w:lineRule="exact"/>
              <w:ind w:left="0" w:right="0" w:firstLine="0" w:firstLineChars="0"/>
              <w:rPr>
                <w:rFonts w:hint="eastAsia" w:ascii="宋体" w:hAnsi="宋体" w:eastAsia="仿宋_GB2312" w:cs="Times New Roman"/>
                <w:b/>
                <w:bCs/>
                <w:color w:val="auto"/>
                <w:sz w:val="21"/>
                <w:szCs w:val="16"/>
              </w:rPr>
            </w:pPr>
          </w:p>
          <w:p w14:paraId="48890627">
            <w:pPr>
              <w:keepNext w:val="0"/>
              <w:keepLines w:val="0"/>
              <w:suppressLineNumbers w:val="0"/>
              <w:spacing w:before="0" w:beforeAutospacing="0" w:after="0" w:afterAutospacing="0" w:line="560" w:lineRule="exact"/>
              <w:ind w:left="0" w:right="0" w:firstLine="0" w:firstLineChars="0"/>
              <w:rPr>
                <w:rFonts w:hint="eastAsia" w:ascii="宋体" w:hAnsi="宋体" w:eastAsia="仿宋_GB2312" w:cs="Times New Roman"/>
                <w:b/>
                <w:bCs/>
                <w:color w:val="auto"/>
                <w:sz w:val="21"/>
                <w:szCs w:val="16"/>
              </w:rPr>
            </w:pPr>
          </w:p>
          <w:p w14:paraId="4BBDE002">
            <w:pPr>
              <w:keepNext w:val="0"/>
              <w:keepLines w:val="0"/>
              <w:suppressLineNumbers w:val="0"/>
              <w:spacing w:before="0" w:beforeAutospacing="0" w:after="0" w:afterAutospacing="0" w:line="560" w:lineRule="exact"/>
              <w:ind w:left="0" w:right="0" w:firstLine="0" w:firstLineChars="0"/>
              <w:rPr>
                <w:rFonts w:hint="eastAsia" w:ascii="宋体" w:hAnsi="宋体" w:eastAsia="仿宋_GB2312" w:cs="Times New Roman"/>
                <w:b/>
                <w:bCs/>
                <w:color w:val="auto"/>
                <w:sz w:val="21"/>
                <w:szCs w:val="16"/>
              </w:rPr>
            </w:pPr>
          </w:p>
          <w:p w14:paraId="4E477E66">
            <w:pPr>
              <w:keepNext w:val="0"/>
              <w:keepLines w:val="0"/>
              <w:suppressLineNumbers w:val="0"/>
              <w:spacing w:before="0" w:beforeAutospacing="0" w:after="0" w:afterAutospacing="0" w:line="560" w:lineRule="exact"/>
              <w:ind w:left="0" w:right="0" w:firstLine="0" w:firstLineChars="0"/>
              <w:rPr>
                <w:rFonts w:hint="eastAsia" w:ascii="宋体" w:hAnsi="宋体" w:eastAsia="仿宋_GB2312" w:cs="Times New Roman"/>
                <w:b/>
                <w:bCs/>
                <w:color w:val="auto"/>
                <w:sz w:val="21"/>
                <w:szCs w:val="16"/>
              </w:rPr>
            </w:pPr>
          </w:p>
          <w:p w14:paraId="27C8E872">
            <w:pPr>
              <w:keepNext w:val="0"/>
              <w:keepLines w:val="0"/>
              <w:suppressLineNumbers w:val="0"/>
              <w:spacing w:before="0" w:beforeAutospacing="0" w:after="0" w:afterAutospacing="0" w:line="560" w:lineRule="exact"/>
              <w:ind w:left="0" w:right="0" w:firstLine="0" w:firstLineChars="0"/>
              <w:rPr>
                <w:rFonts w:hint="eastAsia" w:ascii="宋体" w:hAnsi="宋体" w:eastAsia="仿宋_GB2312" w:cs="Times New Roman"/>
                <w:b/>
                <w:bCs/>
                <w:color w:val="auto"/>
                <w:sz w:val="21"/>
                <w:szCs w:val="16"/>
              </w:rPr>
            </w:pPr>
          </w:p>
          <w:p w14:paraId="618A2BA3">
            <w:pPr>
              <w:keepNext w:val="0"/>
              <w:keepLines w:val="0"/>
              <w:suppressLineNumbers w:val="0"/>
              <w:spacing w:before="0" w:beforeAutospacing="0" w:after="0" w:afterAutospacing="0" w:line="560" w:lineRule="exact"/>
              <w:ind w:left="0" w:right="0" w:firstLine="0" w:firstLineChars="0"/>
              <w:rPr>
                <w:rFonts w:hint="default" w:ascii="Times New Roman" w:hAnsi="Times New Roman" w:eastAsia="仿宋_GB2312" w:cs="Times New Roman"/>
                <w:color w:val="auto"/>
                <w:sz w:val="32"/>
                <w:szCs w:val="22"/>
              </w:rPr>
            </w:pPr>
          </w:p>
          <w:p w14:paraId="0CB8FE56">
            <w:pPr>
              <w:keepNext w:val="0"/>
              <w:keepLines w:val="0"/>
              <w:suppressLineNumbers w:val="0"/>
              <w:spacing w:before="0" w:beforeAutospacing="0" w:after="0" w:afterAutospacing="0" w:line="560" w:lineRule="exact"/>
              <w:ind w:left="0" w:right="0" w:firstLine="0" w:firstLineChars="0"/>
              <w:rPr>
                <w:rFonts w:hint="default" w:ascii="Times New Roman" w:hAnsi="Times New Roman" w:eastAsia="仿宋_GB2312" w:cs="Times New Roman"/>
                <w:color w:val="auto"/>
                <w:sz w:val="32"/>
                <w:szCs w:val="22"/>
              </w:rPr>
            </w:pPr>
          </w:p>
          <w:p w14:paraId="3001CEDC">
            <w:pPr>
              <w:keepNext w:val="0"/>
              <w:keepLines w:val="0"/>
              <w:suppressLineNumbers w:val="0"/>
              <w:spacing w:before="0" w:beforeAutospacing="0" w:after="0" w:afterAutospacing="0" w:line="560" w:lineRule="exact"/>
              <w:ind w:left="0" w:right="0" w:firstLine="0" w:firstLineChars="0"/>
              <w:rPr>
                <w:rFonts w:hint="default" w:ascii="Times New Roman" w:hAnsi="Times New Roman" w:eastAsia="仿宋_GB2312" w:cs="Times New Roman"/>
                <w:color w:val="auto"/>
                <w:sz w:val="32"/>
                <w:szCs w:val="22"/>
              </w:rPr>
            </w:pPr>
          </w:p>
          <w:p w14:paraId="50698871">
            <w:pPr>
              <w:keepNext w:val="0"/>
              <w:keepLines w:val="0"/>
              <w:suppressLineNumbers w:val="0"/>
              <w:spacing w:before="0" w:beforeAutospacing="0" w:after="0" w:afterAutospacing="0" w:line="560" w:lineRule="exact"/>
              <w:ind w:left="0" w:right="0" w:firstLine="0" w:firstLineChars="0"/>
              <w:rPr>
                <w:rFonts w:hint="default" w:ascii="Times New Roman" w:hAnsi="Times New Roman" w:eastAsia="仿宋_GB2312" w:cs="Times New Roman"/>
                <w:color w:val="auto"/>
                <w:sz w:val="32"/>
                <w:szCs w:val="22"/>
              </w:rPr>
            </w:pPr>
          </w:p>
          <w:p w14:paraId="7BA42B91">
            <w:pPr>
              <w:keepNext w:val="0"/>
              <w:keepLines w:val="0"/>
              <w:suppressLineNumbers w:val="0"/>
              <w:spacing w:before="0" w:beforeAutospacing="0" w:after="0" w:afterAutospacing="0" w:line="560" w:lineRule="exact"/>
              <w:ind w:left="0" w:right="0" w:firstLine="0" w:firstLineChars="0"/>
              <w:rPr>
                <w:rFonts w:hint="default" w:ascii="Times New Roman" w:hAnsi="Times New Roman" w:eastAsia="仿宋_GB2312" w:cs="Times New Roman"/>
                <w:color w:val="auto"/>
                <w:sz w:val="32"/>
                <w:szCs w:val="22"/>
              </w:rPr>
            </w:pPr>
          </w:p>
          <w:p w14:paraId="642855AE">
            <w:pPr>
              <w:keepNext w:val="0"/>
              <w:keepLines w:val="0"/>
              <w:suppressLineNumbers w:val="0"/>
              <w:spacing w:before="0" w:beforeAutospacing="0" w:after="0" w:afterAutospacing="0" w:line="560" w:lineRule="exact"/>
              <w:ind w:left="0" w:right="0" w:firstLine="0" w:firstLineChars="0"/>
              <w:rPr>
                <w:rFonts w:hint="default" w:ascii="Times New Roman" w:hAnsi="Times New Roman" w:eastAsia="仿宋_GB2312" w:cs="Times New Roman"/>
                <w:color w:val="auto"/>
                <w:sz w:val="32"/>
                <w:szCs w:val="22"/>
              </w:rPr>
            </w:pPr>
          </w:p>
          <w:p w14:paraId="7A6BE5B9">
            <w:pPr>
              <w:keepNext w:val="0"/>
              <w:keepLines w:val="0"/>
              <w:suppressLineNumbers w:val="0"/>
              <w:spacing w:before="0" w:beforeAutospacing="0" w:after="0" w:afterAutospacing="0" w:line="560" w:lineRule="exact"/>
              <w:ind w:left="0" w:right="0" w:firstLine="0" w:firstLineChars="0"/>
              <w:rPr>
                <w:rFonts w:hint="default" w:ascii="Times New Roman" w:hAnsi="Times New Roman" w:eastAsia="仿宋_GB2312" w:cs="Times New Roman"/>
                <w:color w:val="auto"/>
                <w:sz w:val="32"/>
                <w:szCs w:val="22"/>
              </w:rPr>
            </w:pPr>
          </w:p>
          <w:p w14:paraId="1858F188">
            <w:pPr>
              <w:keepNext w:val="0"/>
              <w:keepLines w:val="0"/>
              <w:suppressLineNumbers w:val="0"/>
              <w:spacing w:before="0" w:beforeAutospacing="0" w:after="0" w:afterAutospacing="0" w:line="560" w:lineRule="exact"/>
              <w:ind w:left="0" w:right="0" w:firstLine="0" w:firstLineChars="0"/>
              <w:rPr>
                <w:rFonts w:hint="default" w:ascii="Times New Roman" w:hAnsi="Times New Roman" w:eastAsia="仿宋_GB2312" w:cs="Times New Roman"/>
                <w:color w:val="auto"/>
                <w:sz w:val="32"/>
                <w:szCs w:val="22"/>
              </w:rPr>
            </w:pPr>
          </w:p>
        </w:tc>
      </w:tr>
    </w:tbl>
    <w:p w14:paraId="763229AB">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“两中心、三基地、四片区”功能布局。</w:t>
      </w:r>
      <w:r>
        <w:rPr>
          <w:rFonts w:hint="eastAsia" w:ascii="仿宋_GB2312" w:hAnsi="Times New Roman" w:eastAsia="仿宋_GB2312" w:cs="Times New Roman"/>
          <w:color w:val="auto"/>
          <w:sz w:val="32"/>
          <w:szCs w:val="22"/>
        </w:rPr>
        <w:t>“两中心”：高标准打造综合配套完善的科</w:t>
      </w:r>
      <w:r>
        <w:rPr>
          <w:rFonts w:hint="eastAsia" w:ascii="仿宋_GB2312" w:hAnsi="仿宋_GB2312" w:eastAsia="仿宋_GB2312" w:cs="仿宋_GB2312"/>
          <w:color w:val="auto"/>
          <w:sz w:val="32"/>
          <w:szCs w:val="22"/>
        </w:rPr>
        <w:t>创CBD</w:t>
      </w:r>
      <w:r>
        <w:rPr>
          <w:rFonts w:hint="eastAsia" w:ascii="仿宋_GB2312" w:hAnsi="Times New Roman" w:eastAsia="仿宋_GB2312" w:cs="Times New Roman"/>
          <w:color w:val="auto"/>
          <w:sz w:val="32"/>
          <w:szCs w:val="22"/>
        </w:rPr>
        <w:t>、东部生态活力中心，构建东西两翼遥相呼应、协同发展的新格局。“三基地”：打造创新创业融合发展的产学研融合基地、未来场景试验基地、未来产业及战略留白基地。“四片区”：依托现有产业基础，盘活低效存量用地，以腾笼换业赋能产业迭代，推动生物医药、航空航天、海洋工程、现代服务业产业集聚发展。</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19F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7D756EB1">
            <w:pPr>
              <w:keepNext w:val="0"/>
              <w:keepLines w:val="0"/>
              <w:suppressLineNumbers w:val="0"/>
              <w:spacing w:before="217" w:beforeLines="50" w:beforeAutospacing="0" w:after="217" w:afterLines="50" w:afterAutospacing="0" w:line="400" w:lineRule="exact"/>
              <w:ind w:left="0" w:right="0" w:firstLine="0" w:firstLineChars="0"/>
              <w:jc w:val="center"/>
              <w:rPr>
                <w:rFonts w:hint="eastAsia" w:ascii="黑体" w:hAnsi="黑体" w:eastAsia="黑体" w:cs="黑体"/>
                <w:b w:val="0"/>
                <w:bCs w:val="0"/>
                <w:color w:val="auto"/>
                <w:sz w:val="28"/>
                <w:szCs w:val="28"/>
              </w:rPr>
            </w:pPr>
            <w:r>
              <w:rPr>
                <w:rFonts w:hint="eastAsia" w:ascii="黑体" w:hAnsi="黑体" w:eastAsia="黑体" w:cs="黑体"/>
                <w:b w:val="0"/>
                <w:bCs w:val="0"/>
                <w:color w:val="auto"/>
                <w:sz w:val="32"/>
                <w:szCs w:val="22"/>
              </w:rPr>
              <w:drawing>
                <wp:anchor distT="0" distB="0" distL="114300" distR="114300" simplePos="0" relativeHeight="251661312" behindDoc="0" locked="0" layoutInCell="1" allowOverlap="1">
                  <wp:simplePos x="0" y="0"/>
                  <wp:positionH relativeFrom="column">
                    <wp:posOffset>81915</wp:posOffset>
                  </wp:positionH>
                  <wp:positionV relativeFrom="paragraph">
                    <wp:posOffset>435610</wp:posOffset>
                  </wp:positionV>
                  <wp:extent cx="4978400" cy="4850765"/>
                  <wp:effectExtent l="0" t="0" r="12700" b="698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4978400" cy="4850765"/>
                          </a:xfrm>
                          <a:prstGeom prst="rect">
                            <a:avLst/>
                          </a:prstGeom>
                          <a:noFill/>
                          <a:ln>
                            <a:noFill/>
                          </a:ln>
                        </pic:spPr>
                      </pic:pic>
                    </a:graphicData>
                  </a:graphic>
                </wp:anchor>
              </w:drawing>
            </w:r>
            <w:r>
              <w:rPr>
                <w:rFonts w:hint="eastAsia" w:ascii="黑体" w:hAnsi="黑体" w:eastAsia="黑体" w:cs="黑体"/>
                <w:b w:val="0"/>
                <w:bCs w:val="0"/>
                <w:color w:val="auto"/>
                <w:sz w:val="28"/>
                <w:szCs w:val="21"/>
              </w:rPr>
              <w:t>专栏3：</w:t>
            </w:r>
            <w:r>
              <w:rPr>
                <w:rFonts w:hint="eastAsia" w:ascii="黑体" w:hAnsi="黑体" w:eastAsia="黑体" w:cs="黑体"/>
                <w:b w:val="0"/>
                <w:bCs w:val="0"/>
                <w:color w:val="auto"/>
                <w:sz w:val="28"/>
                <w:szCs w:val="28"/>
              </w:rPr>
              <w:t>“两中心、三基地、四片区”建设内容</w:t>
            </w:r>
          </w:p>
          <w:p w14:paraId="1D2479F5">
            <w:pPr>
              <w:keepNext w:val="0"/>
              <w:keepLines w:val="0"/>
              <w:suppressLineNumbers w:val="0"/>
              <w:spacing w:before="0" w:beforeAutospacing="0" w:after="0" w:afterAutospacing="0" w:line="400" w:lineRule="exact"/>
              <w:ind w:left="0" w:right="0" w:firstLine="560" w:firstLineChars="200"/>
              <w:rPr>
                <w:rFonts w:hint="eastAsia" w:ascii="仿宋_GB2312" w:hAnsi="楷体_GB2312" w:eastAsia="仿宋_GB2312" w:cs="楷体_GB2312"/>
                <w:color w:val="auto"/>
                <w:sz w:val="28"/>
                <w:szCs w:val="21"/>
              </w:rPr>
            </w:pPr>
            <w:r>
              <w:rPr>
                <w:rFonts w:hint="eastAsia" w:ascii="楷体_GB2312" w:hAnsi="楷体_GB2312" w:eastAsia="楷体_GB2312" w:cs="楷体_GB2312"/>
                <w:b w:val="0"/>
                <w:bCs w:val="0"/>
                <w:color w:val="auto"/>
                <w:sz w:val="28"/>
                <w:szCs w:val="21"/>
              </w:rPr>
              <w:t>两中心：</w:t>
            </w:r>
            <w:r>
              <w:rPr>
                <w:rFonts w:hint="eastAsia" w:ascii="仿宋_GB2312" w:hAnsi="仿宋_GB2312" w:eastAsia="仿宋_GB2312" w:cs="仿宋_GB2312"/>
                <w:b w:val="0"/>
                <w:bCs w:val="0"/>
                <w:color w:val="auto"/>
                <w:sz w:val="28"/>
                <w:szCs w:val="21"/>
              </w:rPr>
              <w:t>科创CBD</w:t>
            </w:r>
            <w:r>
              <w:rPr>
                <w:rFonts w:hint="eastAsia" w:ascii="仿宋_GB2312" w:hAnsi="楷体_GB2312" w:eastAsia="仿宋_GB2312" w:cs="楷体_GB2312"/>
                <w:b w:val="0"/>
                <w:bCs w:val="0"/>
                <w:color w:val="auto"/>
                <w:sz w:val="28"/>
                <w:szCs w:val="21"/>
              </w:rPr>
              <w:t>。</w:t>
            </w:r>
            <w:r>
              <w:rPr>
                <w:rFonts w:hint="eastAsia" w:ascii="仿宋_GB2312" w:hAnsi="Times New Roman" w:eastAsia="仿宋_GB2312" w:cs="Times New Roman"/>
                <w:b w:val="0"/>
                <w:bCs w:val="0"/>
                <w:color w:val="auto"/>
                <w:sz w:val="28"/>
                <w:szCs w:val="21"/>
              </w:rPr>
              <w:t>以</w:t>
            </w:r>
            <w:r>
              <w:rPr>
                <w:rFonts w:hint="eastAsia" w:ascii="仿宋_GB2312" w:hAnsi="Times New Roman" w:eastAsia="仿宋_GB2312" w:cs="Times New Roman"/>
                <w:color w:val="auto"/>
                <w:sz w:val="28"/>
                <w:szCs w:val="21"/>
              </w:rPr>
              <w:t>管委会为中心，依托孵化器、研发大厦、商务楼宇等空间载体，串联产学研融合基地、未来产业与战略留白基地、</w:t>
            </w:r>
            <w:r>
              <w:rPr>
                <w:rFonts w:hint="eastAsia" w:ascii="仿宋_GB2312" w:hAnsi="Times New Roman" w:eastAsia="仿宋_GB2312" w:cs="Times New Roman"/>
                <w:color w:val="auto"/>
                <w:sz w:val="28"/>
                <w:szCs w:val="21"/>
                <w:lang w:val="en-US" w:eastAsia="zh-CN"/>
              </w:rPr>
              <w:t>主导产业</w:t>
            </w:r>
            <w:r>
              <w:rPr>
                <w:rFonts w:hint="eastAsia" w:ascii="仿宋_GB2312" w:hAnsi="Times New Roman" w:eastAsia="仿宋_GB2312" w:cs="Times New Roman"/>
                <w:color w:val="auto"/>
                <w:sz w:val="28"/>
                <w:szCs w:val="21"/>
              </w:rPr>
              <w:t>集聚区等重要节点，重点发展总部经济、服务经济、楼宇经济，聚力打造集科技研发、成果转化、创业孵化、商贸、金融、文化消费于一体的科创活力引擎。</w:t>
            </w:r>
            <w:r>
              <w:rPr>
                <w:rFonts w:hint="eastAsia" w:ascii="仿宋_GB2312" w:hAnsi="楷体_GB2312" w:eastAsia="仿宋_GB2312" w:cs="楷体_GB2312"/>
                <w:b w:val="0"/>
                <w:bCs w:val="0"/>
                <w:color w:val="auto"/>
                <w:sz w:val="28"/>
                <w:szCs w:val="21"/>
              </w:rPr>
              <w:t>东部生态活力中心。</w:t>
            </w:r>
            <w:r>
              <w:rPr>
                <w:rFonts w:hint="eastAsia" w:ascii="仿宋_GB2312" w:hAnsi="楷体_GB2312" w:eastAsia="仿宋_GB2312" w:cs="楷体_GB2312"/>
                <w:color w:val="auto"/>
                <w:sz w:val="28"/>
                <w:szCs w:val="21"/>
              </w:rPr>
              <w:t>聚焦“文旅+”融合发展，</w:t>
            </w:r>
            <w:r>
              <w:rPr>
                <w:rFonts w:hint="eastAsia" w:ascii="仿宋_GB2312" w:hAnsi="Times New Roman" w:eastAsia="仿宋_GB2312" w:cs="Times New Roman"/>
                <w:color w:val="auto"/>
                <w:sz w:val="28"/>
                <w:szCs w:val="21"/>
              </w:rPr>
              <w:t>串联形成</w:t>
            </w:r>
            <w:r>
              <w:rPr>
                <w:rFonts w:hint="eastAsia" w:ascii="仿宋_GB2312" w:hAnsi="仿宋_GB2312" w:eastAsia="仿宋_GB2312" w:cs="仿宋_GB2312"/>
                <w:color w:val="auto"/>
                <w:sz w:val="28"/>
                <w:szCs w:val="21"/>
              </w:rPr>
              <w:t>“产业－居住－休闲－商业”</w:t>
            </w:r>
            <w:r>
              <w:rPr>
                <w:rFonts w:hint="eastAsia" w:ascii="仿宋_GB2312" w:hAnsi="Times New Roman" w:eastAsia="仿宋_GB2312" w:cs="Times New Roman"/>
                <w:color w:val="auto"/>
                <w:sz w:val="28"/>
                <w:szCs w:val="21"/>
              </w:rPr>
              <w:t>四大功能，推动滨海文旅、海洋经济、现代服务业与新兴产业深度融合，着力建设集文旅体验、艺术交流、品质消费、宜居生活、生态涵养于一体的城市活力新高地。</w:t>
            </w:r>
          </w:p>
          <w:p w14:paraId="1B677702">
            <w:pPr>
              <w:keepNext w:val="0"/>
              <w:keepLines w:val="0"/>
              <w:suppressLineNumbers w:val="0"/>
              <w:spacing w:before="0" w:beforeAutospacing="0" w:after="0" w:afterAutospacing="0" w:line="400" w:lineRule="exact"/>
              <w:ind w:left="0" w:right="0" w:firstLine="560" w:firstLineChars="200"/>
              <w:rPr>
                <w:rFonts w:hint="default" w:ascii="仿宋_GB2312" w:hAnsi="Times New Roman" w:eastAsia="仿宋_GB2312" w:cs="Times New Roman"/>
                <w:b w:val="0"/>
                <w:bCs w:val="0"/>
                <w:color w:val="auto"/>
                <w:sz w:val="28"/>
                <w:szCs w:val="21"/>
              </w:rPr>
            </w:pPr>
            <w:r>
              <w:rPr>
                <w:rFonts w:hint="eastAsia" w:ascii="仿宋_GB2312" w:hAnsi="Times New Roman" w:eastAsia="仿宋_GB2312" w:cs="Times New Roman"/>
                <w:b w:val="0"/>
                <w:bCs w:val="0"/>
                <w:color w:val="auto"/>
                <w:sz w:val="28"/>
                <w:szCs w:val="21"/>
              </w:rPr>
              <w:t>三基地：产学研融合基地。依托高校院所深化产学研协同联动，推动院校、科研机构与企业资源互通共享，加速知识技术外溢转化，全面凝聚多方协同创新合力。未来产业及战略留白基地。立足世界设计公园周边优质的区域生态环境，丰富的科创产业资源，规划未来产业及战略留白基地，前瞻布局新型基础设施，预留发展承载空间，夯实产业培育基础。未来场景试验基地。依托南部永久基本农田，建设未来场景试验基地，推动农业与数智产业融合发展，深度挖掘农业场景，探索发展精准农业、休闲农业。</w:t>
            </w:r>
          </w:p>
          <w:p w14:paraId="0BFC4979">
            <w:pPr>
              <w:keepNext w:val="0"/>
              <w:keepLines w:val="0"/>
              <w:suppressLineNumbers w:val="0"/>
              <w:spacing w:before="0" w:beforeAutospacing="0" w:after="0" w:afterAutospacing="0" w:line="400" w:lineRule="exact"/>
              <w:ind w:left="0" w:right="0" w:firstLine="560" w:firstLineChars="200"/>
              <w:rPr>
                <w:rFonts w:hint="eastAsia" w:ascii="仿宋_GB2312" w:hAnsi="Times New Roman" w:eastAsia="仿宋_GB2312" w:cs="Times New Roman"/>
                <w:color w:val="auto"/>
                <w:sz w:val="28"/>
                <w:szCs w:val="21"/>
              </w:rPr>
            </w:pPr>
            <w:r>
              <w:rPr>
                <w:rFonts w:hint="eastAsia" w:ascii="仿宋_GB2312" w:hAnsi="Times New Roman" w:eastAsia="仿宋_GB2312" w:cs="Times New Roman"/>
                <w:b w:val="0"/>
                <w:bCs w:val="0"/>
                <w:color w:val="auto"/>
                <w:sz w:val="28"/>
                <w:szCs w:val="21"/>
              </w:rPr>
              <w:t>四片区：生物医药产业集聚区。重点发展</w:t>
            </w:r>
            <w:r>
              <w:rPr>
                <w:rFonts w:hint="eastAsia" w:ascii="仿宋_GB2312" w:hAnsi="Times New Roman" w:eastAsia="仿宋_GB2312" w:cs="Times New Roman"/>
                <w:b w:val="0"/>
                <w:bCs w:val="0"/>
                <w:color w:val="auto"/>
                <w:sz w:val="28"/>
                <w:szCs w:val="21"/>
                <w:lang w:val="en-US" w:eastAsia="zh-CN"/>
              </w:rPr>
              <w:t>小分子</w:t>
            </w:r>
            <w:r>
              <w:rPr>
                <w:rFonts w:hint="eastAsia" w:ascii="仿宋_GB2312" w:hAnsi="Times New Roman" w:eastAsia="仿宋_GB2312" w:cs="Times New Roman"/>
                <w:b w:val="0"/>
                <w:bCs w:val="0"/>
                <w:color w:val="auto"/>
                <w:sz w:val="28"/>
                <w:szCs w:val="21"/>
              </w:rPr>
              <w:t>创新药、生物</w:t>
            </w:r>
            <w:r>
              <w:rPr>
                <w:rFonts w:hint="eastAsia" w:ascii="仿宋_GB2312" w:hAnsi="Times New Roman" w:eastAsia="仿宋_GB2312" w:cs="Times New Roman"/>
                <w:b w:val="0"/>
                <w:bCs w:val="0"/>
                <w:color w:val="auto"/>
                <w:sz w:val="28"/>
                <w:szCs w:val="21"/>
                <w:lang w:val="en-US" w:eastAsia="zh-CN"/>
              </w:rPr>
              <w:t>制品</w:t>
            </w:r>
            <w:r>
              <w:rPr>
                <w:rFonts w:hint="eastAsia" w:ascii="仿宋_GB2312" w:hAnsi="Times New Roman" w:eastAsia="仿宋_GB2312" w:cs="Times New Roman"/>
                <w:b w:val="0"/>
                <w:bCs w:val="0"/>
                <w:color w:val="auto"/>
                <w:sz w:val="28"/>
                <w:szCs w:val="21"/>
              </w:rPr>
              <w:t>、高端医疗器械、</w:t>
            </w:r>
            <w:r>
              <w:rPr>
                <w:rFonts w:hint="eastAsia" w:ascii="仿宋_GB2312" w:hAnsi="Times New Roman" w:eastAsia="仿宋_GB2312" w:cs="Times New Roman"/>
                <w:b w:val="0"/>
                <w:bCs w:val="0"/>
                <w:color w:val="auto"/>
                <w:sz w:val="28"/>
                <w:szCs w:val="21"/>
                <w:lang w:val="en-US" w:eastAsia="zh-CN"/>
              </w:rPr>
              <w:t>保健与特膳</w:t>
            </w:r>
            <w:r>
              <w:rPr>
                <w:rFonts w:hint="eastAsia" w:ascii="仿宋_GB2312" w:hAnsi="Times New Roman" w:eastAsia="仿宋_GB2312" w:cs="Times New Roman"/>
                <w:b w:val="0"/>
                <w:bCs w:val="0"/>
                <w:color w:val="auto"/>
                <w:sz w:val="28"/>
                <w:szCs w:val="21"/>
              </w:rPr>
              <w:t>食品、医疗康养</w:t>
            </w:r>
            <w:r>
              <w:rPr>
                <w:rFonts w:hint="eastAsia" w:ascii="仿宋_GB2312" w:hAnsi="Times New Roman" w:eastAsia="仿宋_GB2312" w:cs="Times New Roman"/>
                <w:b w:val="0"/>
                <w:bCs w:val="0"/>
                <w:color w:val="auto"/>
                <w:sz w:val="28"/>
                <w:szCs w:val="21"/>
                <w:lang w:val="en-US" w:eastAsia="zh-CN"/>
              </w:rPr>
              <w:t>服务</w:t>
            </w:r>
            <w:r>
              <w:rPr>
                <w:rFonts w:hint="eastAsia" w:ascii="仿宋_GB2312" w:hAnsi="Times New Roman" w:eastAsia="仿宋_GB2312" w:cs="Times New Roman"/>
                <w:b w:val="0"/>
                <w:bCs w:val="0"/>
                <w:color w:val="auto"/>
                <w:sz w:val="28"/>
                <w:szCs w:val="21"/>
              </w:rPr>
              <w:t>。航空航天产业集聚区。重点发展卫星总装测试、卫星关键部组件研制、航空航天核心零部件领域，推进</w:t>
            </w:r>
            <w:r>
              <w:rPr>
                <w:rFonts w:hint="eastAsia" w:ascii="仿宋_GB2312" w:hAnsi="Times New Roman" w:eastAsia="仿宋_GB2312" w:cs="Times New Roman"/>
                <w:b w:val="0"/>
                <w:bCs w:val="0"/>
                <w:color w:val="auto"/>
                <w:sz w:val="28"/>
                <w:szCs w:val="21"/>
                <w:lang w:val="en-US" w:eastAsia="zh-CN"/>
              </w:rPr>
              <w:t>空天信息应用</w:t>
            </w:r>
            <w:r>
              <w:rPr>
                <w:rFonts w:hint="eastAsia" w:ascii="仿宋_GB2312" w:hAnsi="Times New Roman" w:eastAsia="仿宋_GB2312" w:cs="Times New Roman"/>
                <w:b w:val="0"/>
                <w:bCs w:val="0"/>
                <w:color w:val="auto"/>
                <w:sz w:val="28"/>
                <w:szCs w:val="21"/>
              </w:rPr>
              <w:t>产业集聚发展。海洋工程产业集聚区。重点发展海工装备、海洋新能源、海洋新材料</w:t>
            </w:r>
            <w:r>
              <w:rPr>
                <w:rFonts w:hint="eastAsia" w:ascii="仿宋_GB2312" w:hAnsi="Times New Roman" w:eastAsia="仿宋_GB2312" w:cs="Times New Roman"/>
                <w:b w:val="0"/>
                <w:bCs w:val="0"/>
                <w:color w:val="auto"/>
                <w:sz w:val="28"/>
                <w:szCs w:val="21"/>
                <w:lang w:eastAsia="zh-CN"/>
              </w:rPr>
              <w:t>、</w:t>
            </w:r>
            <w:r>
              <w:rPr>
                <w:rFonts w:hint="eastAsia" w:ascii="仿宋_GB2312" w:hAnsi="Times New Roman" w:eastAsia="仿宋_GB2312" w:cs="Times New Roman"/>
                <w:b w:val="0"/>
                <w:bCs w:val="0"/>
                <w:color w:val="auto"/>
                <w:sz w:val="28"/>
                <w:szCs w:val="21"/>
                <w:lang w:val="en-US" w:eastAsia="zh-CN"/>
              </w:rPr>
              <w:t>海工配套服务</w:t>
            </w:r>
            <w:r>
              <w:rPr>
                <w:rFonts w:hint="eastAsia" w:ascii="仿宋_GB2312" w:hAnsi="Times New Roman" w:eastAsia="仿宋_GB2312" w:cs="Times New Roman"/>
                <w:b w:val="0"/>
                <w:bCs w:val="0"/>
                <w:color w:val="auto"/>
                <w:sz w:val="28"/>
                <w:szCs w:val="21"/>
              </w:rPr>
              <w:t>领域。现代服务业集聚区。串联生物医药产业发展区、海洋工程产业发展区、航空航天产业发展区等产业园区，发展附加值高、环境友好的高技术产业。</w:t>
            </w:r>
          </w:p>
        </w:tc>
      </w:tr>
    </w:tbl>
    <w:p w14:paraId="23C590C0">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189" w:name="_Toc26761"/>
      <w:bookmarkStart w:id="190" w:name="_Toc230591559"/>
      <w:bookmarkStart w:id="191" w:name="_Toc15277"/>
      <w:bookmarkStart w:id="192" w:name="_Toc230188721"/>
      <w:bookmarkStart w:id="193" w:name="_Toc11433"/>
      <w:bookmarkStart w:id="194" w:name="_Toc15299"/>
      <w:r>
        <w:rPr>
          <w:rFonts w:hint="eastAsia" w:ascii="黑体" w:hAnsi="黑体" w:eastAsia="黑体" w:cs="Times New Roman"/>
          <w:b w:val="0"/>
          <w:bCs w:val="0"/>
          <w:color w:val="auto"/>
          <w:kern w:val="2"/>
          <w:sz w:val="32"/>
          <w:szCs w:val="32"/>
          <w:lang w:val="en-US" w:eastAsia="zh-CN" w:bidi="ar-SA"/>
        </w:rPr>
        <w:t>第二节  加快基础设施建设</w:t>
      </w:r>
      <w:bookmarkEnd w:id="189"/>
      <w:bookmarkEnd w:id="190"/>
      <w:bookmarkEnd w:id="191"/>
      <w:bookmarkEnd w:id="192"/>
      <w:bookmarkEnd w:id="193"/>
      <w:bookmarkEnd w:id="194"/>
    </w:p>
    <w:p w14:paraId="6D4EC8D9">
      <w:pPr>
        <w:spacing w:line="560" w:lineRule="exact"/>
        <w:ind w:firstLine="640" w:firstLineChars="200"/>
        <w:rPr>
          <w:rFonts w:ascii="Times New Roman" w:hAnsi="Times New Roman" w:eastAsia="仿宋_GB2312" w:cs="Times New Roman"/>
          <w:color w:val="auto"/>
          <w:sz w:val="32"/>
          <w:szCs w:val="22"/>
          <w:lang w:bidi="ar"/>
        </w:rPr>
      </w:pPr>
      <w:r>
        <w:rPr>
          <w:rFonts w:hint="eastAsia" w:ascii="楷体_GB2312" w:hAnsi="Times New Roman" w:eastAsia="楷体_GB2312" w:cs="Times New Roman"/>
          <w:color w:val="auto"/>
          <w:sz w:val="32"/>
          <w:szCs w:val="22"/>
        </w:rPr>
        <w:t>推进城市基础设施建设改造。</w:t>
      </w:r>
      <w:r>
        <w:rPr>
          <w:rFonts w:hint="eastAsia" w:ascii="Times New Roman" w:hAnsi="Times New Roman" w:eastAsia="仿宋_GB2312" w:cs="Times New Roman"/>
          <w:bCs/>
          <w:color w:val="auto"/>
          <w:sz w:val="32"/>
          <w:szCs w:val="22"/>
          <w:lang w:bidi="ar"/>
        </w:rPr>
        <w:t>加快推进城市安全生命线工程，提升城市运行安全和韧性。</w:t>
      </w:r>
      <w:r>
        <w:rPr>
          <w:rFonts w:ascii="Times New Roman" w:hAnsi="Times New Roman" w:eastAsia="仿宋_GB2312" w:cs="Times New Roman"/>
          <w:color w:val="auto"/>
          <w:sz w:val="32"/>
          <w:szCs w:val="22"/>
        </w:rPr>
        <w:t>争取市级层面支持，</w:t>
      </w:r>
      <w:r>
        <w:rPr>
          <w:rFonts w:hint="eastAsia" w:ascii="Times New Roman" w:hAnsi="Times New Roman" w:eastAsia="仿宋_GB2312" w:cs="Times New Roman"/>
          <w:bCs/>
          <w:color w:val="auto"/>
          <w:sz w:val="32"/>
          <w:szCs w:val="22"/>
          <w:lang w:bidi="ar"/>
        </w:rPr>
        <w:t>有序推进</w:t>
      </w:r>
      <w:r>
        <w:rPr>
          <w:rFonts w:hint="eastAsia" w:ascii="Times New Roman" w:hAnsi="Times New Roman" w:eastAsia="仿宋_GB2312" w:cs="Times New Roman"/>
          <w:color w:val="auto"/>
          <w:sz w:val="32"/>
          <w:szCs w:val="22"/>
        </w:rPr>
        <w:t>航天路、海天路、兴埠路、安定路等道路工程项目，</w:t>
      </w:r>
      <w:r>
        <w:rPr>
          <w:rFonts w:ascii="Times New Roman" w:hAnsi="Times New Roman" w:eastAsia="仿宋_GB2312" w:cs="Times New Roman"/>
          <w:color w:val="auto"/>
          <w:sz w:val="32"/>
          <w:szCs w:val="22"/>
        </w:rPr>
        <w:t>打通道路梗阻，完善交通路网配套，提升对外通达性</w:t>
      </w:r>
      <w:r>
        <w:rPr>
          <w:rFonts w:hint="eastAsia" w:ascii="Times New Roman" w:hAnsi="Times New Roman" w:eastAsia="仿宋_GB2312" w:cs="Times New Roman"/>
          <w:color w:val="auto"/>
          <w:sz w:val="32"/>
          <w:szCs w:val="22"/>
          <w:lang w:eastAsia="zh-CN"/>
        </w:rPr>
        <w:t>，</w:t>
      </w:r>
      <w:r>
        <w:rPr>
          <w:rFonts w:ascii="Times New Roman" w:hAnsi="Times New Roman" w:eastAsia="仿宋_GB2312" w:cs="Times New Roman"/>
          <w:color w:val="auto"/>
          <w:sz w:val="32"/>
          <w:szCs w:val="22"/>
        </w:rPr>
        <w:t>完善</w:t>
      </w:r>
      <w:r>
        <w:rPr>
          <w:rFonts w:hint="eastAsia" w:ascii="仿宋_GB2312" w:hAnsi="Times New Roman" w:eastAsia="仿宋_GB2312" w:cs="Times New Roman"/>
          <w:color w:val="auto"/>
          <w:sz w:val="32"/>
          <w:szCs w:val="22"/>
        </w:rPr>
        <w:t>“快”（快速路、市域化铁路）、“慢”（慢行交通）、“停”（停车场）</w:t>
      </w:r>
      <w:r>
        <w:rPr>
          <w:rFonts w:ascii="Times New Roman" w:hAnsi="Times New Roman" w:eastAsia="仿宋_GB2312" w:cs="Times New Roman"/>
          <w:color w:val="auto"/>
          <w:sz w:val="32"/>
          <w:szCs w:val="22"/>
        </w:rPr>
        <w:t>等复合一体、换乘便捷的城市交通网络。合理规划、预留空间、提前布局，</w:t>
      </w:r>
      <w:r>
        <w:rPr>
          <w:rFonts w:hint="eastAsia" w:ascii="Times New Roman" w:hAnsi="Times New Roman" w:eastAsia="仿宋_GB2312" w:cs="Times New Roman"/>
          <w:bCs/>
          <w:color w:val="auto"/>
          <w:sz w:val="32"/>
          <w:szCs w:val="22"/>
          <w:lang w:bidi="ar"/>
        </w:rPr>
        <w:t>有序开展燃气、供排水管网专项检查，统筹推进变电站、海绵城市、污水处理厂等建设，</w:t>
      </w:r>
      <w:r>
        <w:rPr>
          <w:rFonts w:ascii="Times New Roman" w:hAnsi="Times New Roman" w:eastAsia="仿宋_GB2312" w:cs="Times New Roman"/>
          <w:color w:val="auto"/>
          <w:sz w:val="32"/>
          <w:szCs w:val="22"/>
        </w:rPr>
        <w:t>实施供水、排水、燃气、电力等地下管网建设与</w:t>
      </w:r>
      <w:r>
        <w:rPr>
          <w:rFonts w:hint="eastAsia" w:ascii="Times New Roman" w:hAnsi="Times New Roman" w:eastAsia="仿宋_GB2312" w:cs="Times New Roman"/>
          <w:color w:val="auto"/>
          <w:sz w:val="32"/>
          <w:szCs w:val="22"/>
        </w:rPr>
        <w:t>更新</w:t>
      </w:r>
      <w:r>
        <w:rPr>
          <w:rFonts w:ascii="Times New Roman" w:hAnsi="Times New Roman" w:eastAsia="仿宋_GB2312" w:cs="Times New Roman"/>
          <w:color w:val="auto"/>
          <w:sz w:val="32"/>
          <w:szCs w:val="22"/>
        </w:rPr>
        <w:t>改造</w:t>
      </w:r>
      <w:r>
        <w:rPr>
          <w:rFonts w:hint="eastAsia" w:ascii="Times New Roman" w:hAnsi="Times New Roman" w:eastAsia="仿宋_GB2312" w:cs="Times New Roman"/>
          <w:color w:val="auto"/>
          <w:sz w:val="32"/>
          <w:szCs w:val="22"/>
        </w:rPr>
        <w:t>，</w:t>
      </w:r>
      <w:r>
        <w:rPr>
          <w:rFonts w:hint="eastAsia" w:ascii="仿宋_GB2312" w:hAnsi="仿宋_GB2312" w:eastAsia="仿宋_GB2312" w:cs="仿宋_GB2312"/>
          <w:color w:val="auto"/>
          <w:sz w:val="32"/>
          <w:szCs w:val="22"/>
        </w:rPr>
        <w:t>增设220k</w:t>
      </w:r>
      <w:r>
        <w:rPr>
          <w:rFonts w:hint="eastAsia" w:ascii="仿宋_GB2312" w:hAnsi="仿宋_GB2312" w:eastAsia="仿宋_GB2312" w:cs="仿宋_GB2312"/>
          <w:color w:val="auto"/>
          <w:sz w:val="32"/>
          <w:szCs w:val="22"/>
          <w:lang w:val="en-US" w:eastAsia="zh-CN"/>
        </w:rPr>
        <w:t>V</w:t>
      </w:r>
      <w:r>
        <w:rPr>
          <w:rFonts w:hint="eastAsia" w:ascii="仿宋_GB2312" w:hAnsi="仿宋_GB2312" w:eastAsia="仿宋_GB2312" w:cs="仿宋_GB2312"/>
          <w:color w:val="auto"/>
          <w:sz w:val="32"/>
          <w:szCs w:val="22"/>
        </w:rPr>
        <w:t>高新站、110kV</w:t>
      </w:r>
      <w:r>
        <w:rPr>
          <w:rFonts w:hint="eastAsia" w:ascii="Times New Roman" w:hAnsi="Times New Roman" w:eastAsia="仿宋_GB2312" w:cs="Times New Roman"/>
          <w:color w:val="auto"/>
          <w:sz w:val="32"/>
          <w:szCs w:val="22"/>
        </w:rPr>
        <w:t>滨河西站变电站，提升区域供电可靠性与负荷承载能力。结合新建、改建、扩建城乡供水工程，同步建设消防供水管道、消火栓、水池等公共消防供水设施。</w:t>
      </w:r>
      <w:r>
        <w:rPr>
          <w:rFonts w:ascii="Times New Roman" w:hAnsi="Times New Roman" w:eastAsia="仿宋_GB2312" w:cs="Times New Roman"/>
          <w:color w:val="auto"/>
          <w:sz w:val="32"/>
          <w:szCs w:val="22"/>
        </w:rPr>
        <w:t>推行供暖、供水企业的精细化与标准化管理</w:t>
      </w:r>
      <w:r>
        <w:rPr>
          <w:rFonts w:hint="eastAsia" w:ascii="Times New Roman" w:hAnsi="Times New Roman" w:eastAsia="仿宋_GB2312" w:cs="Times New Roman"/>
          <w:color w:val="auto"/>
          <w:sz w:val="32"/>
          <w:szCs w:val="22"/>
        </w:rPr>
        <w:t>，提升市政公用服务保障质效。</w:t>
      </w:r>
      <w:r>
        <w:rPr>
          <w:rFonts w:hint="eastAsia" w:ascii="Times New Roman" w:hAnsi="Times New Roman" w:eastAsia="仿宋_GB2312" w:cs="Times New Roman"/>
          <w:bCs/>
          <w:color w:val="auto"/>
          <w:sz w:val="32"/>
          <w:szCs w:val="22"/>
          <w:lang w:bidi="ar"/>
        </w:rPr>
        <w:t>加强城市防洪和内涝治理，完成自格庄河防洪排涝工程建设</w:t>
      </w:r>
      <w:r>
        <w:rPr>
          <w:rFonts w:hint="eastAsia" w:ascii="Times New Roman" w:hAnsi="Times New Roman" w:eastAsia="仿宋_GB2312" w:cs="Times New Roman"/>
          <w:bCs/>
          <w:color w:val="auto"/>
          <w:sz w:val="32"/>
          <w:szCs w:val="22"/>
          <w:lang w:eastAsia="zh-CN" w:bidi="ar"/>
        </w:rPr>
        <w:t>，</w:t>
      </w:r>
      <w:r>
        <w:rPr>
          <w:rFonts w:hint="eastAsia" w:ascii="仿宋_GB2312" w:hAnsi="仿宋_GB2312" w:eastAsia="仿宋_GB2312" w:cs="仿宋_GB2312"/>
          <w:color w:val="auto"/>
          <w:sz w:val="32"/>
          <w:szCs w:val="32"/>
        </w:rPr>
        <w:t>积极稳步推进“平急两用”公共基础设施建设</w:t>
      </w:r>
      <w:r>
        <w:rPr>
          <w:rFonts w:hint="eastAsia" w:ascii="仿宋_GB2312" w:hAnsi="仿宋_GB2312" w:eastAsia="仿宋_GB2312" w:cs="仿宋_GB2312"/>
          <w:color w:val="auto"/>
          <w:sz w:val="32"/>
          <w:szCs w:val="32"/>
          <w:lang w:eastAsia="zh-CN"/>
        </w:rPr>
        <w:t>，</w:t>
      </w:r>
      <w:r>
        <w:rPr>
          <w:rFonts w:hint="eastAsia" w:ascii="Times New Roman" w:hAnsi="Times New Roman" w:eastAsia="仿宋_GB2312" w:cs="Times New Roman"/>
          <w:color w:val="auto"/>
          <w:sz w:val="32"/>
          <w:szCs w:val="22"/>
        </w:rPr>
        <w:t>提高</w:t>
      </w:r>
      <w:r>
        <w:rPr>
          <w:rFonts w:ascii="Times New Roman" w:hAnsi="Times New Roman" w:eastAsia="仿宋_GB2312" w:cs="Times New Roman"/>
          <w:color w:val="auto"/>
          <w:sz w:val="32"/>
          <w:szCs w:val="22"/>
        </w:rPr>
        <w:t>城市安全韧性和运行效率。</w:t>
      </w:r>
    </w:p>
    <w:p w14:paraId="027C2865">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强化新型基础设施建设。</w:t>
      </w:r>
      <w:r>
        <w:rPr>
          <w:rFonts w:hint="eastAsia" w:ascii="仿宋_GB2312" w:hAnsi="仿宋_GB2312" w:eastAsia="仿宋_GB2312" w:cs="仿宋_GB2312"/>
          <w:color w:val="auto"/>
          <w:sz w:val="32"/>
          <w:szCs w:val="22"/>
          <w:lang w:val="en-US" w:eastAsia="zh-CN"/>
        </w:rPr>
        <w:t>加强</w:t>
      </w:r>
      <w:r>
        <w:rPr>
          <w:rFonts w:hint="eastAsia" w:ascii="仿宋_GB2312" w:hAnsi="仿宋_GB2312" w:eastAsia="仿宋_GB2312" w:cs="仿宋_GB2312"/>
          <w:color w:val="auto"/>
          <w:sz w:val="32"/>
          <w:szCs w:val="22"/>
        </w:rPr>
        <w:t>算网设施支持，按需布局绿色智算中心，</w:t>
      </w:r>
      <w:r>
        <w:rPr>
          <w:rFonts w:hint="eastAsia" w:ascii="仿宋_GB2312" w:hAnsi="仿宋_GB2312" w:eastAsia="仿宋_GB2312" w:cs="仿宋_GB2312"/>
          <w:color w:val="auto"/>
          <w:sz w:val="32"/>
          <w:szCs w:val="32"/>
        </w:rPr>
        <w:t>支持数据企业贴近应用场景布局高效边缘计算中心，满足无人驾驶、</w:t>
      </w:r>
      <w:r>
        <w:rPr>
          <w:rFonts w:hint="eastAsia" w:ascii="仿宋_GB2312" w:hAnsi="仿宋_GB2312" w:eastAsia="仿宋_GB2312" w:cs="仿宋_GB2312"/>
          <w:color w:val="auto"/>
          <w:sz w:val="32"/>
          <w:szCs w:val="22"/>
        </w:rPr>
        <w:t>生物医药</w:t>
      </w:r>
      <w:r>
        <w:rPr>
          <w:rFonts w:hint="eastAsia" w:ascii="仿宋_GB2312" w:hAnsi="仿宋_GB2312" w:eastAsia="仿宋_GB2312" w:cs="仿宋_GB2312"/>
          <w:color w:val="auto"/>
          <w:sz w:val="32"/>
          <w:szCs w:val="32"/>
        </w:rPr>
        <w:t>等低时延、高可靠业务应用需求。打通5G、</w:t>
      </w:r>
      <w:r>
        <w:rPr>
          <w:rFonts w:hint="eastAsia" w:ascii="仿宋_GB2312" w:hAnsi="仿宋_GB2312" w:eastAsia="仿宋_GB2312" w:cs="仿宋_GB2312"/>
          <w:color w:val="auto"/>
          <w:sz w:val="32"/>
          <w:szCs w:val="22"/>
        </w:rPr>
        <w:t>千兆光网、IPv6等网络设施全域覆盖“最后一公里”，推进5G-A网络、万兆光网、6G、卫星互联网等新型网络建设应用，确保</w:t>
      </w:r>
      <w:r>
        <w:rPr>
          <w:rFonts w:hint="eastAsia" w:ascii="仿宋_GB2312" w:hAnsi="仿宋_GB2312" w:eastAsia="仿宋_GB2312" w:cs="仿宋_GB2312"/>
          <w:color w:val="auto"/>
          <w:sz w:val="32"/>
          <w:szCs w:val="32"/>
        </w:rPr>
        <w:t>重点场景高质量覆盖。</w:t>
      </w:r>
      <w:r>
        <w:rPr>
          <w:rFonts w:hint="eastAsia" w:ascii="仿宋_GB2312" w:hAnsi="仿宋_GB2312" w:eastAsia="仿宋_GB2312" w:cs="仿宋_GB2312"/>
          <w:color w:val="auto"/>
          <w:sz w:val="32"/>
          <w:szCs w:val="22"/>
        </w:rPr>
        <w:t>加快推进智慧交通体系建设，部署应用智能信号灯、实时交通流量监测与引导系统。大力支持新能源汽车充电桩等配套设施建设。</w:t>
      </w:r>
    </w:p>
    <w:p w14:paraId="70264C08">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195" w:name="_Toc19147"/>
      <w:bookmarkStart w:id="196" w:name="_Toc31572"/>
      <w:bookmarkStart w:id="197" w:name="_Toc27635"/>
      <w:bookmarkStart w:id="198" w:name="_Toc230591560"/>
      <w:bookmarkStart w:id="199" w:name="_Toc23454"/>
      <w:bookmarkStart w:id="200" w:name="_Toc230188722"/>
      <w:r>
        <w:rPr>
          <w:rFonts w:hint="eastAsia" w:ascii="黑体" w:hAnsi="黑体" w:eastAsia="黑体" w:cs="Times New Roman"/>
          <w:b w:val="0"/>
          <w:bCs w:val="0"/>
          <w:color w:val="auto"/>
          <w:kern w:val="2"/>
          <w:sz w:val="32"/>
          <w:szCs w:val="32"/>
          <w:lang w:val="en-US" w:eastAsia="zh-CN" w:bidi="ar-SA"/>
        </w:rPr>
        <w:t>第三节  提升城市建设品质</w:t>
      </w:r>
      <w:bookmarkEnd w:id="195"/>
      <w:bookmarkEnd w:id="196"/>
      <w:bookmarkEnd w:id="197"/>
      <w:bookmarkEnd w:id="198"/>
      <w:bookmarkEnd w:id="199"/>
      <w:bookmarkEnd w:id="200"/>
    </w:p>
    <w:p w14:paraId="083FC899">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全力推进城市更新。</w:t>
      </w:r>
      <w:r>
        <w:rPr>
          <w:rFonts w:hint="eastAsia" w:ascii="Times New Roman" w:hAnsi="Times New Roman" w:eastAsia="仿宋_GB2312" w:cs="Times New Roman"/>
          <w:color w:val="auto"/>
          <w:sz w:val="32"/>
          <w:szCs w:val="22"/>
        </w:rPr>
        <w:t>加快既有建筑改造利用，健全动态排查整治更新机制，分类推进危旧房改造，全面提高既有房屋安全管理水平。以安全隐患整治和配套功能完善为重点，推进老旧小区改造升级，切实改善居住环境，打造“烟台好房”样板。深入推进完整社区建设，完善公共服务设施，补齐养老托育等服务设施，提高社区数字化、智能化治理水平。坚持“一村一策”，</w:t>
      </w:r>
      <w:r>
        <w:rPr>
          <w:rFonts w:hint="eastAsia" w:ascii="仿宋_GB2312" w:hAnsi="Times New Roman" w:eastAsia="仿宋_GB2312" w:cs="Times New Roman"/>
          <w:color w:val="auto"/>
          <w:sz w:val="32"/>
          <w:szCs w:val="22"/>
        </w:rPr>
        <w:t>谋划推进旧村改造等重点工程，统筹争取专项债券、棚改专项资金，集中打造安置片区</w:t>
      </w:r>
      <w:r>
        <w:rPr>
          <w:rFonts w:hint="eastAsia" w:ascii="Times New Roman" w:hAnsi="Times New Roman" w:eastAsia="仿宋_GB2312" w:cs="Times New Roman"/>
          <w:color w:val="auto"/>
          <w:sz w:val="32"/>
          <w:szCs w:val="22"/>
        </w:rPr>
        <w:t>。</w:t>
      </w:r>
      <w:r>
        <w:rPr>
          <w:rFonts w:ascii="Times New Roman" w:hAnsi="Times New Roman" w:eastAsia="仿宋_GB2312" w:cs="Times New Roman"/>
          <w:color w:val="auto"/>
          <w:sz w:val="32"/>
          <w:szCs w:val="22"/>
        </w:rPr>
        <w:t>探索旧村改造直接跨入</w:t>
      </w:r>
      <w:r>
        <w:rPr>
          <w:rFonts w:hint="eastAsia" w:ascii="仿宋_GB2312" w:hAnsi="Times New Roman" w:eastAsia="仿宋_GB2312" w:cs="Times New Roman"/>
          <w:color w:val="auto"/>
          <w:sz w:val="32"/>
          <w:szCs w:val="22"/>
        </w:rPr>
        <w:t>“高品质”</w:t>
      </w:r>
      <w:r>
        <w:rPr>
          <w:rFonts w:ascii="Times New Roman" w:hAnsi="Times New Roman" w:eastAsia="仿宋_GB2312" w:cs="Times New Roman"/>
          <w:color w:val="auto"/>
          <w:sz w:val="32"/>
          <w:szCs w:val="22"/>
        </w:rPr>
        <w:t>住宅的可行路径。积极盘活</w:t>
      </w:r>
      <w:r>
        <w:rPr>
          <w:rFonts w:hint="eastAsia" w:ascii="Times New Roman" w:hAnsi="Times New Roman" w:eastAsia="仿宋_GB2312" w:cs="Times New Roman"/>
          <w:color w:val="auto"/>
          <w:sz w:val="32"/>
          <w:szCs w:val="22"/>
        </w:rPr>
        <w:t>老旧街区、</w:t>
      </w:r>
      <w:r>
        <w:rPr>
          <w:rFonts w:ascii="Times New Roman" w:hAnsi="Times New Roman" w:eastAsia="仿宋_GB2312" w:cs="Times New Roman"/>
          <w:color w:val="auto"/>
          <w:sz w:val="32"/>
          <w:szCs w:val="22"/>
        </w:rPr>
        <w:t>闲置厂房、烂尾工程</w:t>
      </w:r>
      <w:r>
        <w:rPr>
          <w:rFonts w:hint="eastAsia" w:ascii="Times New Roman" w:hAnsi="Times New Roman" w:eastAsia="仿宋_GB2312" w:cs="Times New Roman"/>
          <w:color w:val="auto"/>
          <w:sz w:val="32"/>
          <w:szCs w:val="22"/>
        </w:rPr>
        <w:t>等</w:t>
      </w:r>
      <w:r>
        <w:rPr>
          <w:rFonts w:ascii="Times New Roman" w:hAnsi="Times New Roman" w:eastAsia="仿宋_GB2312" w:cs="Times New Roman"/>
          <w:color w:val="auto"/>
          <w:sz w:val="32"/>
          <w:szCs w:val="22"/>
        </w:rPr>
        <w:t>存量低效用地，超前开展业态策划和招商，促进业态集聚和产业升级。</w:t>
      </w:r>
    </w:p>
    <w:p w14:paraId="11FF392D">
      <w:pPr>
        <w:spacing w:line="560" w:lineRule="exact"/>
        <w:ind w:firstLine="640" w:firstLineChars="200"/>
        <w:rPr>
          <w:rFonts w:hint="eastAsia" w:ascii="仿宋_GB2312" w:hAnsi="仿宋_GB2312" w:eastAsia="仿宋_GB2312" w:cs="仿宋_GB2312"/>
          <w:bCs/>
          <w:color w:val="auto"/>
          <w:sz w:val="32"/>
          <w:szCs w:val="32"/>
        </w:rPr>
      </w:pPr>
      <w:r>
        <w:rPr>
          <w:rFonts w:hint="eastAsia" w:ascii="楷体_GB2312" w:hAnsi="Times New Roman" w:eastAsia="楷体_GB2312" w:cs="Times New Roman"/>
          <w:color w:val="auto"/>
          <w:sz w:val="32"/>
          <w:szCs w:val="22"/>
        </w:rPr>
        <w:t>推动房地产高质量发展。</w:t>
      </w:r>
      <w:r>
        <w:rPr>
          <w:rFonts w:hint="eastAsia" w:ascii="仿宋_GB2312" w:hAnsi="仿宋_GB2312" w:eastAsia="仿宋_GB2312" w:cs="仿宋_GB2312"/>
          <w:color w:val="auto"/>
          <w:sz w:val="32"/>
          <w:szCs w:val="32"/>
        </w:rPr>
        <w:t>聚焦房地产高质量发展目标，</w:t>
      </w:r>
      <w:r>
        <w:rPr>
          <w:rFonts w:hint="eastAsia" w:ascii="Times New Roman" w:hAnsi="Times New Roman" w:eastAsia="仿宋_GB2312" w:cs="Times New Roman"/>
          <w:color w:val="auto"/>
          <w:sz w:val="32"/>
          <w:szCs w:val="22"/>
        </w:rPr>
        <w:t>建立住宅用地供应与人口变动、存量房产相衔接的动态调节机制。有序推进优质地块收储、供应，全域布局推进高品质住宅项目，</w:t>
      </w:r>
      <w:r>
        <w:rPr>
          <w:rFonts w:ascii="仿宋_GB2312" w:hAnsi="仿宋_GB2312" w:eastAsia="仿宋_GB2312" w:cs="仿宋_GB2312"/>
          <w:color w:val="auto"/>
          <w:sz w:val="32"/>
          <w:szCs w:val="32"/>
        </w:rPr>
        <w:t>加快推动</w:t>
      </w:r>
      <w:r>
        <w:rPr>
          <w:rFonts w:hint="eastAsia" w:ascii="仿宋_GB2312" w:hAnsi="仿宋_GB2312" w:eastAsia="仿宋_GB2312" w:cs="仿宋_GB2312"/>
          <w:color w:val="auto"/>
          <w:sz w:val="32"/>
          <w:szCs w:val="32"/>
        </w:rPr>
        <w:t>现有</w:t>
      </w:r>
      <w:r>
        <w:rPr>
          <w:rFonts w:ascii="仿宋_GB2312" w:hAnsi="仿宋_GB2312" w:eastAsia="仿宋_GB2312" w:cs="仿宋_GB2312"/>
          <w:color w:val="auto"/>
          <w:sz w:val="32"/>
          <w:szCs w:val="32"/>
        </w:rPr>
        <w:t>高品质住宅项目</w:t>
      </w:r>
      <w:r>
        <w:rPr>
          <w:rFonts w:hint="eastAsia" w:ascii="仿宋_GB2312" w:hAnsi="仿宋_GB2312" w:eastAsia="仿宋_GB2312" w:cs="仿宋_GB2312"/>
          <w:color w:val="auto"/>
          <w:sz w:val="32"/>
          <w:szCs w:val="32"/>
        </w:rPr>
        <w:t>建设完成</w:t>
      </w:r>
      <w:r>
        <w:rPr>
          <w:rFonts w:hint="eastAsia" w:ascii="仿宋_GB2312" w:hAnsi="Times New Roman" w:eastAsia="仿宋_GB2312" w:cs="Times New Roman"/>
          <w:color w:val="auto"/>
          <w:sz w:val="32"/>
          <w:szCs w:val="22"/>
        </w:rPr>
        <w:t>。</w:t>
      </w:r>
      <w:r>
        <w:rPr>
          <w:rFonts w:hint="eastAsia" w:ascii="Times New Roman" w:hAnsi="Times New Roman" w:eastAsia="仿宋_GB2312" w:cs="Times New Roman"/>
          <w:color w:val="auto"/>
          <w:sz w:val="32"/>
          <w:szCs w:val="22"/>
        </w:rPr>
        <w:t>推动住房保障提标扩面，重点覆盖低收入家庭、新市民、新青年和各类人才等群体，推进灵活就业人员参加住房公积金制度。</w:t>
      </w:r>
      <w:r>
        <w:rPr>
          <w:rFonts w:hint="eastAsia" w:ascii="仿宋_GB2312" w:hAnsi="仿宋_GB2312" w:eastAsia="仿宋_GB2312" w:cs="仿宋_GB2312"/>
          <w:color w:val="auto"/>
          <w:sz w:val="32"/>
          <w:szCs w:val="32"/>
        </w:rPr>
        <w:t>全面重启安置房主体续建工作，为房地产健康发展注入新动力。</w:t>
      </w:r>
      <w:r>
        <w:rPr>
          <w:rFonts w:hint="eastAsia" w:ascii="仿宋_GB2312" w:hAnsi="仿宋_GB2312" w:eastAsia="仿宋_GB2312" w:cs="仿宋_GB2312"/>
          <w:bCs/>
          <w:color w:val="auto"/>
          <w:sz w:val="32"/>
          <w:szCs w:val="32"/>
        </w:rPr>
        <w:t>完善房屋安全管理系统，常态化开展既有房屋体检，</w:t>
      </w:r>
      <w:r>
        <w:rPr>
          <w:rFonts w:hint="eastAsia" w:ascii="仿宋_GB2312" w:hAnsi="仿宋_GB2312" w:eastAsia="仿宋_GB2312" w:cs="仿宋_GB2312"/>
          <w:bCs/>
          <w:color w:val="auto"/>
          <w:sz w:val="32"/>
          <w:szCs w:val="32"/>
          <w:lang w:val="en-US" w:eastAsia="zh-CN"/>
        </w:rPr>
        <w:t>探索</w:t>
      </w:r>
      <w:r>
        <w:rPr>
          <w:rFonts w:hint="eastAsia" w:ascii="仿宋_GB2312" w:hAnsi="仿宋_GB2312" w:eastAsia="仿宋_GB2312" w:cs="仿宋_GB2312"/>
          <w:bCs/>
          <w:color w:val="auto"/>
          <w:sz w:val="32"/>
          <w:szCs w:val="32"/>
        </w:rPr>
        <w:t>建立“预防为主、资金保障、保险兜底”的房屋养老金和房屋保险制度。</w:t>
      </w:r>
    </w:p>
    <w:p w14:paraId="0741318B">
      <w:pPr>
        <w:spacing w:line="560" w:lineRule="exact"/>
        <w:ind w:firstLine="640" w:firstLineChars="200"/>
        <w:rPr>
          <w:rFonts w:ascii="Times New Roman" w:hAnsi="Times New Roman" w:eastAsia="仿宋_GB2312" w:cs="Times New Roman"/>
          <w:bCs/>
          <w:color w:val="auto"/>
          <w:sz w:val="32"/>
          <w:szCs w:val="22"/>
        </w:rPr>
      </w:pPr>
      <w:r>
        <w:rPr>
          <w:rFonts w:hint="eastAsia" w:ascii="楷体_GB2312" w:hAnsi="Times New Roman" w:eastAsia="楷体_GB2312" w:cs="Times New Roman"/>
          <w:color w:val="auto"/>
          <w:sz w:val="32"/>
          <w:szCs w:val="22"/>
        </w:rPr>
        <w:t>建设生态活力休闲空间。</w:t>
      </w:r>
      <w:r>
        <w:rPr>
          <w:rFonts w:hint="eastAsia" w:ascii="Times New Roman" w:hAnsi="Times New Roman" w:eastAsia="仿宋_GB2312" w:cs="Times New Roman"/>
          <w:bCs/>
          <w:color w:val="auto"/>
          <w:sz w:val="32"/>
          <w:szCs w:val="22"/>
        </w:rPr>
        <w:t>系统化推进海绵城市建设，增强城市对雨水资源的调蓄和利用能力，提升城市应对极端气候的韧性。</w:t>
      </w:r>
      <w:r>
        <w:rPr>
          <w:rFonts w:ascii="Times New Roman" w:hAnsi="Times New Roman" w:eastAsia="仿宋_GB2312" w:cs="Times New Roman"/>
          <w:color w:val="auto"/>
          <w:sz w:val="32"/>
          <w:szCs w:val="22"/>
        </w:rPr>
        <w:t>持续完善城市结构性绿地和绿道网络，</w:t>
      </w:r>
      <w:r>
        <w:rPr>
          <w:rFonts w:hint="eastAsia" w:ascii="Times New Roman" w:hAnsi="Times New Roman" w:eastAsia="仿宋_GB2312" w:cs="Times New Roman"/>
          <w:color w:val="auto"/>
          <w:sz w:val="32"/>
          <w:szCs w:val="22"/>
        </w:rPr>
        <w:t>推动全域城市交通绿道、滨水绿道、森林步道、公园绿道串联成珠，形成城海相连、全域贯通景观廊道，打通绿道观海、栈道临海、海岸亲海等空间视线。</w:t>
      </w:r>
      <w:r>
        <w:rPr>
          <w:rFonts w:ascii="Times New Roman" w:hAnsi="Times New Roman" w:eastAsia="仿宋_GB2312" w:cs="Times New Roman"/>
          <w:bCs/>
          <w:color w:val="auto"/>
          <w:sz w:val="32"/>
          <w:szCs w:val="22"/>
        </w:rPr>
        <w:t>利用城市拆迁腾退地、边角地、废弃地和闲置地等，</w:t>
      </w:r>
      <w:r>
        <w:rPr>
          <w:rFonts w:hint="eastAsia" w:ascii="Times New Roman" w:hAnsi="Times New Roman" w:eastAsia="仿宋_GB2312" w:cs="Times New Roman"/>
          <w:color w:val="auto"/>
          <w:sz w:val="32"/>
          <w:szCs w:val="22"/>
        </w:rPr>
        <w:t>实施“公园+”城市更新模式，打造</w:t>
      </w:r>
      <w:r>
        <w:rPr>
          <w:rFonts w:hint="eastAsia" w:ascii="Times New Roman" w:hAnsi="Times New Roman" w:eastAsia="仿宋_GB2312" w:cs="Times New Roman"/>
          <w:bCs/>
          <w:color w:val="auto"/>
          <w:sz w:val="32"/>
          <w:szCs w:val="22"/>
        </w:rPr>
        <w:t>口袋公园、</w:t>
      </w:r>
      <w:r>
        <w:rPr>
          <w:rFonts w:hint="eastAsia" w:ascii="Times New Roman" w:hAnsi="Times New Roman" w:eastAsia="仿宋_GB2312" w:cs="Times New Roman"/>
          <w:color w:val="auto"/>
          <w:sz w:val="32"/>
          <w:szCs w:val="22"/>
        </w:rPr>
        <w:t>科创公园、</w:t>
      </w:r>
      <w:r>
        <w:rPr>
          <w:rFonts w:ascii="Times New Roman" w:hAnsi="Times New Roman" w:eastAsia="仿宋_GB2312" w:cs="Times New Roman"/>
          <w:color w:val="auto"/>
          <w:sz w:val="32"/>
          <w:szCs w:val="22"/>
        </w:rPr>
        <w:t>公园社区、</w:t>
      </w:r>
      <w:r>
        <w:rPr>
          <w:rFonts w:hint="eastAsia" w:ascii="Times New Roman" w:hAnsi="Times New Roman" w:eastAsia="仿宋_GB2312" w:cs="Times New Roman"/>
          <w:color w:val="auto"/>
          <w:sz w:val="32"/>
          <w:szCs w:val="22"/>
        </w:rPr>
        <w:t>公园街区等场景，</w:t>
      </w:r>
      <w:r>
        <w:rPr>
          <w:rFonts w:ascii="Times New Roman" w:hAnsi="Times New Roman" w:eastAsia="仿宋_GB2312" w:cs="Times New Roman"/>
          <w:bCs/>
          <w:color w:val="auto"/>
          <w:sz w:val="32"/>
          <w:szCs w:val="22"/>
        </w:rPr>
        <w:t>突出生态、</w:t>
      </w:r>
      <w:r>
        <w:rPr>
          <w:rFonts w:hint="eastAsia" w:ascii="Times New Roman" w:hAnsi="Times New Roman" w:eastAsia="仿宋_GB2312" w:cs="Times New Roman"/>
          <w:bCs/>
          <w:color w:val="auto"/>
          <w:sz w:val="32"/>
          <w:szCs w:val="22"/>
        </w:rPr>
        <w:t>景观</w:t>
      </w:r>
      <w:r>
        <w:rPr>
          <w:rFonts w:ascii="Times New Roman" w:hAnsi="Times New Roman" w:eastAsia="仿宋_GB2312" w:cs="Times New Roman"/>
          <w:bCs/>
          <w:color w:val="auto"/>
          <w:sz w:val="32"/>
          <w:szCs w:val="22"/>
        </w:rPr>
        <w:t>和休闲功能，实现绿地均衡化布局。</w:t>
      </w:r>
      <w:r>
        <w:rPr>
          <w:rFonts w:hint="eastAsia" w:ascii="Times New Roman" w:hAnsi="Times New Roman" w:eastAsia="仿宋_GB2312" w:cs="Times New Roman"/>
          <w:bCs/>
          <w:color w:val="auto"/>
          <w:sz w:val="32"/>
          <w:szCs w:val="22"/>
        </w:rPr>
        <w:t>推进科技大道绿化工程等城市公园建设。</w:t>
      </w:r>
    </w:p>
    <w:p w14:paraId="6B164BD4">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201" w:name="_Toc31405"/>
      <w:bookmarkStart w:id="202" w:name="_Toc25455"/>
      <w:bookmarkStart w:id="203" w:name="_Toc23825"/>
      <w:bookmarkStart w:id="204" w:name="_Toc2660"/>
      <w:bookmarkStart w:id="205" w:name="_Toc230591561"/>
      <w:bookmarkStart w:id="206" w:name="_Toc230188723"/>
      <w:r>
        <w:rPr>
          <w:rFonts w:hint="eastAsia" w:ascii="黑体" w:hAnsi="黑体" w:eastAsia="黑体" w:cs="Times New Roman"/>
          <w:b w:val="0"/>
          <w:bCs w:val="0"/>
          <w:color w:val="auto"/>
          <w:kern w:val="2"/>
          <w:sz w:val="32"/>
          <w:szCs w:val="32"/>
          <w:lang w:val="en-US" w:eastAsia="zh-CN" w:bidi="ar-SA"/>
        </w:rPr>
        <w:t>第四节  深化城市精细化治理</w:t>
      </w:r>
      <w:bookmarkEnd w:id="201"/>
      <w:bookmarkEnd w:id="202"/>
      <w:bookmarkEnd w:id="203"/>
      <w:bookmarkEnd w:id="204"/>
      <w:bookmarkEnd w:id="205"/>
      <w:bookmarkEnd w:id="206"/>
    </w:p>
    <w:p w14:paraId="5167F5E8">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提升城市管理水平。</w:t>
      </w:r>
      <w:r>
        <w:rPr>
          <w:rFonts w:hint="eastAsia" w:ascii="Times New Roman" w:hAnsi="Times New Roman" w:eastAsia="仿宋_GB2312" w:cs="Times New Roman"/>
          <w:color w:val="auto"/>
          <w:sz w:val="32"/>
          <w:szCs w:val="22"/>
        </w:rPr>
        <w:t>在综合管养模式基础上，</w:t>
      </w:r>
      <w:r>
        <w:rPr>
          <w:rFonts w:hint="eastAsia" w:ascii="Times New Roman" w:hAnsi="Times New Roman" w:eastAsia="仿宋_GB2312" w:cs="Times New Roman"/>
          <w:color w:val="auto"/>
          <w:sz w:val="32"/>
          <w:szCs w:val="22"/>
          <w:lang w:val="en-US" w:eastAsia="zh-CN"/>
        </w:rPr>
        <w:t>创新</w:t>
      </w:r>
      <w:r>
        <w:rPr>
          <w:rFonts w:hint="eastAsia" w:ascii="Times New Roman" w:hAnsi="Times New Roman" w:eastAsia="仿宋_GB2312" w:cs="Times New Roman"/>
          <w:color w:val="auto"/>
          <w:sz w:val="32"/>
          <w:szCs w:val="22"/>
        </w:rPr>
        <w:t>“物业城市”运营模式，组建城市“大物业”服务公司，对城市资产进行统筹运营和有效增值，拓展道路保洁、绿化养护、市政设施维护、防汛清雪等数字化治理场景。推进数字技术应用与环卫精细化管理深度融合，稳步推行无人驾驶清扫车场景应用，打造智慧环卫概念场站。推进垃圾分类提质升级，推进提标打造垃圾分类五星小区，加强建筑垃圾源头分类、控源减量，加快提升建筑垃圾安全处置水平。强化市容环境改善，严控新增违建动态清零，规范户外广告设置管理，推进公厕新建扩容与智慧化升级。创新市容秩序治理模式，加强智慧低空平台政务管理系统和无人机巡飞航拍等科技手段的运用，提高处置效率。构建牢固立体防汛清雪体系，提升抢险应急救援能力，打造清雪防汛专业化队伍，加强物资储备，全力保障特定条件下城市正常运行。</w:t>
      </w:r>
    </w:p>
    <w:p w14:paraId="1C51A2B8">
      <w:pPr>
        <w:spacing w:line="560" w:lineRule="exact"/>
        <w:ind w:firstLine="640" w:firstLineChars="200"/>
        <w:rPr>
          <w:rFonts w:hint="eastAsia" w:ascii="仿宋_GB2312" w:hAnsi="仿宋_GB2312" w:eastAsia="仿宋_GB2312" w:cs="仿宋_GB2312"/>
          <w:color w:val="auto"/>
          <w:sz w:val="32"/>
          <w:szCs w:val="22"/>
        </w:rPr>
      </w:pPr>
      <w:r>
        <w:rPr>
          <w:rFonts w:hint="eastAsia" w:ascii="楷体_GB2312" w:hAnsi="Times New Roman" w:eastAsia="楷体_GB2312" w:cs="Times New Roman"/>
          <w:color w:val="auto"/>
          <w:sz w:val="32"/>
          <w:szCs w:val="22"/>
        </w:rPr>
        <w:t>构建数字孪生城市智能底座。</w:t>
      </w:r>
      <w:r>
        <w:rPr>
          <w:rFonts w:hint="eastAsia" w:ascii="仿宋_GB2312" w:hAnsi="仿宋_GB2312" w:eastAsia="仿宋_GB2312" w:cs="仿宋_GB2312"/>
          <w:color w:val="auto"/>
          <w:sz w:val="32"/>
          <w:szCs w:val="22"/>
        </w:rPr>
        <w:t>集约部署全域物联融合感知设施，推进</w:t>
      </w:r>
      <w:r>
        <w:rPr>
          <w:rFonts w:hint="eastAsia" w:ascii="仿宋_GB2312" w:hAnsi="仿宋_GB2312" w:eastAsia="仿宋_GB2312" w:cs="仿宋_GB2312"/>
          <w:color w:val="auto"/>
          <w:sz w:val="32"/>
          <w:szCs w:val="32"/>
        </w:rPr>
        <w:t>水电气、</w:t>
      </w:r>
      <w:r>
        <w:rPr>
          <w:rFonts w:hint="eastAsia" w:ascii="仿宋_GB2312" w:hAnsi="仿宋_GB2312" w:eastAsia="仿宋_GB2312" w:cs="仿宋_GB2312"/>
          <w:color w:val="auto"/>
          <w:sz w:val="32"/>
          <w:szCs w:val="22"/>
        </w:rPr>
        <w:t>桥梁、</w:t>
      </w:r>
      <w:r>
        <w:rPr>
          <w:rFonts w:hint="eastAsia" w:ascii="仿宋_GB2312" w:hAnsi="仿宋_GB2312" w:eastAsia="仿宋_GB2312" w:cs="仿宋_GB2312"/>
          <w:color w:val="auto"/>
          <w:sz w:val="32"/>
          <w:szCs w:val="32"/>
        </w:rPr>
        <w:t>环卫、园林</w:t>
      </w:r>
      <w:r>
        <w:rPr>
          <w:rFonts w:hint="eastAsia" w:ascii="仿宋_GB2312" w:hAnsi="仿宋_GB2312" w:eastAsia="仿宋_GB2312" w:cs="仿宋_GB2312"/>
          <w:color w:val="auto"/>
          <w:sz w:val="32"/>
          <w:szCs w:val="22"/>
        </w:rPr>
        <w:t>等市政设施数字化改造</w:t>
      </w:r>
      <w:r>
        <w:rPr>
          <w:rFonts w:hint="eastAsia" w:ascii="仿宋_GB2312" w:hAnsi="仿宋_GB2312" w:eastAsia="仿宋_GB2312" w:cs="仿宋_GB2312"/>
          <w:color w:val="auto"/>
          <w:sz w:val="32"/>
          <w:szCs w:val="32"/>
        </w:rPr>
        <w:t>，在道路、建筑、管廊、浮空平台、海洋浮标等天地空海部署物联感知设施，构建更加完善的城市生命体征。</w:t>
      </w:r>
      <w:r>
        <w:rPr>
          <w:rFonts w:hint="eastAsia" w:ascii="仿宋_GB2312" w:hAnsi="仿宋_GB2312" w:eastAsia="仿宋_GB2312" w:cs="仿宋_GB2312"/>
          <w:color w:val="auto"/>
          <w:sz w:val="32"/>
          <w:szCs w:val="22"/>
        </w:rPr>
        <w:t>优化实景三维、CIM数字城市平台等基础共性平台建设，</w:t>
      </w:r>
      <w:r>
        <w:rPr>
          <w:rFonts w:hint="eastAsia" w:ascii="仿宋_GB2312" w:hAnsi="仿宋_GB2312" w:eastAsia="仿宋_GB2312" w:cs="仿宋_GB2312"/>
          <w:bCs/>
          <w:color w:val="auto"/>
          <w:sz w:val="32"/>
          <w:szCs w:val="22"/>
        </w:rPr>
        <w:t>结合市级新型数字化发展要求，一体化推动新基建、物联感知体系布局，</w:t>
      </w:r>
      <w:r>
        <w:rPr>
          <w:rFonts w:hint="eastAsia" w:ascii="仿宋_GB2312" w:hAnsi="仿宋_GB2312" w:eastAsia="仿宋_GB2312" w:cs="仿宋_GB2312"/>
          <w:color w:val="auto"/>
          <w:sz w:val="32"/>
          <w:szCs w:val="22"/>
        </w:rPr>
        <w:t>建设以AI计算平台为支撑的城市运行智能中枢，聚焦政务服务、公共服务、城市管理、全域旅游、城市应急等高频场景部署</w:t>
      </w:r>
      <w:r>
        <w:rPr>
          <w:rFonts w:hint="eastAsia" w:ascii="仿宋_GB2312" w:hAnsi="仿宋_GB2312" w:eastAsia="仿宋_GB2312" w:cs="仿宋_GB2312"/>
          <w:color w:val="auto"/>
          <w:sz w:val="32"/>
          <w:szCs w:val="22"/>
          <w:lang w:bidi="ar"/>
        </w:rPr>
        <w:t>AI智能体，</w:t>
      </w:r>
      <w:r>
        <w:rPr>
          <w:rFonts w:hint="eastAsia" w:ascii="仿宋_GB2312" w:hAnsi="仿宋_GB2312" w:eastAsia="仿宋_GB2312" w:cs="仿宋_GB2312"/>
          <w:color w:val="auto"/>
          <w:sz w:val="32"/>
          <w:szCs w:val="22"/>
        </w:rPr>
        <w:t>提升城市态势全面感知、智能研判、高效处置、平急快速切换能力，提升城市精细化管理水平。</w:t>
      </w:r>
    </w:p>
    <w:p w14:paraId="02DC33BB">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推进数字社会场景应用。</w:t>
      </w:r>
      <w:r>
        <w:rPr>
          <w:rFonts w:hint="eastAsia" w:ascii="Times New Roman" w:hAnsi="Times New Roman" w:eastAsia="仿宋_GB2312" w:cs="Times New Roman"/>
          <w:color w:val="auto"/>
          <w:sz w:val="32"/>
          <w:szCs w:val="22"/>
        </w:rPr>
        <w:t>探索设立“数字场景创新实验室”，吸引高校、科研机构和企业共同参与场景设计与技术攻关。围绕城市运营、应急、民生、交通等领域，探索开展智慧城市治理、</w:t>
      </w:r>
      <w:r>
        <w:rPr>
          <w:rFonts w:hint="eastAsia" w:ascii="仿宋_GB2312" w:hAnsi="Times New Roman" w:eastAsia="仿宋_GB2312" w:cs="Times New Roman"/>
          <w:color w:val="auto"/>
          <w:sz w:val="32"/>
          <w:szCs w:val="22"/>
        </w:rPr>
        <w:t>“数智应急”</w:t>
      </w:r>
      <w:r>
        <w:rPr>
          <w:rFonts w:hint="eastAsia" w:ascii="Times New Roman" w:hAnsi="Times New Roman" w:eastAsia="仿宋_GB2312" w:cs="Times New Roman"/>
          <w:color w:val="auto"/>
          <w:sz w:val="32"/>
          <w:szCs w:val="22"/>
        </w:rPr>
        <w:t>、数字健康社区、智慧教育、“双碳”管理等一批应用场景，推动城市建设运营与产业创新融合发展。成立高新区数据资源管理中心，打造数据统筹和共享平台，建立数据共享开放目录，破除部门之间的信息壁垒，挖掘政府数据价值。联合人工智能骨干企业启动城市超脑建设，率先激活园区的人工智能中枢，探索“数据接管城市”的新型城市管理模式。</w:t>
      </w:r>
    </w:p>
    <w:p w14:paraId="54B939F7">
      <w:pPr>
        <w:keepNext/>
        <w:keepLines/>
        <w:widowControl w:val="0"/>
        <w:spacing w:before="217" w:beforeLines="50" w:after="217" w:afterLines="50" w:line="560" w:lineRule="exact"/>
        <w:ind w:firstLine="0" w:firstLineChars="0"/>
        <w:jc w:val="center"/>
        <w:outlineLvl w:val="0"/>
        <w:rPr>
          <w:rFonts w:hint="eastAsia" w:ascii="方正小标宋简体" w:hAnsi="方正小标宋简体" w:eastAsia="方正小标宋简体" w:cs="方正小标宋简体"/>
          <w:bCs/>
          <w:color w:val="auto"/>
          <w:kern w:val="44"/>
          <w:sz w:val="36"/>
          <w:szCs w:val="48"/>
          <w:lang w:val="en-US" w:eastAsia="zh-CN" w:bidi="ar-SA"/>
        </w:rPr>
      </w:pPr>
      <w:bookmarkStart w:id="207" w:name="_Toc28628"/>
      <w:bookmarkStart w:id="208" w:name="_Toc28604"/>
      <w:bookmarkStart w:id="209" w:name="_Toc23288"/>
      <w:bookmarkStart w:id="210" w:name="_Toc230188724"/>
      <w:bookmarkStart w:id="211" w:name="_Toc230591562"/>
      <w:bookmarkStart w:id="212" w:name="_Toc9737"/>
      <w:r>
        <w:rPr>
          <w:rFonts w:hint="eastAsia" w:ascii="方正小标宋简体" w:hAnsi="方正小标宋简体" w:eastAsia="方正小标宋简体" w:cs="方正小标宋简体"/>
          <w:bCs/>
          <w:color w:val="auto"/>
          <w:kern w:val="44"/>
          <w:sz w:val="36"/>
          <w:szCs w:val="48"/>
          <w:lang w:val="en-US" w:eastAsia="zh-CN" w:bidi="ar-SA"/>
        </w:rPr>
        <w:t>第七章 着力保障和改善民生，谱写幸福高新美好篇章</w:t>
      </w:r>
      <w:bookmarkEnd w:id="207"/>
      <w:bookmarkEnd w:id="208"/>
      <w:bookmarkEnd w:id="209"/>
      <w:bookmarkEnd w:id="210"/>
      <w:bookmarkEnd w:id="211"/>
      <w:bookmarkEnd w:id="212"/>
    </w:p>
    <w:p w14:paraId="60F198F0">
      <w:pPr>
        <w:spacing w:line="560" w:lineRule="exact"/>
        <w:ind w:firstLine="640" w:firstLineChars="200"/>
        <w:rPr>
          <w:rFonts w:ascii="Times New Roman" w:hAnsi="Times New Roman" w:eastAsia="仿宋_GB2312" w:cs="Times New Roman"/>
          <w:color w:val="auto"/>
          <w:sz w:val="32"/>
          <w:szCs w:val="22"/>
        </w:rPr>
      </w:pPr>
      <w:r>
        <w:rPr>
          <w:rFonts w:hint="eastAsia" w:ascii="Times New Roman" w:hAnsi="Times New Roman" w:eastAsia="仿宋_GB2312" w:cs="Times New Roman"/>
          <w:color w:val="auto"/>
          <w:sz w:val="32"/>
          <w:szCs w:val="22"/>
        </w:rPr>
        <w:t>推进基本公共服务均等化水平大幅提升，</w:t>
      </w:r>
      <w:r>
        <w:rPr>
          <w:rFonts w:ascii="仿宋_GB2312" w:hAnsi="仿宋_GB2312" w:eastAsia="仿宋_GB2312" w:cs="仿宋_GB2312"/>
          <w:color w:val="auto"/>
          <w:sz w:val="32"/>
          <w:szCs w:val="32"/>
        </w:rPr>
        <w:t>高质量教育体系、优质高效医疗卫生服务体系、多层次社会保障体系更加健全完善，文化事业繁荣发展，聚力建设幸福高新</w:t>
      </w:r>
      <w:r>
        <w:rPr>
          <w:rFonts w:hint="eastAsia" w:ascii="仿宋_GB2312" w:hAnsi="仿宋_GB2312" w:eastAsia="仿宋_GB2312" w:cs="仿宋_GB2312"/>
          <w:color w:val="auto"/>
          <w:sz w:val="32"/>
          <w:szCs w:val="32"/>
        </w:rPr>
        <w:t>。</w:t>
      </w:r>
    </w:p>
    <w:p w14:paraId="2F8528B9">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213" w:name="_Toc31274"/>
      <w:bookmarkStart w:id="214" w:name="_Toc30837"/>
      <w:bookmarkStart w:id="215" w:name="_Toc954"/>
      <w:bookmarkStart w:id="216" w:name="_Toc230188725"/>
      <w:bookmarkStart w:id="217" w:name="_Toc30222"/>
      <w:bookmarkStart w:id="218" w:name="_Toc230591563"/>
      <w:r>
        <w:rPr>
          <w:rFonts w:hint="eastAsia" w:ascii="黑体" w:hAnsi="黑体" w:eastAsia="黑体" w:cs="Times New Roman"/>
          <w:b w:val="0"/>
          <w:bCs w:val="0"/>
          <w:color w:val="auto"/>
          <w:kern w:val="2"/>
          <w:sz w:val="32"/>
          <w:szCs w:val="32"/>
          <w:lang w:val="en-US" w:eastAsia="zh-CN" w:bidi="ar-SA"/>
        </w:rPr>
        <w:t>第一节  打造“优学在高新”教育品牌</w:t>
      </w:r>
      <w:bookmarkEnd w:id="213"/>
      <w:bookmarkEnd w:id="214"/>
      <w:bookmarkEnd w:id="215"/>
      <w:bookmarkEnd w:id="216"/>
      <w:bookmarkEnd w:id="217"/>
      <w:bookmarkEnd w:id="218"/>
    </w:p>
    <w:p w14:paraId="22780C83">
      <w:pPr>
        <w:spacing w:line="560" w:lineRule="exact"/>
        <w:ind w:firstLine="640" w:firstLineChars="200"/>
        <w:rPr>
          <w:rFonts w:hint="eastAsia" w:ascii="仿宋_GB2312" w:hAnsi="仿宋_GB2312" w:eastAsia="仿宋_GB2312" w:cs="仿宋_GB2312"/>
          <w:color w:val="auto"/>
          <w:sz w:val="32"/>
          <w:szCs w:val="22"/>
        </w:rPr>
      </w:pPr>
      <w:r>
        <w:rPr>
          <w:rFonts w:hint="eastAsia" w:ascii="楷体_GB2312" w:hAnsi="Times New Roman" w:eastAsia="楷体_GB2312" w:cs="Times New Roman"/>
          <w:color w:val="auto"/>
          <w:sz w:val="32"/>
          <w:szCs w:val="22"/>
        </w:rPr>
        <w:t>统筹优化教育资源布局。</w:t>
      </w:r>
      <w:r>
        <w:rPr>
          <w:rFonts w:hint="eastAsia" w:ascii="Times New Roman" w:hAnsi="Times New Roman" w:eastAsia="仿宋_GB2312" w:cs="Times New Roman"/>
          <w:color w:val="auto"/>
          <w:sz w:val="32"/>
          <w:szCs w:val="22"/>
        </w:rPr>
        <w:t>根</w:t>
      </w:r>
      <w:r>
        <w:rPr>
          <w:rFonts w:hint="eastAsia" w:ascii="仿宋_GB2312" w:hAnsi="仿宋_GB2312" w:eastAsia="仿宋_GB2312" w:cs="仿宋_GB2312"/>
          <w:color w:val="auto"/>
          <w:sz w:val="32"/>
          <w:szCs w:val="22"/>
        </w:rPr>
        <w:t>据人口增长和城市发展，</w:t>
      </w:r>
      <w:r>
        <w:rPr>
          <w:rFonts w:hint="eastAsia" w:ascii="仿宋_GB2312" w:hAnsi="仿宋_GB2312" w:eastAsia="仿宋_GB2312" w:cs="仿宋_GB2312"/>
          <w:color w:val="auto"/>
          <w:sz w:val="32"/>
          <w:szCs w:val="32"/>
        </w:rPr>
        <w:t>因地制宜、因校制宜打通使用各学段教育资源。立足15分钟教育圈分级建设要求，推进</w:t>
      </w:r>
      <w:r>
        <w:rPr>
          <w:rFonts w:hint="eastAsia" w:ascii="仿宋_GB2312" w:hAnsi="仿宋_GB2312" w:eastAsia="仿宋_GB2312" w:cs="仿宋_GB2312"/>
          <w:color w:val="auto"/>
          <w:sz w:val="32"/>
          <w:szCs w:val="22"/>
        </w:rPr>
        <w:t>阳光小学新校区等重点教育项目建设，持续巩固教育硬件设施全市领先的标杆地位。构建上下贯通的教育质量提升体系，实施“名师引领、骨干带动、全员提升”计划，促进教育资源联合、教学教研联手、教育管理联动，实现教育资源的系统性整合与育人过程连续性优化，叫响“优学在高新”教育品牌。深化办学模式改革，探索开展幼小初一体化培养，构建以“横向集团化协同、纵向中小幼衔接”为特质的高新教育模式，推进基础教育从“均衡普惠”到“特色示范”的升级。</w:t>
      </w:r>
    </w:p>
    <w:p w14:paraId="7284C61E">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不断优化教育发展环境。</w:t>
      </w:r>
      <w:r>
        <w:rPr>
          <w:rFonts w:hint="eastAsia" w:ascii="仿宋_GB2312" w:hAnsi="仿宋_GB2312" w:eastAsia="仿宋_GB2312" w:cs="仿宋_GB2312"/>
          <w:color w:val="auto"/>
          <w:sz w:val="32"/>
          <w:szCs w:val="32"/>
        </w:rPr>
        <w:t>建设高素质专业化教师队伍，</w:t>
      </w:r>
      <w:r>
        <w:rPr>
          <w:rFonts w:hint="eastAsia" w:ascii="Times New Roman" w:hAnsi="Times New Roman" w:eastAsia="仿宋_GB2312" w:cs="Times New Roman"/>
          <w:color w:val="auto"/>
          <w:sz w:val="32"/>
          <w:szCs w:val="22"/>
        </w:rPr>
        <w:t>加大高层次人才招聘力度，实施“三名”培养工程，</w:t>
      </w:r>
      <w:r>
        <w:rPr>
          <w:rFonts w:hint="eastAsia" w:ascii="仿宋_GB2312" w:hAnsi="仿宋_GB2312" w:eastAsia="仿宋_GB2312" w:cs="仿宋_GB2312"/>
          <w:color w:val="auto"/>
          <w:sz w:val="32"/>
          <w:szCs w:val="32"/>
        </w:rPr>
        <w:t>培养一批小初“贯通教学”教师和紧缺学科教师，着力培养一批教育领军人才，争创一批实验、示范、特色学校。</w:t>
      </w:r>
      <w:r>
        <w:rPr>
          <w:rFonts w:ascii="Times New Roman" w:hAnsi="Times New Roman" w:eastAsia="仿宋_GB2312" w:cs="Times New Roman"/>
          <w:color w:val="auto"/>
          <w:sz w:val="32"/>
          <w:szCs w:val="22"/>
        </w:rPr>
        <w:t>推行</w:t>
      </w:r>
      <w:r>
        <w:rPr>
          <w:rFonts w:hint="eastAsia" w:ascii="Times New Roman" w:hAnsi="Times New Roman" w:eastAsia="仿宋_GB2312" w:cs="Times New Roman"/>
          <w:color w:val="auto"/>
          <w:sz w:val="32"/>
          <w:szCs w:val="22"/>
        </w:rPr>
        <w:t>“教育引导、学校实施、社会支持”</w:t>
      </w:r>
      <w:r>
        <w:rPr>
          <w:rFonts w:ascii="Times New Roman" w:hAnsi="Times New Roman" w:eastAsia="仿宋_GB2312" w:cs="Times New Roman"/>
          <w:color w:val="auto"/>
          <w:sz w:val="32"/>
          <w:szCs w:val="22"/>
        </w:rPr>
        <w:t>三级联动机制，</w:t>
      </w:r>
      <w:r>
        <w:rPr>
          <w:rFonts w:hint="eastAsia" w:ascii="Times New Roman" w:hAnsi="Times New Roman" w:eastAsia="仿宋_GB2312" w:cs="Times New Roman"/>
          <w:color w:val="auto"/>
          <w:sz w:val="32"/>
          <w:szCs w:val="22"/>
        </w:rPr>
        <w:t>构建“基础启蒙+素养培育+专业赋能”培养体系和立体课程网络。</w:t>
      </w:r>
      <w:r>
        <w:rPr>
          <w:rFonts w:hint="eastAsia" w:ascii="仿宋_GB2312" w:hAnsi="仿宋_GB2312" w:eastAsia="仿宋_GB2312" w:cs="仿宋_GB2312"/>
          <w:color w:val="auto"/>
          <w:sz w:val="32"/>
          <w:szCs w:val="32"/>
        </w:rPr>
        <w:t>优化教育经费投入结构，向薄弱环节和关键领域倾斜。</w:t>
      </w:r>
      <w:r>
        <w:rPr>
          <w:rFonts w:ascii="Times New Roman" w:hAnsi="Times New Roman" w:eastAsia="仿宋_GB2312" w:cs="Times New Roman"/>
          <w:color w:val="auto"/>
          <w:sz w:val="32"/>
          <w:szCs w:val="22"/>
        </w:rPr>
        <w:t>探索成立高新区教育发展基金会，引导</w:t>
      </w:r>
      <w:r>
        <w:rPr>
          <w:rFonts w:hint="eastAsia" w:ascii="Times New Roman" w:hAnsi="Times New Roman" w:eastAsia="仿宋_GB2312" w:cs="Times New Roman"/>
          <w:color w:val="auto"/>
          <w:sz w:val="32"/>
          <w:szCs w:val="22"/>
        </w:rPr>
        <w:t>区内</w:t>
      </w:r>
      <w:r>
        <w:rPr>
          <w:rFonts w:ascii="Times New Roman" w:hAnsi="Times New Roman" w:eastAsia="仿宋_GB2312" w:cs="Times New Roman"/>
          <w:color w:val="auto"/>
          <w:sz w:val="32"/>
          <w:szCs w:val="22"/>
        </w:rPr>
        <w:t>企业以资金注入、资源共享、项目合作等方式参与，将社会资源转化为教育动能。</w:t>
      </w:r>
      <w:r>
        <w:rPr>
          <w:rFonts w:hint="eastAsia" w:ascii="仿宋_GB2312" w:hAnsi="仿宋_GB2312" w:eastAsia="仿宋_GB2312" w:cs="仿宋_GB2312"/>
          <w:color w:val="auto"/>
          <w:sz w:val="32"/>
          <w:szCs w:val="32"/>
        </w:rPr>
        <w:t>强化校园安全管理，完善安全风险防控体系，确保校园安全稳定。加强教育督导，建立健全督政、督学、评估监测“三位一体”督导体系，确保各项政策落实到位。</w:t>
      </w:r>
    </w:p>
    <w:p w14:paraId="6AB16681">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深入推进教育综合改革创新。</w:t>
      </w:r>
      <w:r>
        <w:rPr>
          <w:rFonts w:hint="eastAsia" w:ascii="Times New Roman" w:hAnsi="Times New Roman" w:eastAsia="仿宋_GB2312" w:cs="Times New Roman"/>
          <w:color w:val="auto"/>
          <w:sz w:val="32"/>
          <w:szCs w:val="22"/>
        </w:rPr>
        <w:t>落实新时代教育评价改革要求，建立以品德和能力为导向的学生评价体系，完善教师评价和学校评价机制。深化管理体制改革，完善“县管校聘”和教师轮岗交流制度，扩大交流范围。</w:t>
      </w:r>
      <w:r>
        <w:rPr>
          <w:rFonts w:hint="eastAsia" w:ascii="仿宋_GB2312" w:hAnsi="仿宋_GB2312" w:eastAsia="仿宋_GB2312" w:cs="仿宋_GB2312"/>
          <w:color w:val="auto"/>
          <w:sz w:val="32"/>
          <w:szCs w:val="32"/>
        </w:rPr>
        <w:t>深化“双减”工作，加强“五项管理”，打造“一校一品”课后服务特色，丰富课后服务内容。</w:t>
      </w:r>
      <w:r>
        <w:rPr>
          <w:rFonts w:hint="eastAsia" w:ascii="Times New Roman" w:hAnsi="Times New Roman" w:eastAsia="仿宋_GB2312" w:cs="Times New Roman"/>
          <w:color w:val="auto"/>
          <w:sz w:val="32"/>
          <w:szCs w:val="22"/>
        </w:rPr>
        <w:t>加强校外培训监管，完善黑白名单制度，坚决打击隐形变异培训。实施智慧教育提升工程，建设数字校园和智慧课堂，推动人工智能、大数据等技术与教育教学深度融合，提升教育管理和教学效率。</w:t>
      </w:r>
    </w:p>
    <w:p w14:paraId="32B65B93">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219" w:name="_Toc209796087"/>
      <w:bookmarkStart w:id="220" w:name="_Toc230188726"/>
      <w:bookmarkStart w:id="221" w:name="_Toc31108"/>
      <w:bookmarkStart w:id="222" w:name="_Toc5451"/>
      <w:bookmarkStart w:id="223" w:name="_Toc10410"/>
      <w:bookmarkStart w:id="224" w:name="_Toc3231"/>
      <w:bookmarkStart w:id="225" w:name="_Toc230591564"/>
      <w:r>
        <w:rPr>
          <w:rFonts w:hint="eastAsia" w:ascii="黑体" w:hAnsi="黑体" w:eastAsia="黑体" w:cs="Times New Roman"/>
          <w:b w:val="0"/>
          <w:bCs w:val="0"/>
          <w:color w:val="auto"/>
          <w:kern w:val="2"/>
          <w:sz w:val="32"/>
          <w:szCs w:val="32"/>
          <w:lang w:val="en-US" w:eastAsia="zh-CN" w:bidi="ar-SA"/>
        </w:rPr>
        <w:t xml:space="preserve">第二节  </w:t>
      </w:r>
      <w:bookmarkEnd w:id="219"/>
      <w:r>
        <w:rPr>
          <w:rFonts w:hint="eastAsia" w:ascii="黑体" w:hAnsi="黑体" w:eastAsia="黑体" w:cs="Times New Roman"/>
          <w:b w:val="0"/>
          <w:bCs w:val="0"/>
          <w:color w:val="auto"/>
          <w:kern w:val="2"/>
          <w:sz w:val="32"/>
          <w:szCs w:val="32"/>
          <w:lang w:val="en-US" w:eastAsia="zh-CN" w:bidi="ar-SA"/>
        </w:rPr>
        <w:t>构建高效医疗卫生服务体系</w:t>
      </w:r>
      <w:bookmarkEnd w:id="220"/>
      <w:bookmarkEnd w:id="221"/>
      <w:bookmarkEnd w:id="222"/>
      <w:bookmarkEnd w:id="223"/>
      <w:bookmarkEnd w:id="224"/>
      <w:bookmarkEnd w:id="225"/>
    </w:p>
    <w:p w14:paraId="18E3E1C8">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强化医疗健康资源扩容提质。</w:t>
      </w:r>
      <w:r>
        <w:rPr>
          <w:rFonts w:hint="eastAsia" w:ascii="Times New Roman" w:hAnsi="Times New Roman" w:eastAsia="仿宋_GB2312" w:cs="Times New Roman"/>
          <w:color w:val="auto"/>
          <w:sz w:val="32"/>
          <w:szCs w:val="22"/>
        </w:rPr>
        <w:t>落实基层医疗卫生机构功能定位，增加对基层医疗机构的投入，鼓励优秀医疗人才到基层工作，提高基层医疗服务水平。按照全区服务人口变化趋势，优化调整卫生规划布局，增设标准化社区卫生服务中心（站）。</w:t>
      </w:r>
      <w:r>
        <w:rPr>
          <w:rFonts w:hint="eastAsia" w:ascii="仿宋_GB2312" w:hAnsi="Times New Roman" w:eastAsia="仿宋_GB2312" w:cs="Times New Roman"/>
          <w:color w:val="auto"/>
          <w:sz w:val="32"/>
          <w:szCs w:val="22"/>
        </w:rPr>
        <w:t>以创建市级“中医特色社区卫生服务中心”为契机，做强“国医堂”“中医馆”品牌，推广中医药诊疗技术</w:t>
      </w:r>
      <w:r>
        <w:rPr>
          <w:rFonts w:hint="eastAsia" w:ascii="Times New Roman" w:hAnsi="Times New Roman" w:eastAsia="仿宋_GB2312" w:cs="Times New Roman"/>
          <w:color w:val="auto"/>
          <w:sz w:val="32"/>
          <w:szCs w:val="22"/>
        </w:rPr>
        <w:t>。加强紧密型医联体内涵建设，推动区内医疗机构与毓璜顶医院、烟台山医院等医院建立紧密型医联体，实现专家下沉、技术平移、信息互联、检查互认。提升信息化建设水平，推进电子健康档案应用，安全有序向居民个人开放。</w:t>
      </w:r>
    </w:p>
    <w:p w14:paraId="79598527">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引进高水平医疗资源。</w:t>
      </w:r>
      <w:r>
        <w:rPr>
          <w:rFonts w:ascii="Times New Roman" w:hAnsi="Times New Roman" w:eastAsia="仿宋_GB2312" w:cs="Times New Roman"/>
          <w:color w:val="auto"/>
          <w:sz w:val="32"/>
          <w:szCs w:val="22"/>
        </w:rPr>
        <w:t>抢抓国家紧密型城市医疗集团建设试点机遇，积极争取高端</w:t>
      </w:r>
      <w:r>
        <w:rPr>
          <w:rFonts w:hint="eastAsia" w:ascii="Times New Roman" w:hAnsi="Times New Roman" w:eastAsia="仿宋_GB2312" w:cs="Times New Roman"/>
          <w:color w:val="auto"/>
          <w:sz w:val="32"/>
          <w:szCs w:val="22"/>
        </w:rPr>
        <w:t>优质</w:t>
      </w:r>
      <w:r>
        <w:rPr>
          <w:rFonts w:ascii="Times New Roman" w:hAnsi="Times New Roman" w:eastAsia="仿宋_GB2312" w:cs="Times New Roman"/>
          <w:color w:val="auto"/>
          <w:sz w:val="32"/>
          <w:szCs w:val="22"/>
        </w:rPr>
        <w:t>医疗项目落户，打造环渤海地区特色诊疗高地，提升区域医疗吸引力和产业竞争力。</w:t>
      </w:r>
      <w:r>
        <w:rPr>
          <w:rFonts w:hint="eastAsia" w:ascii="Times New Roman" w:hAnsi="Times New Roman" w:eastAsia="仿宋_GB2312" w:cs="Times New Roman"/>
          <w:color w:val="auto"/>
          <w:sz w:val="32"/>
          <w:szCs w:val="22"/>
        </w:rPr>
        <w:t>引进</w:t>
      </w:r>
      <w:r>
        <w:rPr>
          <w:rFonts w:ascii="Times New Roman" w:hAnsi="Times New Roman" w:eastAsia="仿宋_GB2312" w:cs="Times New Roman"/>
          <w:color w:val="auto"/>
          <w:sz w:val="32"/>
          <w:szCs w:val="22"/>
        </w:rPr>
        <w:t>高端体检与健康管理中心</w:t>
      </w:r>
      <w:r>
        <w:rPr>
          <w:rFonts w:hint="eastAsia" w:ascii="Times New Roman" w:hAnsi="Times New Roman" w:eastAsia="仿宋_GB2312" w:cs="Times New Roman"/>
          <w:color w:val="auto"/>
          <w:sz w:val="32"/>
          <w:szCs w:val="22"/>
        </w:rPr>
        <w:t>、</w:t>
      </w:r>
      <w:r>
        <w:rPr>
          <w:rFonts w:ascii="Times New Roman" w:hAnsi="Times New Roman" w:eastAsia="仿宋_GB2312" w:cs="Times New Roman"/>
          <w:color w:val="auto"/>
          <w:sz w:val="32"/>
          <w:szCs w:val="22"/>
        </w:rPr>
        <w:t>骨科与运动医学中心</w:t>
      </w:r>
      <w:r>
        <w:rPr>
          <w:rFonts w:hint="eastAsia" w:ascii="Times New Roman" w:hAnsi="Times New Roman" w:eastAsia="仿宋_GB2312" w:cs="Times New Roman"/>
          <w:color w:val="auto"/>
          <w:sz w:val="32"/>
          <w:szCs w:val="22"/>
        </w:rPr>
        <w:t>、康复中心</w:t>
      </w:r>
      <w:r>
        <w:rPr>
          <w:rFonts w:ascii="Times New Roman" w:hAnsi="Times New Roman" w:eastAsia="仿宋_GB2312" w:cs="Times New Roman"/>
          <w:color w:val="auto"/>
          <w:sz w:val="32"/>
          <w:szCs w:val="22"/>
        </w:rPr>
        <w:t>等专科</w:t>
      </w:r>
      <w:r>
        <w:rPr>
          <w:rFonts w:hint="eastAsia" w:ascii="Times New Roman" w:hAnsi="Times New Roman" w:eastAsia="仿宋_GB2312" w:cs="Times New Roman"/>
          <w:color w:val="auto"/>
          <w:sz w:val="32"/>
          <w:szCs w:val="22"/>
        </w:rPr>
        <w:t>临床服务中心，满足多层次健康需求。探索医养结合标准化服务新路径，发挥</w:t>
      </w:r>
      <w:r>
        <w:rPr>
          <w:rFonts w:ascii="Times New Roman" w:hAnsi="Times New Roman" w:eastAsia="仿宋_GB2312" w:cs="Times New Roman"/>
          <w:color w:val="auto"/>
          <w:sz w:val="32"/>
          <w:szCs w:val="22"/>
        </w:rPr>
        <w:t>御花园、蕾娜范等医养结合机构优势，在高新区医院高标准建设安宁疗护病区</w:t>
      </w:r>
      <w:r>
        <w:rPr>
          <w:rFonts w:hint="eastAsia" w:ascii="Times New Roman" w:hAnsi="Times New Roman" w:eastAsia="仿宋_GB2312" w:cs="Times New Roman"/>
          <w:color w:val="auto"/>
          <w:sz w:val="32"/>
          <w:szCs w:val="22"/>
        </w:rPr>
        <w:t>。鼓励生物医药企业创办集医疗、康复、护理、养老于一体的医养结合机构，满足养老刚性需求。</w:t>
      </w:r>
    </w:p>
    <w:p w14:paraId="7A561EA7">
      <w:pPr>
        <w:spacing w:line="560" w:lineRule="exact"/>
        <w:ind w:firstLine="640" w:firstLineChars="200"/>
        <w:rPr>
          <w:rFonts w:hint="eastAsia" w:ascii="仿宋_GB2312" w:hAnsi="仿宋_GB2312" w:eastAsia="仿宋_GB2312" w:cs="仿宋_GB2312"/>
          <w:color w:val="auto"/>
          <w:sz w:val="32"/>
          <w:szCs w:val="22"/>
        </w:rPr>
      </w:pPr>
      <w:r>
        <w:rPr>
          <w:rFonts w:hint="eastAsia" w:ascii="楷体_GB2312" w:hAnsi="Times New Roman" w:eastAsia="楷体_GB2312" w:cs="Times New Roman"/>
          <w:color w:val="auto"/>
          <w:sz w:val="32"/>
          <w:szCs w:val="22"/>
        </w:rPr>
        <w:t>强化公共卫生职能。</w:t>
      </w:r>
      <w:r>
        <w:rPr>
          <w:rFonts w:hint="eastAsia" w:ascii="Times New Roman" w:hAnsi="Times New Roman" w:eastAsia="仿宋_GB2312" w:cs="Times New Roman"/>
          <w:color w:val="auto"/>
          <w:sz w:val="32"/>
          <w:szCs w:val="22"/>
        </w:rPr>
        <w:t>深化疾病预防控制体系建设，构建“全要素监测、全链条预警、全周期处置”的公共卫生应急体系，搭建</w:t>
      </w:r>
      <w:r>
        <w:rPr>
          <w:rFonts w:ascii="Times New Roman" w:hAnsi="Times New Roman" w:eastAsia="仿宋_GB2312" w:cs="Times New Roman"/>
          <w:color w:val="auto"/>
          <w:sz w:val="32"/>
          <w:szCs w:val="22"/>
        </w:rPr>
        <w:t>职责清单化、数据共享化和智慧化预警系统，</w:t>
      </w:r>
      <w:r>
        <w:rPr>
          <w:rFonts w:hint="eastAsia" w:ascii="Times New Roman" w:hAnsi="Times New Roman" w:eastAsia="仿宋_GB2312" w:cs="Times New Roman"/>
          <w:color w:val="auto"/>
          <w:sz w:val="32"/>
          <w:szCs w:val="22"/>
        </w:rPr>
        <w:t>提升监测预警、流行病学调查、实验室检测、疫情风险研判、职业病危害因素监测、应急处置、监督执法能力。加强突发公共卫生事件报告和处理、职业病和地方病防治等基本公共卫生服务，加强医疗机构疾病预防控制能力建设，提升综合医院的诊断和救治、传染病监测报告、检验检测的能力。深化多病共防、多病共管、医防融合，高血压、糖</w:t>
      </w:r>
      <w:r>
        <w:rPr>
          <w:rFonts w:hint="eastAsia" w:ascii="仿宋_GB2312" w:hAnsi="仿宋_GB2312" w:eastAsia="仿宋_GB2312" w:cs="仿宋_GB2312"/>
          <w:color w:val="auto"/>
          <w:sz w:val="32"/>
          <w:szCs w:val="22"/>
        </w:rPr>
        <w:t>尿病患者基层规范管理服务率达到70%以上。筑牢学校卫生、环境卫生、食品卫生、放射卫生等重点领域公共卫生防线，创造安全、健康的生产生活环境。</w:t>
      </w:r>
    </w:p>
    <w:p w14:paraId="54E2E5AD">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226" w:name="_Toc209796088"/>
      <w:bookmarkStart w:id="227" w:name="_Toc5168"/>
      <w:bookmarkStart w:id="228" w:name="_Toc2149"/>
      <w:bookmarkStart w:id="229" w:name="_Toc32315"/>
      <w:bookmarkStart w:id="230" w:name="_Toc230591565"/>
      <w:bookmarkStart w:id="231" w:name="_Toc31580"/>
      <w:bookmarkStart w:id="232" w:name="_Toc230188727"/>
      <w:r>
        <w:rPr>
          <w:rFonts w:hint="eastAsia" w:ascii="黑体" w:hAnsi="黑体" w:eastAsia="黑体" w:cs="Times New Roman"/>
          <w:b w:val="0"/>
          <w:bCs w:val="0"/>
          <w:color w:val="auto"/>
          <w:kern w:val="2"/>
          <w:sz w:val="32"/>
          <w:szCs w:val="32"/>
          <w:lang w:val="en-US" w:eastAsia="zh-CN" w:bidi="ar-SA"/>
        </w:rPr>
        <w:t>第三节  完善多层次</w:t>
      </w:r>
      <w:bookmarkEnd w:id="226"/>
      <w:r>
        <w:rPr>
          <w:rFonts w:hint="eastAsia" w:ascii="黑体" w:hAnsi="黑体" w:eastAsia="黑体" w:cs="Times New Roman"/>
          <w:b w:val="0"/>
          <w:bCs w:val="0"/>
          <w:color w:val="auto"/>
          <w:kern w:val="2"/>
          <w:sz w:val="32"/>
          <w:szCs w:val="32"/>
          <w:lang w:val="en-US" w:eastAsia="zh-CN" w:bidi="ar-SA"/>
        </w:rPr>
        <w:t>社会保障体系</w:t>
      </w:r>
      <w:bookmarkEnd w:id="227"/>
      <w:bookmarkEnd w:id="228"/>
      <w:bookmarkEnd w:id="229"/>
      <w:bookmarkEnd w:id="230"/>
      <w:bookmarkEnd w:id="231"/>
      <w:bookmarkEnd w:id="232"/>
    </w:p>
    <w:p w14:paraId="342DD4FE">
      <w:pPr>
        <w:spacing w:line="560" w:lineRule="exact"/>
        <w:ind w:firstLine="640" w:firstLineChars="200"/>
        <w:rPr>
          <w:rFonts w:hint="default" w:ascii="仿宋_GB2312" w:hAnsi="仿宋_GB2312" w:eastAsia="仿宋_GB2312" w:cs="仿宋_GB2312"/>
          <w:color w:val="auto"/>
          <w:sz w:val="32"/>
          <w:szCs w:val="32"/>
          <w:lang w:val="en-US"/>
        </w:rPr>
      </w:pPr>
      <w:r>
        <w:rPr>
          <w:rFonts w:hint="eastAsia" w:ascii="楷体_GB2312" w:hAnsi="Times New Roman" w:eastAsia="楷体_GB2312" w:cs="Times New Roman"/>
          <w:color w:val="auto"/>
          <w:sz w:val="32"/>
          <w:szCs w:val="22"/>
          <w:highlight w:val="none"/>
        </w:rPr>
        <w:t>促进人口高质量发展。</w:t>
      </w:r>
      <w:r>
        <w:rPr>
          <w:rFonts w:ascii="Times New Roman" w:hAnsi="Times New Roman" w:eastAsia="仿宋_GB2312" w:cs="Times New Roman"/>
          <w:color w:val="auto"/>
          <w:sz w:val="32"/>
          <w:szCs w:val="22"/>
          <w:highlight w:val="none"/>
        </w:rPr>
        <w:t>健全</w:t>
      </w:r>
      <w:r>
        <w:rPr>
          <w:rFonts w:ascii="Times New Roman" w:hAnsi="Times New Roman" w:eastAsia="仿宋_GB2312" w:cs="Times New Roman"/>
          <w:color w:val="auto"/>
          <w:sz w:val="32"/>
          <w:szCs w:val="22"/>
        </w:rPr>
        <w:t>覆盖全人群、全生命周期的人口发展支持和服务体系，加快建设生育友好型、青年友好型、老年友好型社会。</w:t>
      </w:r>
      <w:r>
        <w:rPr>
          <w:rFonts w:hint="eastAsia" w:ascii="Times New Roman" w:hAnsi="Times New Roman" w:eastAsia="仿宋_GB2312" w:cs="Times New Roman"/>
          <w:color w:val="auto"/>
          <w:kern w:val="2"/>
          <w:sz w:val="32"/>
          <w:szCs w:val="22"/>
          <w:lang w:val="en-US" w:eastAsia="zh-CN" w:bidi="ar"/>
        </w:rPr>
        <w:t>加强新型婚育文化建设，落实育儿补贴和个人所得税抵扣政策，降低生育、养育、教育成本。落实生育休假制度，提升生育力保护、产前检查、住院分娩、产后康复等医疗保健服务水平。</w:t>
      </w:r>
      <w:r>
        <w:rPr>
          <w:rFonts w:ascii="Times New Roman" w:hAnsi="Times New Roman" w:eastAsia="仿宋_GB2312" w:cs="Times New Roman"/>
          <w:color w:val="auto"/>
          <w:sz w:val="32"/>
          <w:szCs w:val="22"/>
        </w:rPr>
        <w:t>加大普惠养老服务供给，推进适老化和无障碍改造，</w:t>
      </w:r>
      <w:r>
        <w:rPr>
          <w:rFonts w:hint="eastAsia" w:ascii="Times New Roman" w:hAnsi="Times New Roman" w:eastAsia="仿宋_GB2312" w:cs="Times New Roman"/>
          <w:color w:val="auto"/>
          <w:sz w:val="32"/>
          <w:szCs w:val="22"/>
        </w:rPr>
        <w:t>扶持社会力量参与养老服务，</w:t>
      </w:r>
      <w:r>
        <w:rPr>
          <w:rFonts w:ascii="Times New Roman" w:hAnsi="Times New Roman" w:eastAsia="仿宋_GB2312" w:cs="Times New Roman"/>
          <w:color w:val="auto"/>
          <w:sz w:val="32"/>
          <w:szCs w:val="22"/>
        </w:rPr>
        <w:t>推广互助养老、智慧养老、旅居养老、老幼共托等模式，</w:t>
      </w:r>
      <w:r>
        <w:rPr>
          <w:rFonts w:hint="eastAsia" w:ascii="Times New Roman" w:hAnsi="Times New Roman" w:eastAsia="仿宋_GB2312" w:cs="Times New Roman"/>
          <w:color w:val="auto"/>
          <w:sz w:val="32"/>
          <w:szCs w:val="22"/>
        </w:rPr>
        <w:t>做大做强养老服务品牌。持续推进居家和社区基本养老服务“双提升”行动，</w:t>
      </w:r>
      <w:r>
        <w:rPr>
          <w:rFonts w:hint="eastAsia" w:ascii="Times New Roman" w:hAnsi="Times New Roman" w:eastAsia="仿宋_GB2312" w:cs="Times New Roman"/>
          <w:color w:val="auto"/>
          <w:sz w:val="32"/>
          <w:szCs w:val="22"/>
          <w:lang w:val="en-US" w:eastAsia="zh-CN"/>
        </w:rPr>
        <w:t>实施</w:t>
      </w:r>
      <w:r>
        <w:rPr>
          <w:rFonts w:hint="eastAsia" w:ascii="Times New Roman" w:hAnsi="Times New Roman" w:eastAsia="仿宋_GB2312" w:cs="Times New Roman"/>
          <w:color w:val="auto"/>
          <w:sz w:val="32"/>
          <w:szCs w:val="22"/>
        </w:rPr>
        <w:t>困难老年人家庭适老化改造，做好特殊困难老年人探访关爱服务工作。</w:t>
      </w:r>
      <w:r>
        <w:rPr>
          <w:rFonts w:hint="eastAsia" w:ascii="Times New Roman" w:hAnsi="Times New Roman" w:eastAsia="仿宋_GB2312" w:cs="Times New Roman"/>
          <w:color w:val="auto"/>
          <w:kern w:val="2"/>
          <w:sz w:val="32"/>
          <w:szCs w:val="22"/>
          <w:lang w:val="en-US" w:eastAsia="zh-CN" w:bidi="ar"/>
        </w:rPr>
        <w:t>优化社区养老服务，引导日间照料中心规范化运行，让老年人享受“家门口”养老。</w:t>
      </w:r>
    </w:p>
    <w:p w14:paraId="3540F689">
      <w:pPr>
        <w:spacing w:line="560" w:lineRule="exact"/>
        <w:ind w:firstLine="640" w:firstLineChars="200"/>
        <w:rPr>
          <w:rFonts w:hint="eastAsia" w:ascii="仿宋_GB2312" w:hAnsi="仿宋_GB2312" w:eastAsia="仿宋_GB2312" w:cs="仿宋_GB2312"/>
          <w:color w:val="auto"/>
          <w:sz w:val="32"/>
          <w:szCs w:val="32"/>
        </w:rPr>
      </w:pPr>
      <w:r>
        <w:rPr>
          <w:rFonts w:hint="eastAsia" w:ascii="楷体_GB2312" w:hAnsi="Times New Roman" w:eastAsia="楷体_GB2312" w:cs="Times New Roman"/>
          <w:color w:val="auto"/>
          <w:sz w:val="32"/>
          <w:szCs w:val="22"/>
        </w:rPr>
        <w:t>全力促进稳岗就业。</w:t>
      </w:r>
      <w:r>
        <w:rPr>
          <w:rFonts w:hint="eastAsia" w:ascii="仿宋_GB2312" w:hAnsi="仿宋_GB2312" w:eastAsia="仿宋_GB2312" w:cs="仿宋_GB2312"/>
          <w:color w:val="auto"/>
          <w:sz w:val="32"/>
          <w:szCs w:val="32"/>
        </w:rPr>
        <w:t>探索“15分钟就业服务圈+一刻钟便民生活圈”双圈融合建设</w:t>
      </w:r>
      <w:r>
        <w:rPr>
          <w:rFonts w:hint="eastAsia" w:ascii="仿宋_GB2312" w:hAnsi="仿宋_GB2312" w:eastAsia="仿宋_GB2312" w:cs="仿宋_GB2312"/>
          <w:color w:val="auto"/>
          <w:sz w:val="32"/>
          <w:szCs w:val="32"/>
          <w:lang w:bidi="ar"/>
        </w:rPr>
        <w:t>，</w:t>
      </w:r>
      <w:r>
        <w:rPr>
          <w:rFonts w:hint="eastAsia" w:ascii="仿宋_GB2312" w:hAnsi="仿宋_GB2312" w:eastAsia="仿宋_GB2312" w:cs="仿宋_GB2312"/>
          <w:color w:val="auto"/>
          <w:sz w:val="32"/>
          <w:szCs w:val="32"/>
        </w:rPr>
        <w:t>升级打造生活服务与就业服务一体化数字平台，搭建数字就业便民场景，实现“双圈”内就业生活信息一站式获取、服务一站式满足。进一步优化就业服务窗口布局，</w:t>
      </w:r>
      <w:r>
        <w:rPr>
          <w:rFonts w:hint="eastAsia" w:ascii="仿宋_GB2312" w:hAnsi="仿宋_GB2312" w:eastAsia="仿宋_GB2312" w:cs="仿宋_GB2312"/>
          <w:color w:val="auto"/>
          <w:sz w:val="32"/>
          <w:szCs w:val="22"/>
        </w:rPr>
        <w:t>推广“伊尹技能文化节职业教育进社区”经验，</w:t>
      </w:r>
      <w:r>
        <w:rPr>
          <w:rFonts w:hint="eastAsia" w:ascii="仿宋_GB2312" w:hAnsi="仿宋_GB2312" w:eastAsia="仿宋_GB2312" w:cs="仿宋_GB2312"/>
          <w:color w:val="auto"/>
          <w:sz w:val="32"/>
          <w:szCs w:val="32"/>
        </w:rPr>
        <w:t>开展“技能提升宣传行动”，完善高校毕业生、退役军人、农民工、残疾人、失业人员等重点群体精准化就业帮扶，支持新就业群体多渠道就业，推动实现更高质量、更加充分就业。打好稳就业政策组合拳，全面落实存量政策，加快推出增量政策，全力确保就业局势总体稳定。加快兑现稳岗返还、担保贷款、就业补贴。对企业加大扩岗支持，对个人加大就业补贴支持，对受关税影响较大的企业提高失业保险稳岗返还比例。</w:t>
      </w:r>
    </w:p>
    <w:p w14:paraId="75DE0D52">
      <w:pPr>
        <w:spacing w:line="560" w:lineRule="exact"/>
        <w:ind w:firstLine="640" w:firstLineChars="200"/>
        <w:rPr>
          <w:rFonts w:hint="eastAsia" w:ascii="仿宋_GB2312" w:hAnsi="仿宋_GB2312" w:eastAsia="仿宋_GB2312" w:cs="仿宋_GB2312"/>
          <w:color w:val="auto"/>
          <w:sz w:val="32"/>
          <w:szCs w:val="32"/>
        </w:rPr>
      </w:pPr>
      <w:r>
        <w:rPr>
          <w:rFonts w:hint="eastAsia" w:ascii="楷体_GB2312" w:hAnsi="Times New Roman" w:eastAsia="楷体_GB2312" w:cs="Times New Roman"/>
          <w:color w:val="auto"/>
          <w:sz w:val="32"/>
          <w:szCs w:val="22"/>
          <w:highlight w:val="none"/>
        </w:rPr>
        <w:t>发展社会福利</w:t>
      </w:r>
      <w:r>
        <w:rPr>
          <w:rFonts w:hint="eastAsia" w:ascii="楷体_GB2312" w:hAnsi="Times New Roman" w:eastAsia="楷体_GB2312" w:cs="Times New Roman"/>
          <w:color w:val="auto"/>
          <w:sz w:val="32"/>
          <w:szCs w:val="22"/>
          <w:highlight w:val="none"/>
          <w:lang w:eastAsia="zh-CN"/>
        </w:rPr>
        <w:t>、</w:t>
      </w:r>
      <w:r>
        <w:rPr>
          <w:rFonts w:hint="eastAsia" w:ascii="楷体_GB2312" w:hAnsi="Times New Roman" w:eastAsia="楷体_GB2312" w:cs="Times New Roman"/>
          <w:color w:val="auto"/>
          <w:sz w:val="32"/>
          <w:szCs w:val="22"/>
          <w:highlight w:val="none"/>
          <w:lang w:val="en-US" w:eastAsia="zh-CN"/>
        </w:rPr>
        <w:t>救助</w:t>
      </w:r>
      <w:r>
        <w:rPr>
          <w:rFonts w:hint="eastAsia" w:ascii="楷体_GB2312" w:hAnsi="Times New Roman" w:eastAsia="楷体_GB2312" w:cs="Times New Roman"/>
          <w:color w:val="auto"/>
          <w:sz w:val="32"/>
          <w:szCs w:val="22"/>
          <w:highlight w:val="none"/>
        </w:rPr>
        <w:t>和慈善公益事业</w:t>
      </w:r>
      <w:r>
        <w:rPr>
          <w:rFonts w:hint="eastAsia" w:ascii="楷体_GB2312" w:hAnsi="Times New Roman" w:eastAsia="楷体_GB2312" w:cs="Times New Roman"/>
          <w:color w:val="auto"/>
          <w:sz w:val="32"/>
          <w:szCs w:val="22"/>
          <w:highlight w:val="none"/>
          <w:lang w:eastAsia="zh-CN"/>
        </w:rPr>
        <w:t>。</w:t>
      </w:r>
      <w:r>
        <w:rPr>
          <w:rFonts w:hint="eastAsia" w:ascii="仿宋_GB2312" w:hAnsi="仿宋_GB2312" w:eastAsia="仿宋_GB2312" w:cs="仿宋_GB2312"/>
          <w:color w:val="auto"/>
          <w:sz w:val="32"/>
          <w:szCs w:val="32"/>
        </w:rPr>
        <w:t>加强党对社会组织的领导，激发内生动力，规范社会组织管理运行，发挥社会组织在服务保障民生中的重要作用。完善空巢老人、困境儿童、残疾人等服务保障，保障妇女儿童合法权益。认真落实《殡葬专项规划》，坚持殡葬公益属性，深化惠民殡葬改革，解决好群众“身后事”。</w:t>
      </w:r>
      <w:r>
        <w:rPr>
          <w:rFonts w:hint="eastAsia" w:ascii="Times New Roman" w:hAnsi="Times New Roman" w:eastAsia="仿宋_GB2312" w:cs="Times New Roman"/>
          <w:color w:val="auto"/>
          <w:sz w:val="32"/>
          <w:szCs w:val="22"/>
        </w:rPr>
        <w:t>强化低收入人口动态监测，</w:t>
      </w:r>
      <w:r>
        <w:rPr>
          <w:rFonts w:hint="eastAsia" w:ascii="Times New Roman" w:hAnsi="Times New Roman" w:eastAsia="仿宋_GB2312" w:cs="Times New Roman"/>
          <w:color w:val="auto"/>
          <w:sz w:val="32"/>
          <w:szCs w:val="22"/>
          <w:lang w:val="en-US" w:eastAsia="zh-CN"/>
        </w:rPr>
        <w:t>拓展医疗、教育、住房、司法等专项社会救助，落实“全程网办”等便民举措，优化居住地、急难发生地直接救助快速响应机制。</w:t>
      </w:r>
      <w:r>
        <w:rPr>
          <w:rFonts w:hint="eastAsia" w:ascii="Times New Roman" w:hAnsi="Times New Roman" w:eastAsia="仿宋_GB2312" w:cs="Times New Roman"/>
          <w:color w:val="auto"/>
          <w:sz w:val="32"/>
          <w:szCs w:val="22"/>
        </w:rPr>
        <w:t>实施困境儿童心理健康守护工程，</w:t>
      </w:r>
      <w:r>
        <w:rPr>
          <w:rFonts w:hint="eastAsia" w:ascii="Times New Roman" w:hAnsi="Times New Roman" w:eastAsia="仿宋_GB2312" w:cs="Times New Roman"/>
          <w:color w:val="auto"/>
          <w:sz w:val="32"/>
          <w:szCs w:val="22"/>
          <w:lang w:val="en-US" w:eastAsia="zh-CN"/>
        </w:rPr>
        <w:t>健全结对关爱、定期走访、定期评估机制，提升关爱服务能力</w:t>
      </w:r>
      <w:r>
        <w:rPr>
          <w:rFonts w:hint="eastAsia" w:ascii="Times New Roman" w:hAnsi="Times New Roman" w:eastAsia="仿宋_GB2312" w:cs="Times New Roman"/>
          <w:color w:val="auto"/>
          <w:sz w:val="32"/>
          <w:szCs w:val="22"/>
        </w:rPr>
        <w:t>。</w:t>
      </w:r>
      <w:r>
        <w:rPr>
          <w:rFonts w:hint="eastAsia" w:ascii="Times New Roman" w:hAnsi="Times New Roman" w:eastAsia="仿宋_GB2312" w:cs="Times New Roman"/>
          <w:color w:val="auto"/>
          <w:sz w:val="32"/>
          <w:szCs w:val="22"/>
          <w:lang w:val="en-US" w:eastAsia="zh-CN"/>
        </w:rPr>
        <w:t>充分发挥街道党群服务中心救助需求收集、救助政策宣传、救助资源汇聚等作用，完善以最低生活保障、特困人员救助供养等基本生活救助为基础，临时救助、最低生活保障、边缘家庭救助为辅助，社会力量为补充的分层分类救助体系，筑牢民生保障底线。</w:t>
      </w:r>
    </w:p>
    <w:p w14:paraId="183EC3CF">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233" w:name="_Toc230591566"/>
      <w:bookmarkStart w:id="234" w:name="_Toc27713"/>
      <w:bookmarkStart w:id="235" w:name="_Toc11970"/>
      <w:bookmarkStart w:id="236" w:name="_Toc230188728"/>
      <w:bookmarkStart w:id="237" w:name="_Toc11091"/>
      <w:bookmarkStart w:id="238" w:name="_Toc28141"/>
      <w:r>
        <w:rPr>
          <w:rFonts w:hint="eastAsia" w:ascii="黑体" w:hAnsi="黑体" w:eastAsia="黑体" w:cs="Times New Roman"/>
          <w:b w:val="0"/>
          <w:bCs w:val="0"/>
          <w:color w:val="auto"/>
          <w:kern w:val="2"/>
          <w:sz w:val="32"/>
          <w:szCs w:val="32"/>
          <w:lang w:val="en-US" w:eastAsia="zh-CN" w:bidi="ar-SA"/>
        </w:rPr>
        <w:t>第四节  塑造高新特色文化品牌</w:t>
      </w:r>
      <w:bookmarkEnd w:id="233"/>
      <w:bookmarkEnd w:id="234"/>
      <w:bookmarkEnd w:id="235"/>
      <w:bookmarkEnd w:id="236"/>
      <w:bookmarkEnd w:id="237"/>
      <w:bookmarkEnd w:id="238"/>
    </w:p>
    <w:p w14:paraId="3AEA8E1A">
      <w:pPr>
        <w:wordWrap w:val="0"/>
        <w:topLinePunct/>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广泛践行社会主义核心价值观。</w:t>
      </w:r>
      <w:r>
        <w:rPr>
          <w:rFonts w:hint="eastAsia" w:ascii="Times New Roman" w:hAnsi="Times New Roman" w:eastAsia="仿宋_GB2312" w:cs="Times New Roman"/>
          <w:color w:val="auto"/>
          <w:sz w:val="32"/>
          <w:szCs w:val="22"/>
        </w:rPr>
        <w:t>深化党的创新理论学习和宣传教育，坚持不懈用习近平新时代中国特色社会主义思想凝心铸魂。</w:t>
      </w:r>
      <w:r>
        <w:rPr>
          <w:rFonts w:hint="eastAsia" w:ascii="仿宋_GB2312" w:hAnsi="仿宋_GB2312" w:eastAsia="仿宋_GB2312" w:cs="仿宋_GB2312"/>
          <w:color w:val="auto"/>
          <w:sz w:val="32"/>
          <w:szCs w:val="32"/>
        </w:rPr>
        <w:t>加强新时代社会主义精神文明建设，深化爱国主义、集体主义、社会主义教育，统筹文明培育、文明实践、文明创建。</w:t>
      </w:r>
      <w:r>
        <w:rPr>
          <w:rFonts w:hint="eastAsia" w:ascii="Times New Roman" w:hAnsi="Times New Roman" w:eastAsia="仿宋_GB2312" w:cs="Times New Roman"/>
          <w:color w:val="auto"/>
          <w:sz w:val="32"/>
          <w:szCs w:val="22"/>
        </w:rPr>
        <w:t>弘扬诚信文化、廉洁文化，注重家庭家教家风建设。推动校园文化建设，加强青少年理想信念教育。实施网络正能量行动计划，加强网络内容建设和管理，提升信息化条件下文化领域治理能力。建立完善道德典型选树、管理、服务机制，推动全社会形成崇尚典型、争当典型的浓厚氛围。</w:t>
      </w:r>
    </w:p>
    <w:p w14:paraId="535A543C">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培育“创新型”社区文化。</w:t>
      </w:r>
      <w:r>
        <w:rPr>
          <w:rFonts w:hint="eastAsia" w:ascii="Times New Roman" w:hAnsi="Times New Roman" w:eastAsia="仿宋_GB2312" w:cs="Times New Roman"/>
          <w:color w:val="auto"/>
          <w:sz w:val="32"/>
          <w:szCs w:val="22"/>
        </w:rPr>
        <w:t>加强与烟台市工人文化宫及驻区高校合作，推动将工人文化宫、驻区高校礼堂、体育馆、展览馆等优质场所、资源向居民开放。培育“多元社会组织”，重点扶持“人才联谊协会”“企业邻里互助队”“青年志愿服务队”等特色社会组织，组织人才沙龙、“科技进社区”、企业互助对接、社区志愿服务等活动，促进居民、企业、人才互动融合。持续做强全民阅读年、儿童文明嘉年华、社区艺彩嘉年华、海天文化书院、“文润高新·文化课堂”、书画摄影展等区级文化品牌。深化《胶东方言词语漫话》</w:t>
      </w:r>
      <w:r>
        <w:rPr>
          <w:rFonts w:ascii="Times New Roman" w:hAnsi="Times New Roman" w:eastAsia="仿宋_GB2312" w:cs="Times New Roman"/>
          <w:color w:val="auto"/>
          <w:sz w:val="32"/>
          <w:szCs w:val="22"/>
        </w:rPr>
        <w:t>《街名村名说胶东》宣传推广，支持地名文化研学、胶东文化讲堂等活动，推动本土传统文化创造性转化，增强区域文化软实力与居民认同感。</w:t>
      </w:r>
    </w:p>
    <w:p w14:paraId="4B5E6500">
      <w:pPr>
        <w:spacing w:line="57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丰富“攀高向新”文化内涵。</w:t>
      </w:r>
      <w:r>
        <w:rPr>
          <w:rFonts w:hint="eastAsia" w:ascii="Times New Roman" w:hAnsi="Times New Roman" w:eastAsia="仿宋_GB2312" w:cs="Times New Roman"/>
          <w:color w:val="auto"/>
          <w:sz w:val="32"/>
          <w:szCs w:val="22"/>
        </w:rPr>
        <w:t>挖掘高新文化内涵，叫响“激情孵化梦想，创新成就未来”创业口号，营造“鼓励创新，宽容失败”创新氛围。提倡“高点定位、高效务实、勇于创新、敬业奉献”服务精神，发挥社会凝聚、身份认同、经济驱动和社会治理上的独特作用。</w:t>
      </w:r>
      <w:r>
        <w:rPr>
          <w:rFonts w:ascii="Times New Roman" w:hAnsi="Times New Roman" w:eastAsia="仿宋_GB2312" w:cs="Times New Roman"/>
          <w:color w:val="auto"/>
          <w:sz w:val="32"/>
          <w:szCs w:val="22"/>
        </w:rPr>
        <w:t>锚定</w:t>
      </w:r>
      <w:r>
        <w:rPr>
          <w:rFonts w:hint="eastAsia" w:ascii="Times New Roman" w:hAnsi="Times New Roman" w:eastAsia="仿宋_GB2312" w:cs="Times New Roman"/>
          <w:color w:val="auto"/>
          <w:sz w:val="32"/>
          <w:szCs w:val="22"/>
        </w:rPr>
        <w:t>“办事最快最便捷、服务最好最周到特区”目标，</w:t>
      </w:r>
      <w:r>
        <w:rPr>
          <w:rFonts w:ascii="Times New Roman" w:hAnsi="Times New Roman" w:eastAsia="仿宋_GB2312" w:cs="Times New Roman"/>
          <w:color w:val="auto"/>
          <w:sz w:val="32"/>
          <w:szCs w:val="22"/>
        </w:rPr>
        <w:t>全力擦亮具有辨识度的营商环境服务品牌</w:t>
      </w:r>
      <w:r>
        <w:rPr>
          <w:rFonts w:hint="eastAsia" w:ascii="Times New Roman" w:hAnsi="Times New Roman" w:eastAsia="仿宋_GB2312" w:cs="Times New Roman"/>
          <w:color w:val="auto"/>
          <w:sz w:val="32"/>
          <w:szCs w:val="22"/>
        </w:rPr>
        <w:t>。</w:t>
      </w:r>
      <w:r>
        <w:rPr>
          <w:rFonts w:hint="eastAsia" w:ascii="仿宋_GB2312" w:hAnsi="仿宋_GB2312" w:eastAsia="仿宋_GB2312" w:cs="仿宋_GB2312"/>
          <w:color w:val="auto"/>
          <w:sz w:val="32"/>
          <w:szCs w:val="32"/>
        </w:rPr>
        <w:t>推动新媒体和传统媒体融合发展，探索高新虚拟人形象，用好网络平台媒体等各类社交传播渠道，持续加大对外宣传推介效应，策划发布优质城市宣传微视频，做好全媒体、全链条的宣传推广，提升城市形象和美誉度。</w:t>
      </w:r>
    </w:p>
    <w:p w14:paraId="7F559DB8">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239" w:name="_Toc230188729"/>
      <w:bookmarkStart w:id="240" w:name="_Toc230591567"/>
      <w:bookmarkStart w:id="241" w:name="_Toc11126"/>
      <w:bookmarkStart w:id="242" w:name="_Toc25592"/>
      <w:bookmarkStart w:id="243" w:name="_Toc11877"/>
      <w:bookmarkStart w:id="244" w:name="_Toc32756"/>
      <w:r>
        <w:rPr>
          <w:rFonts w:hint="eastAsia" w:ascii="黑体" w:hAnsi="黑体" w:eastAsia="黑体" w:cs="Times New Roman"/>
          <w:b w:val="0"/>
          <w:bCs w:val="0"/>
          <w:color w:val="auto"/>
          <w:kern w:val="2"/>
          <w:sz w:val="32"/>
          <w:szCs w:val="32"/>
          <w:lang w:val="en-US" w:eastAsia="zh-CN" w:bidi="ar-SA"/>
        </w:rPr>
        <w:t>第五节  扎实推进乡村全面振兴</w:t>
      </w:r>
      <w:bookmarkEnd w:id="239"/>
      <w:bookmarkEnd w:id="240"/>
      <w:bookmarkEnd w:id="241"/>
      <w:bookmarkEnd w:id="242"/>
      <w:bookmarkEnd w:id="243"/>
      <w:bookmarkEnd w:id="244"/>
    </w:p>
    <w:p w14:paraId="12908B31">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推动农村一二三产业融合发展。</w:t>
      </w:r>
      <w:r>
        <w:rPr>
          <w:rFonts w:ascii="Times New Roman" w:hAnsi="Times New Roman" w:eastAsia="仿宋_GB2312" w:cs="Times New Roman"/>
          <w:color w:val="auto"/>
          <w:sz w:val="32"/>
          <w:szCs w:val="22"/>
          <w:highlight w:val="none"/>
        </w:rPr>
        <w:t>持续做强</w:t>
      </w:r>
      <w:r>
        <w:rPr>
          <w:rFonts w:hint="eastAsia" w:ascii="仿宋_GB2312" w:hAnsi="Times New Roman" w:eastAsia="仿宋_GB2312" w:cs="Times New Roman"/>
          <w:color w:val="auto"/>
          <w:sz w:val="32"/>
          <w:szCs w:val="22"/>
          <w:highlight w:val="none"/>
        </w:rPr>
        <w:t>“好水好田好种好菜”</w:t>
      </w:r>
      <w:r>
        <w:rPr>
          <w:rFonts w:ascii="Times New Roman" w:hAnsi="Times New Roman" w:eastAsia="仿宋_GB2312" w:cs="Times New Roman"/>
          <w:color w:val="auto"/>
          <w:sz w:val="32"/>
          <w:szCs w:val="22"/>
          <w:highlight w:val="none"/>
        </w:rPr>
        <w:t>品牌，</w:t>
      </w:r>
      <w:r>
        <w:rPr>
          <w:rFonts w:hint="eastAsia" w:ascii="Times New Roman" w:hAnsi="Times New Roman" w:eastAsia="仿宋_GB2312" w:cs="Times New Roman"/>
          <w:color w:val="auto"/>
          <w:sz w:val="32"/>
          <w:szCs w:val="22"/>
          <w:highlight w:val="none"/>
          <w:lang w:val="en-US" w:eastAsia="zh-CN"/>
        </w:rPr>
        <w:t>支持烟台甘薯协会在强化品牌建设、助力技术革新等方面发挥平台作用，</w:t>
      </w:r>
      <w:r>
        <w:rPr>
          <w:rFonts w:hint="eastAsia" w:ascii="Times New Roman" w:hAnsi="Times New Roman" w:eastAsia="仿宋_GB2312" w:cs="Times New Roman"/>
          <w:color w:val="auto"/>
          <w:sz w:val="32"/>
          <w:szCs w:val="22"/>
          <w:highlight w:val="none"/>
        </w:rPr>
        <w:t>推动</w:t>
      </w:r>
      <w:r>
        <w:rPr>
          <w:rFonts w:ascii="Times New Roman" w:hAnsi="Times New Roman" w:eastAsia="仿宋_GB2312" w:cs="Times New Roman"/>
          <w:color w:val="auto"/>
          <w:sz w:val="32"/>
          <w:szCs w:val="22"/>
          <w:highlight w:val="none"/>
        </w:rPr>
        <w:t>甘薯</w:t>
      </w:r>
      <w:r>
        <w:rPr>
          <w:rFonts w:hint="eastAsia" w:ascii="Times New Roman" w:hAnsi="Times New Roman" w:eastAsia="仿宋_GB2312" w:cs="Times New Roman"/>
          <w:color w:val="auto"/>
          <w:sz w:val="32"/>
          <w:szCs w:val="22"/>
          <w:highlight w:val="none"/>
        </w:rPr>
        <w:t>、草莓等特色蔬菜水果规模化、智能化、标准化种植。深入实施农产品工</w:t>
      </w:r>
      <w:r>
        <w:rPr>
          <w:rFonts w:hint="eastAsia" w:ascii="Times New Roman" w:hAnsi="Times New Roman" w:eastAsia="仿宋_GB2312" w:cs="Times New Roman"/>
          <w:color w:val="auto"/>
          <w:sz w:val="32"/>
          <w:szCs w:val="22"/>
        </w:rPr>
        <w:t>业增值行动，发展果蔬脆片、功能性食品、保健品等农产品精深加工产业，推进农产品多元化开发、多层次利用、多环节增值。支持</w:t>
      </w:r>
      <w:r>
        <w:rPr>
          <w:rFonts w:hint="eastAsia" w:ascii="仿宋_GB2312" w:hAnsi="Times New Roman" w:eastAsia="仿宋_GB2312" w:cs="Times New Roman"/>
          <w:color w:val="auto"/>
          <w:sz w:val="32"/>
          <w:szCs w:val="22"/>
        </w:rPr>
        <w:t>企业突破海水鱼类苗种的繁育技术，完善生态养殖、海洋科研、休闲渔业等功能，赋能海洋渔业提质增效发展。</w:t>
      </w:r>
      <w:r>
        <w:rPr>
          <w:rFonts w:ascii="Times New Roman" w:hAnsi="Times New Roman" w:eastAsia="仿宋_GB2312" w:cs="Times New Roman"/>
          <w:color w:val="auto"/>
          <w:sz w:val="32"/>
          <w:szCs w:val="22"/>
        </w:rPr>
        <w:t>充分利用靠近市区的区位优势，</w:t>
      </w:r>
      <w:r>
        <w:rPr>
          <w:rFonts w:hint="eastAsia" w:ascii="Times New Roman" w:hAnsi="Times New Roman" w:eastAsia="仿宋_GB2312" w:cs="Times New Roman"/>
          <w:color w:val="auto"/>
          <w:sz w:val="32"/>
          <w:szCs w:val="22"/>
        </w:rPr>
        <w:t>依托新添堡村、小山后村等山水田园自然资源优势和中心城区半小时生活圈区位优势，加快建设农文旅综合体、休闲观光园、农业科普教育基地等</w:t>
      </w:r>
      <w:r>
        <w:rPr>
          <w:rFonts w:ascii="Times New Roman" w:hAnsi="Times New Roman" w:eastAsia="仿宋_GB2312" w:cs="Times New Roman"/>
          <w:color w:val="auto"/>
          <w:sz w:val="32"/>
          <w:szCs w:val="22"/>
        </w:rPr>
        <w:t>乡村文旅融合载体</w:t>
      </w:r>
      <w:r>
        <w:rPr>
          <w:rFonts w:hint="eastAsia" w:ascii="Times New Roman" w:hAnsi="Times New Roman" w:eastAsia="仿宋_GB2312" w:cs="Times New Roman"/>
          <w:color w:val="auto"/>
          <w:sz w:val="32"/>
          <w:szCs w:val="22"/>
        </w:rPr>
        <w:t>，积极发展</w:t>
      </w:r>
      <w:r>
        <w:rPr>
          <w:rFonts w:ascii="Times New Roman" w:hAnsi="Times New Roman" w:eastAsia="仿宋_GB2312" w:cs="Times New Roman"/>
          <w:color w:val="auto"/>
          <w:sz w:val="32"/>
          <w:szCs w:val="22"/>
        </w:rPr>
        <w:t>集生产、生态、休闲、</w:t>
      </w:r>
      <w:r>
        <w:rPr>
          <w:rFonts w:hint="eastAsia" w:ascii="Times New Roman" w:hAnsi="Times New Roman" w:eastAsia="仿宋_GB2312" w:cs="Times New Roman"/>
          <w:color w:val="auto"/>
          <w:sz w:val="32"/>
          <w:szCs w:val="22"/>
        </w:rPr>
        <w:t>文化、</w:t>
      </w:r>
      <w:r>
        <w:rPr>
          <w:rFonts w:ascii="Times New Roman" w:hAnsi="Times New Roman" w:eastAsia="仿宋_GB2312" w:cs="Times New Roman"/>
          <w:color w:val="auto"/>
          <w:sz w:val="32"/>
          <w:szCs w:val="22"/>
        </w:rPr>
        <w:t>科普于一体的都市农业。</w:t>
      </w:r>
    </w:p>
    <w:p w14:paraId="4E388747">
      <w:pPr>
        <w:spacing w:line="560" w:lineRule="exact"/>
        <w:ind w:firstLine="640" w:firstLineChars="200"/>
        <w:rPr>
          <w:rFonts w:ascii="仿宋_GB2312" w:hAnsi="Times New Roman" w:eastAsia="仿宋_GB2312" w:cs="Times New Roman"/>
          <w:color w:val="auto"/>
          <w:sz w:val="32"/>
          <w:szCs w:val="22"/>
        </w:rPr>
      </w:pPr>
      <w:bookmarkStart w:id="245" w:name="_Toc213251292"/>
      <w:r>
        <w:rPr>
          <w:rFonts w:hint="eastAsia" w:ascii="楷体_GB2312" w:hAnsi="Times New Roman" w:eastAsia="楷体_GB2312" w:cs="Times New Roman"/>
          <w:color w:val="auto"/>
          <w:sz w:val="32"/>
          <w:szCs w:val="22"/>
        </w:rPr>
        <w:t>推进宜居宜业和美乡村建设</w:t>
      </w:r>
      <w:bookmarkEnd w:id="245"/>
      <w:r>
        <w:rPr>
          <w:rFonts w:hint="eastAsia" w:ascii="楷体_GB2312" w:hAnsi="Times New Roman" w:eastAsia="楷体_GB2312" w:cs="Times New Roman"/>
          <w:color w:val="auto"/>
          <w:sz w:val="32"/>
          <w:szCs w:val="22"/>
        </w:rPr>
        <w:t>。</w:t>
      </w:r>
      <w:r>
        <w:rPr>
          <w:rFonts w:hint="eastAsia" w:ascii="Times New Roman" w:hAnsi="Times New Roman" w:eastAsia="仿宋_GB2312" w:cs="Times New Roman"/>
          <w:color w:val="auto"/>
          <w:sz w:val="32"/>
          <w:szCs w:val="22"/>
        </w:rPr>
        <w:t>充分挖掘街道、村（社区）自然环境、人文历史、风土民俗、资源条件、特色产业等优势，高标准建设美丽乡村。以提升农村宜居水平和群众幸福指数为目标，高质量推进农村人居环境综合整治，以钉钉子精神解决好农村改厕、垃圾围村等问题。</w:t>
      </w:r>
      <w:r>
        <w:rPr>
          <w:rFonts w:hint="eastAsia" w:ascii="仿宋_GB2312" w:hAnsi="Times New Roman" w:eastAsia="仿宋_GB2312" w:cs="Times New Roman"/>
          <w:color w:val="auto"/>
          <w:sz w:val="32"/>
          <w:szCs w:val="22"/>
        </w:rPr>
        <w:t>加大农村基础设施投入力度，着力织牢农村交通物流、水利设施、清洁能源、数字信息“四张网”，最大限度满足新区农村居民日益增长的生产生活需求。</w:t>
      </w:r>
    </w:p>
    <w:p w14:paraId="5147FDFE">
      <w:pPr>
        <w:keepNext/>
        <w:keepLines/>
        <w:widowControl w:val="0"/>
        <w:spacing w:before="217" w:beforeLines="50" w:after="217" w:afterLines="50" w:line="560" w:lineRule="exact"/>
        <w:ind w:firstLine="0" w:firstLineChars="0"/>
        <w:jc w:val="center"/>
        <w:outlineLvl w:val="0"/>
        <w:rPr>
          <w:rFonts w:hint="eastAsia" w:ascii="方正小标宋简体" w:hAnsi="方正小标宋简体" w:eastAsia="方正小标宋简体" w:cs="方正小标宋简体"/>
          <w:bCs/>
          <w:color w:val="auto"/>
          <w:kern w:val="44"/>
          <w:sz w:val="36"/>
          <w:szCs w:val="48"/>
          <w:lang w:val="en-US" w:eastAsia="zh-CN" w:bidi="ar-SA"/>
        </w:rPr>
      </w:pPr>
      <w:bookmarkStart w:id="246" w:name="_Toc230188730"/>
      <w:bookmarkStart w:id="247" w:name="_Toc14947"/>
      <w:bookmarkStart w:id="248" w:name="_Toc230591568"/>
      <w:bookmarkStart w:id="249" w:name="_Toc4589"/>
      <w:bookmarkStart w:id="250" w:name="_Toc4517"/>
      <w:bookmarkStart w:id="251" w:name="_Toc13729"/>
      <w:r>
        <w:rPr>
          <w:rFonts w:hint="eastAsia" w:ascii="方正小标宋简体" w:hAnsi="方正小标宋简体" w:eastAsia="方正小标宋简体" w:cs="方正小标宋简体"/>
          <w:bCs/>
          <w:color w:val="auto"/>
          <w:kern w:val="44"/>
          <w:sz w:val="36"/>
          <w:szCs w:val="48"/>
          <w:lang w:val="en-US" w:eastAsia="zh-CN" w:bidi="ar-SA"/>
        </w:rPr>
        <w:t xml:space="preserve">第八章 </w:t>
      </w:r>
      <w:r>
        <w:rPr>
          <w:rFonts w:ascii="方正小标宋简体" w:hAnsi="方正小标宋简体" w:eastAsia="方正小标宋简体" w:cs="方正小标宋简体"/>
          <w:bCs/>
          <w:color w:val="auto"/>
          <w:kern w:val="44"/>
          <w:sz w:val="36"/>
          <w:szCs w:val="48"/>
          <w:lang w:val="en-US" w:eastAsia="zh-CN" w:bidi="ar-SA"/>
        </w:rPr>
        <w:t>全面</w:t>
      </w:r>
      <w:r>
        <w:rPr>
          <w:rFonts w:hint="eastAsia" w:ascii="方正小标宋简体" w:hAnsi="方正小标宋简体" w:eastAsia="方正小标宋简体" w:cs="方正小标宋简体"/>
          <w:bCs/>
          <w:color w:val="auto"/>
          <w:kern w:val="44"/>
          <w:sz w:val="36"/>
          <w:szCs w:val="48"/>
          <w:lang w:val="en-US" w:eastAsia="zh-CN" w:bidi="ar-SA"/>
        </w:rPr>
        <w:t>贯彻总体国家安全观，构筑平安高新发展屏障</w:t>
      </w:r>
      <w:bookmarkEnd w:id="246"/>
      <w:bookmarkEnd w:id="247"/>
      <w:bookmarkEnd w:id="248"/>
      <w:bookmarkEnd w:id="249"/>
      <w:bookmarkEnd w:id="250"/>
      <w:bookmarkEnd w:id="251"/>
    </w:p>
    <w:p w14:paraId="51E7DEE0">
      <w:pPr>
        <w:spacing w:line="560" w:lineRule="exact"/>
        <w:ind w:firstLine="640" w:firstLineChars="200"/>
        <w:rPr>
          <w:rFonts w:ascii="Times New Roman" w:hAnsi="Times New Roman" w:eastAsia="仿宋_GB2312" w:cs="Times New Roman"/>
          <w:color w:val="auto"/>
          <w:sz w:val="32"/>
          <w:szCs w:val="22"/>
        </w:rPr>
      </w:pPr>
      <w:r>
        <w:rPr>
          <w:rFonts w:hint="eastAsia" w:ascii="Times New Roman" w:hAnsi="Times New Roman" w:eastAsia="仿宋_GB2312" w:cs="Times New Roman"/>
          <w:color w:val="auto"/>
          <w:sz w:val="32"/>
          <w:szCs w:val="22"/>
        </w:rPr>
        <w:t>贯彻落实总体国家安全观，筑牢城市安全、生态安全屏障、全力维护社会稳定，以新安全格局保障新发展格局，以生态环境保障发展底色，推进安全美丽高新建设。</w:t>
      </w:r>
    </w:p>
    <w:p w14:paraId="475E1CE7">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252" w:name="_Toc230591569"/>
      <w:bookmarkStart w:id="253" w:name="_Toc5759"/>
      <w:bookmarkStart w:id="254" w:name="_Toc230188731"/>
      <w:bookmarkStart w:id="255" w:name="_Toc1822"/>
      <w:bookmarkStart w:id="256" w:name="_Toc3726"/>
      <w:bookmarkStart w:id="257" w:name="_Toc13742"/>
      <w:bookmarkStart w:id="258" w:name="_Toc328878018"/>
      <w:bookmarkStart w:id="259" w:name="_Toc1469250565"/>
      <w:bookmarkStart w:id="260" w:name="_Toc311892825"/>
      <w:bookmarkStart w:id="261" w:name="_Toc1521925989"/>
      <w:bookmarkStart w:id="262" w:name="_Toc1387850490"/>
      <w:r>
        <w:rPr>
          <w:rFonts w:hint="eastAsia" w:ascii="黑体" w:hAnsi="黑体" w:eastAsia="黑体" w:cs="Times New Roman"/>
          <w:b w:val="0"/>
          <w:bCs w:val="0"/>
          <w:color w:val="auto"/>
          <w:kern w:val="2"/>
          <w:sz w:val="32"/>
          <w:szCs w:val="32"/>
          <w:lang w:val="en-US" w:eastAsia="zh-CN" w:bidi="ar-SA"/>
        </w:rPr>
        <w:t>第一节  筑牢城市安全屏障</w:t>
      </w:r>
      <w:bookmarkEnd w:id="252"/>
      <w:bookmarkEnd w:id="253"/>
      <w:bookmarkEnd w:id="254"/>
      <w:bookmarkEnd w:id="255"/>
      <w:bookmarkEnd w:id="256"/>
      <w:bookmarkEnd w:id="257"/>
    </w:p>
    <w:p w14:paraId="0087A87B">
      <w:pPr>
        <w:spacing w:line="560" w:lineRule="exact"/>
        <w:ind w:firstLine="640" w:firstLineChars="200"/>
        <w:rPr>
          <w:rFonts w:hint="eastAsia" w:ascii="仿宋_GB2312" w:hAnsi="仿宋_GB2312" w:eastAsia="仿宋_GB2312" w:cs="仿宋_GB2312"/>
          <w:color w:val="auto"/>
          <w:sz w:val="32"/>
          <w:szCs w:val="22"/>
        </w:rPr>
      </w:pPr>
      <w:r>
        <w:rPr>
          <w:rFonts w:hint="eastAsia" w:ascii="楷体_GB2312" w:hAnsi="Times New Roman" w:eastAsia="楷体_GB2312" w:cs="Times New Roman"/>
          <w:color w:val="auto"/>
          <w:sz w:val="32"/>
          <w:szCs w:val="22"/>
        </w:rPr>
        <w:t>提升公共安全治理水平。</w:t>
      </w:r>
      <w:r>
        <w:rPr>
          <w:rFonts w:ascii="仿宋_GB2312" w:hAnsi="仿宋_GB2312" w:eastAsia="仿宋_GB2312" w:cs="仿宋_GB2312"/>
          <w:color w:val="auto"/>
          <w:sz w:val="32"/>
          <w:szCs w:val="22"/>
        </w:rPr>
        <w:t>提升重要基础设施本质安全水平，有效遏制重特大事故</w:t>
      </w:r>
      <w:r>
        <w:rPr>
          <w:rFonts w:hint="eastAsia" w:ascii="仿宋_GB2312" w:hAnsi="仿宋_GB2312" w:eastAsia="仿宋_GB2312" w:cs="仿宋_GB2312"/>
          <w:color w:val="auto"/>
          <w:sz w:val="32"/>
          <w:szCs w:val="22"/>
        </w:rPr>
        <w:t>发生</w:t>
      </w:r>
      <w:r>
        <w:rPr>
          <w:rFonts w:ascii="仿宋_GB2312" w:hAnsi="仿宋_GB2312" w:eastAsia="仿宋_GB2312" w:cs="仿宋_GB2312"/>
          <w:color w:val="auto"/>
          <w:sz w:val="32"/>
          <w:szCs w:val="22"/>
        </w:rPr>
        <w:t>。深化社会治安整体防控体系和能力建设，落实维护社会稳定责任，发展壮大群防群治力量，健全扫黑除恶常态化机制，加大预防和打击电信网络诈骗、毒品犯罪力度。完善公共安全体系，推动公共安全治理模式向事前预防转型。深化网络空间安全综合治理，加强个人信息保护。强化未成年人违法犯罪预防和治理。全面准确贯彻宽严相济刑事政策，依法惩处违法犯罪，提升刑罚执行质效</w:t>
      </w:r>
      <w:r>
        <w:rPr>
          <w:rFonts w:hint="eastAsia" w:ascii="仿宋_GB2312" w:hAnsi="仿宋_GB2312" w:eastAsia="仿宋_GB2312" w:cs="仿宋_GB2312"/>
          <w:color w:val="auto"/>
          <w:sz w:val="32"/>
          <w:szCs w:val="22"/>
        </w:rPr>
        <w:t>。</w:t>
      </w:r>
    </w:p>
    <w:p w14:paraId="6F573300">
      <w:pPr>
        <w:spacing w:line="560" w:lineRule="exact"/>
        <w:ind w:firstLine="640" w:firstLineChars="200"/>
        <w:rPr>
          <w:rFonts w:ascii="Times New Roman" w:hAnsi="Times New Roman" w:eastAsia="仿宋_GB2312" w:cs="Times New Roman"/>
          <w:b/>
          <w:bCs/>
          <w:color w:val="auto"/>
          <w:sz w:val="32"/>
          <w:szCs w:val="22"/>
        </w:rPr>
      </w:pPr>
      <w:r>
        <w:rPr>
          <w:rFonts w:hint="eastAsia" w:ascii="楷体_GB2312" w:hAnsi="Times New Roman" w:eastAsia="楷体_GB2312" w:cs="Times New Roman"/>
          <w:color w:val="auto"/>
          <w:sz w:val="32"/>
          <w:szCs w:val="22"/>
        </w:rPr>
        <w:t>精准防控关键领域事故风险。</w:t>
      </w:r>
      <w:r>
        <w:rPr>
          <w:rFonts w:hint="eastAsia" w:ascii="仿宋_GB2312" w:hAnsi="仿宋_GB2312" w:eastAsia="仿宋_GB2312" w:cs="仿宋_GB2312"/>
          <w:color w:val="auto"/>
          <w:kern w:val="0"/>
          <w:sz w:val="32"/>
          <w:szCs w:val="32"/>
          <w:shd w:val="clear" w:color="auto" w:fill="FFFFFF"/>
        </w:rPr>
        <w:t>针对新行业、新业态领域，建立健全适应其行业特征的风险防范和治理隐患机制，确保安全风险可控。</w:t>
      </w:r>
      <w:r>
        <w:rPr>
          <w:rFonts w:hint="eastAsia" w:ascii="仿宋_GB2312" w:hAnsi="仿宋_GB2312" w:eastAsia="仿宋_GB2312" w:cs="仿宋_GB2312"/>
          <w:color w:val="auto"/>
          <w:sz w:val="32"/>
          <w:szCs w:val="22"/>
        </w:rPr>
        <w:t>以烟台市政府“低空政务警务一体化”建设为契机，以反无人机频谱探测与定位技术为切入点，突破无人机载频谱测向系统、基于无人机辐射信号的指纹识别技术等关键技术。强化实战应用效能，通过对信号指纹的深度挖掘与关联研判，实现“黑飞”案件的串并分析与规律推演，提升精准打击与溯源能力。构建全域防控体系，在重点空域及关键目标部署“查打一体”智能装备，常态化开展攻防对抗演练，全面筑牢低空安全屏障，为全区产业高质量发展提供坚实的安全保障。</w:t>
      </w:r>
    </w:p>
    <w:p w14:paraId="7F4C694E">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持续提升安全防范能力。</w:t>
      </w:r>
      <w:r>
        <w:rPr>
          <w:rFonts w:hint="eastAsia" w:ascii="仿宋_GB2312" w:hAnsi="仿宋_GB2312" w:eastAsia="仿宋_GB2312" w:cs="仿宋_GB2312"/>
          <w:color w:val="auto"/>
          <w:sz w:val="32"/>
          <w:szCs w:val="32"/>
        </w:rPr>
        <w:t>深化安全生产治本攻坚，加强重点行业、重点领域安全监管，健全安全生产风险排查整治机制和管控体系，严格落实责任倒查机制，有效遏制重特大事故。</w:t>
      </w:r>
      <w:r>
        <w:rPr>
          <w:rFonts w:hint="eastAsia" w:ascii="Times New Roman" w:hAnsi="Times New Roman" w:eastAsia="仿宋_GB2312" w:cs="Times New Roman"/>
          <w:color w:val="auto"/>
          <w:sz w:val="32"/>
          <w:szCs w:val="22"/>
        </w:rPr>
        <w:t>强化</w:t>
      </w:r>
      <w:r>
        <w:rPr>
          <w:rFonts w:ascii="Times New Roman" w:hAnsi="Times New Roman" w:eastAsia="仿宋_GB2312" w:cs="Times New Roman"/>
          <w:color w:val="auto"/>
          <w:sz w:val="32"/>
          <w:szCs w:val="22"/>
        </w:rPr>
        <w:t>安办</w:t>
      </w:r>
      <w:r>
        <w:rPr>
          <w:rFonts w:hint="eastAsia" w:ascii="Times New Roman" w:hAnsi="Times New Roman" w:eastAsia="仿宋_GB2312" w:cs="Times New Roman"/>
          <w:color w:val="auto"/>
          <w:sz w:val="32"/>
          <w:szCs w:val="22"/>
        </w:rPr>
        <w:t>统筹联动，针对城市更新、新能源、商业综合体等领域，建立跨部门风险联合研判机制，推动建筑施工、危化品、消防等领域重大隐患挂牌督办，实现“隐患发现—整改销号—效果评估”闭环管理。</w:t>
      </w:r>
      <w:r>
        <w:rPr>
          <w:rFonts w:ascii="Times New Roman" w:hAnsi="Times New Roman" w:eastAsia="仿宋_GB2312" w:cs="Times New Roman"/>
          <w:color w:val="auto"/>
          <w:sz w:val="32"/>
          <w:szCs w:val="22"/>
          <w:highlight w:val="none"/>
        </w:rPr>
        <w:t>按照</w:t>
      </w:r>
      <w:r>
        <w:rPr>
          <w:rFonts w:hint="eastAsia" w:ascii="仿宋_GB2312" w:hAnsi="Times New Roman" w:eastAsia="仿宋_GB2312" w:cs="Times New Roman"/>
          <w:color w:val="auto"/>
          <w:sz w:val="32"/>
          <w:szCs w:val="22"/>
          <w:highlight w:val="none"/>
        </w:rPr>
        <w:t>“三管三必须”“三见面三检查”</w:t>
      </w:r>
      <w:r>
        <w:rPr>
          <w:rFonts w:ascii="Times New Roman" w:hAnsi="Times New Roman" w:eastAsia="仿宋_GB2312" w:cs="Times New Roman"/>
          <w:color w:val="auto"/>
          <w:sz w:val="32"/>
          <w:szCs w:val="22"/>
          <w:highlight w:val="none"/>
        </w:rPr>
        <w:t>工作要求，通过</w:t>
      </w:r>
      <w:r>
        <w:rPr>
          <w:rFonts w:hint="eastAsia" w:ascii="仿宋_GB2312" w:hAnsi="Times New Roman" w:eastAsia="仿宋_GB2312" w:cs="Times New Roman"/>
          <w:color w:val="auto"/>
          <w:sz w:val="32"/>
          <w:szCs w:val="22"/>
          <w:highlight w:val="none"/>
        </w:rPr>
        <w:t>“一书两函一会”</w:t>
      </w:r>
      <w:r>
        <w:rPr>
          <w:rFonts w:hint="eastAsia" w:ascii="Times New Roman" w:hAnsi="Times New Roman" w:eastAsia="仿宋_GB2312" w:cs="Times New Roman"/>
          <w:color w:val="auto"/>
          <w:sz w:val="32"/>
          <w:szCs w:val="22"/>
          <w:highlight w:val="none"/>
        </w:rPr>
        <w:t>，建立“责任清单+任务台账”动态管理机制，</w:t>
      </w:r>
      <w:r>
        <w:rPr>
          <w:rFonts w:ascii="Times New Roman" w:hAnsi="Times New Roman" w:eastAsia="仿宋_GB2312" w:cs="Times New Roman"/>
          <w:color w:val="auto"/>
          <w:sz w:val="32"/>
          <w:szCs w:val="22"/>
          <w:highlight w:val="none"/>
        </w:rPr>
        <w:t>压紧压实</w:t>
      </w:r>
      <w:r>
        <w:rPr>
          <w:rFonts w:hint="eastAsia" w:ascii="Times New Roman" w:hAnsi="Times New Roman" w:eastAsia="仿宋_GB2312" w:cs="Times New Roman"/>
          <w:color w:val="auto"/>
          <w:sz w:val="32"/>
          <w:szCs w:val="22"/>
          <w:highlight w:val="none"/>
          <w:lang w:val="en-US" w:eastAsia="zh-CN"/>
        </w:rPr>
        <w:t>行业</w:t>
      </w:r>
      <w:r>
        <w:rPr>
          <w:rFonts w:ascii="Times New Roman" w:hAnsi="Times New Roman" w:eastAsia="仿宋_GB2312" w:cs="Times New Roman"/>
          <w:color w:val="auto"/>
          <w:sz w:val="32"/>
          <w:szCs w:val="22"/>
          <w:highlight w:val="none"/>
        </w:rPr>
        <w:t>管理责任、部门监管责任和企业主体责任。</w:t>
      </w:r>
    </w:p>
    <w:p w14:paraId="3170C6B4">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推进防灾减灾救灾能力建设。</w:t>
      </w:r>
      <w:r>
        <w:rPr>
          <w:rFonts w:hint="eastAsia" w:ascii="仿宋_GB2312" w:hAnsi="仿宋_GB2312" w:eastAsia="仿宋_GB2312" w:cs="仿宋_GB2312"/>
          <w:color w:val="auto"/>
          <w:sz w:val="32"/>
          <w:szCs w:val="32"/>
        </w:rPr>
        <w:t>健全完善现代应急管理体系，强化应急物资保障，构建“大安全、大应急”应急管理工作格局。</w:t>
      </w:r>
      <w:r>
        <w:rPr>
          <w:rFonts w:hint="eastAsia" w:ascii="Times New Roman" w:hAnsi="Times New Roman" w:eastAsia="仿宋_GB2312" w:cs="Times New Roman"/>
          <w:color w:val="auto"/>
          <w:sz w:val="32"/>
          <w:szCs w:val="22"/>
        </w:rPr>
        <w:t>完善防灾减灾救灾工作机制和应急预案体系，开展防灾减灾知识宣传教育和应急演练，增强公众防灾减灾意识和自救互救能力，建立健全灾害信息报送、灾情评估、救灾物资储备调配和灾后恢复重建机制，确保灾害发生后迅速高效开展救灾工作。严格落实值班值守制度和值班信息报送机制，对各类突发事件和重要情况第一时间上报、第一时间处置。强化应急救援队伍建设，衔接解放军和武警部队参与救援工作，做好灾害救援指挥现场协调保障。</w:t>
      </w:r>
    </w:p>
    <w:p w14:paraId="4E83BA7C">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263" w:name="_Toc230591570"/>
      <w:bookmarkStart w:id="264" w:name="_Toc13395"/>
      <w:bookmarkStart w:id="265" w:name="_Toc13605"/>
      <w:bookmarkStart w:id="266" w:name="_Toc3995"/>
      <w:bookmarkStart w:id="267" w:name="_Toc6828"/>
      <w:bookmarkStart w:id="268" w:name="_Toc230188732"/>
      <w:r>
        <w:rPr>
          <w:rFonts w:hint="eastAsia" w:ascii="黑体" w:hAnsi="黑体" w:eastAsia="黑体" w:cs="Times New Roman"/>
          <w:b w:val="0"/>
          <w:bCs w:val="0"/>
          <w:color w:val="auto"/>
          <w:kern w:val="2"/>
          <w:sz w:val="32"/>
          <w:szCs w:val="32"/>
          <w:lang w:val="en-US" w:eastAsia="zh-CN" w:bidi="ar-SA"/>
        </w:rPr>
        <w:t>第二节  全力维护社会稳定</w:t>
      </w:r>
      <w:bookmarkEnd w:id="263"/>
      <w:bookmarkEnd w:id="264"/>
      <w:bookmarkEnd w:id="265"/>
      <w:bookmarkEnd w:id="266"/>
      <w:bookmarkEnd w:id="267"/>
      <w:bookmarkEnd w:id="268"/>
    </w:p>
    <w:p w14:paraId="2E9611BF">
      <w:pPr>
        <w:wordWrap w:val="0"/>
        <w:topLinePunct/>
        <w:spacing w:line="560" w:lineRule="exact"/>
        <w:ind w:firstLine="640" w:firstLineChars="200"/>
        <w:rPr>
          <w:rFonts w:hint="eastAsia" w:ascii="仿宋_GB2312" w:hAnsi="仿宋_GB2312" w:eastAsia="仿宋_GB2312" w:cs="仿宋_GB2312"/>
          <w:color w:val="auto"/>
          <w:sz w:val="32"/>
          <w:szCs w:val="32"/>
          <w:lang w:val="zh-TW"/>
        </w:rPr>
      </w:pPr>
      <w:r>
        <w:rPr>
          <w:rFonts w:hint="eastAsia" w:ascii="楷体_GB2312" w:hAnsi="Times New Roman" w:eastAsia="楷体_GB2312" w:cs="Times New Roman"/>
          <w:color w:val="auto"/>
          <w:sz w:val="32"/>
          <w:szCs w:val="22"/>
        </w:rPr>
        <w:t>健全矛盾纠纷多元化解工作机制。</w:t>
      </w:r>
      <w:r>
        <w:rPr>
          <w:rFonts w:hint="eastAsia" w:ascii="仿宋_GB2312" w:hAnsi="仿宋_GB2312" w:eastAsia="仿宋_GB2312" w:cs="仿宋_GB2312"/>
          <w:color w:val="auto"/>
          <w:sz w:val="32"/>
          <w:szCs w:val="32"/>
        </w:rPr>
        <w:t>坚持和发展新时代“枫桥经验”，加强综治中心建设，统筹职能部门、调解组织、社会力量等，协调处置各类矛盾纠纷，实现群众“只进一扇门，解决所有事”。推动信访工作依法规范运行，及时有效解决群众合法诉求，维护好群众合法权益。</w:t>
      </w:r>
      <w:r>
        <w:rPr>
          <w:rFonts w:hint="eastAsia" w:ascii="仿宋_GB2312" w:hAnsi="仿宋_GB2312" w:eastAsia="仿宋_GB2312" w:cs="仿宋_GB2312"/>
          <w:color w:val="auto"/>
          <w:sz w:val="32"/>
          <w:szCs w:val="32"/>
          <w:lang w:val="zh-TW"/>
        </w:rPr>
        <w:t>加强重大舆情和突发事件舆论引导，有效预防、减少和消除突发重大舆情造成的负面影响。</w:t>
      </w:r>
    </w:p>
    <w:p w14:paraId="68DAFA3E">
      <w:pPr>
        <w:wordWrap w:val="0"/>
        <w:topLinePunct/>
        <w:spacing w:line="560" w:lineRule="exact"/>
        <w:ind w:firstLine="640" w:firstLineChars="200"/>
        <w:rPr>
          <w:rFonts w:ascii="仿宋_GB2312" w:hAnsi="仿宋_GB2312" w:eastAsia="仿宋_GB2312" w:cs="仿宋_GB2312"/>
          <w:color w:val="auto"/>
          <w:sz w:val="32"/>
          <w:szCs w:val="32"/>
        </w:rPr>
      </w:pPr>
      <w:r>
        <w:rPr>
          <w:rFonts w:hint="eastAsia" w:ascii="楷体_GB2312" w:hAnsi="Times New Roman" w:eastAsia="楷体_GB2312" w:cs="Times New Roman"/>
          <w:color w:val="auto"/>
          <w:sz w:val="32"/>
          <w:szCs w:val="22"/>
        </w:rPr>
        <w:t>筑牢特殊人群安全稳定防线。</w:t>
      </w:r>
      <w:r>
        <w:rPr>
          <w:rFonts w:ascii="仿宋_GB2312" w:hAnsi="仿宋_GB2312" w:eastAsia="仿宋_GB2312" w:cs="仿宋_GB2312"/>
          <w:color w:val="auto"/>
          <w:sz w:val="32"/>
          <w:szCs w:val="32"/>
        </w:rPr>
        <w:t>常态化</w:t>
      </w:r>
      <w:r>
        <w:rPr>
          <w:rFonts w:hint="eastAsia" w:ascii="仿宋_GB2312" w:hAnsi="仿宋_GB2312" w:eastAsia="仿宋_GB2312" w:cs="仿宋_GB2312"/>
          <w:color w:val="auto"/>
          <w:sz w:val="32"/>
          <w:szCs w:val="32"/>
        </w:rPr>
        <w:t>开展</w:t>
      </w:r>
      <w:r>
        <w:rPr>
          <w:rFonts w:ascii="仿宋_GB2312" w:hAnsi="仿宋_GB2312" w:eastAsia="仿宋_GB2312" w:cs="仿宋_GB2312"/>
          <w:color w:val="auto"/>
          <w:sz w:val="32"/>
          <w:szCs w:val="32"/>
        </w:rPr>
        <w:t>风险隐患排查整治，完善定期排查、敏感时期排查及重点问题排查机制，提高风险识别和掌控能力。</w:t>
      </w:r>
      <w:r>
        <w:rPr>
          <w:rFonts w:hint="eastAsia" w:ascii="仿宋_GB2312" w:hAnsi="仿宋_GB2312" w:eastAsia="仿宋_GB2312" w:cs="仿宋_GB2312"/>
          <w:color w:val="auto"/>
          <w:sz w:val="32"/>
          <w:szCs w:val="32"/>
        </w:rPr>
        <w:t>常态化开展警示教育，组织矫正对象参加集中教育，强化矫正对象对法律法规的认识和理解。加强对</w:t>
      </w:r>
      <w:r>
        <w:rPr>
          <w:rFonts w:ascii="仿宋_GB2312" w:hAnsi="仿宋_GB2312" w:eastAsia="仿宋_GB2312" w:cs="仿宋_GB2312"/>
          <w:color w:val="auto"/>
          <w:sz w:val="32"/>
          <w:szCs w:val="32"/>
        </w:rPr>
        <w:t>重点社区矫正对象</w:t>
      </w:r>
      <w:r>
        <w:rPr>
          <w:rFonts w:hint="eastAsia" w:ascii="仿宋_GB2312" w:hAnsi="仿宋_GB2312" w:eastAsia="仿宋_GB2312" w:cs="仿宋_GB2312"/>
          <w:color w:val="auto"/>
          <w:sz w:val="32"/>
          <w:szCs w:val="32"/>
        </w:rPr>
        <w:t>和重点安置帮教对象的监督管控</w:t>
      </w:r>
      <w:r>
        <w:rPr>
          <w:rFonts w:ascii="仿宋_GB2312" w:hAnsi="仿宋_GB2312" w:eastAsia="仿宋_GB2312" w:cs="仿宋_GB2312"/>
          <w:color w:val="auto"/>
          <w:sz w:val="32"/>
          <w:szCs w:val="32"/>
        </w:rPr>
        <w:t>，及时发现苗头性问题，防止</w:t>
      </w:r>
      <w:r>
        <w:rPr>
          <w:rFonts w:hint="eastAsia" w:ascii="仿宋_GB2312" w:hAnsi="仿宋_GB2312" w:eastAsia="仿宋_GB2312" w:cs="仿宋_GB2312"/>
          <w:color w:val="auto"/>
          <w:sz w:val="32"/>
          <w:szCs w:val="32"/>
        </w:rPr>
        <w:t>发生</w:t>
      </w:r>
      <w:r>
        <w:rPr>
          <w:rFonts w:ascii="仿宋_GB2312" w:hAnsi="仿宋_GB2312" w:eastAsia="仿宋_GB2312" w:cs="仿宋_GB2312"/>
          <w:color w:val="auto"/>
          <w:sz w:val="32"/>
          <w:szCs w:val="32"/>
        </w:rPr>
        <w:t>个人极端案事件。</w:t>
      </w:r>
      <w:r>
        <w:rPr>
          <w:rFonts w:hint="eastAsia" w:ascii="仿宋_GB2312" w:hAnsi="仿宋_GB2312" w:eastAsia="仿宋_GB2312" w:cs="仿宋_GB2312"/>
          <w:color w:val="auto"/>
          <w:sz w:val="32"/>
          <w:szCs w:val="32"/>
        </w:rPr>
        <w:t>制定</w:t>
      </w:r>
      <w:r>
        <w:rPr>
          <w:rFonts w:ascii="仿宋_GB2312" w:hAnsi="仿宋_GB2312" w:eastAsia="仿宋_GB2312" w:cs="仿宋_GB2312"/>
          <w:color w:val="auto"/>
          <w:sz w:val="32"/>
          <w:szCs w:val="32"/>
        </w:rPr>
        <w:t>突发事件应急</w:t>
      </w:r>
      <w:r>
        <w:rPr>
          <w:rFonts w:hint="eastAsia" w:ascii="仿宋_GB2312" w:hAnsi="仿宋_GB2312" w:eastAsia="仿宋_GB2312" w:cs="仿宋_GB2312"/>
          <w:color w:val="auto"/>
          <w:sz w:val="32"/>
          <w:szCs w:val="32"/>
        </w:rPr>
        <w:t>处置</w:t>
      </w:r>
      <w:r>
        <w:rPr>
          <w:rFonts w:ascii="仿宋_GB2312" w:hAnsi="仿宋_GB2312" w:eastAsia="仿宋_GB2312" w:cs="仿宋_GB2312"/>
          <w:color w:val="auto"/>
          <w:sz w:val="32"/>
          <w:szCs w:val="32"/>
        </w:rPr>
        <w:t>预案，落实</w:t>
      </w:r>
      <w:r>
        <w:rPr>
          <w:rFonts w:hint="eastAsia" w:ascii="仿宋_GB2312" w:hAnsi="仿宋_GB2312" w:eastAsia="仿宋_GB2312" w:cs="仿宋_GB2312"/>
          <w:color w:val="auto"/>
          <w:sz w:val="32"/>
          <w:szCs w:val="32"/>
        </w:rPr>
        <w:t>定期</w:t>
      </w:r>
      <w:r>
        <w:rPr>
          <w:rFonts w:ascii="仿宋_GB2312" w:hAnsi="仿宋_GB2312" w:eastAsia="仿宋_GB2312" w:cs="仿宋_GB2312"/>
          <w:color w:val="auto"/>
          <w:sz w:val="32"/>
          <w:szCs w:val="32"/>
        </w:rPr>
        <w:t>分析研判</w:t>
      </w:r>
      <w:r>
        <w:rPr>
          <w:rFonts w:hint="eastAsia" w:ascii="仿宋_GB2312" w:hAnsi="仿宋_GB2312" w:eastAsia="仿宋_GB2312" w:cs="仿宋_GB2312"/>
          <w:color w:val="auto"/>
          <w:sz w:val="32"/>
          <w:szCs w:val="32"/>
        </w:rPr>
        <w:t>制度</w:t>
      </w:r>
      <w:r>
        <w:rPr>
          <w:rFonts w:ascii="仿宋_GB2312" w:hAnsi="仿宋_GB2312" w:eastAsia="仿宋_GB2312" w:cs="仿宋_GB2312"/>
          <w:color w:val="auto"/>
          <w:sz w:val="32"/>
          <w:szCs w:val="32"/>
        </w:rPr>
        <w:t>，全面掌握、精准研判</w:t>
      </w:r>
      <w:r>
        <w:rPr>
          <w:rFonts w:hint="eastAsia" w:ascii="仿宋_GB2312" w:hAnsi="仿宋_GB2312" w:eastAsia="仿宋_GB2312" w:cs="仿宋_GB2312"/>
          <w:color w:val="auto"/>
          <w:sz w:val="32"/>
          <w:szCs w:val="32"/>
        </w:rPr>
        <w:t>特殊人群</w:t>
      </w:r>
      <w:r>
        <w:rPr>
          <w:rFonts w:ascii="仿宋_GB2312" w:hAnsi="仿宋_GB2312" w:eastAsia="仿宋_GB2312" w:cs="仿宋_GB2312"/>
          <w:color w:val="auto"/>
          <w:sz w:val="32"/>
          <w:szCs w:val="32"/>
        </w:rPr>
        <w:t>安全稳定</w:t>
      </w:r>
      <w:r>
        <w:rPr>
          <w:rFonts w:hint="eastAsia" w:ascii="仿宋_GB2312" w:hAnsi="仿宋_GB2312" w:eastAsia="仿宋_GB2312" w:cs="仿宋_GB2312"/>
          <w:color w:val="auto"/>
          <w:sz w:val="32"/>
          <w:szCs w:val="32"/>
        </w:rPr>
        <w:t>形势</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动态调整监管措施，</w:t>
      </w:r>
      <w:r>
        <w:rPr>
          <w:rFonts w:ascii="仿宋_GB2312" w:hAnsi="仿宋_GB2312" w:eastAsia="仿宋_GB2312" w:cs="仿宋_GB2312"/>
          <w:color w:val="auto"/>
          <w:sz w:val="32"/>
          <w:szCs w:val="32"/>
        </w:rPr>
        <w:t>提高联防联控、舆情监测和处置能力。</w:t>
      </w:r>
    </w:p>
    <w:p w14:paraId="2C82E781">
      <w:pPr>
        <w:wordWrap w:val="0"/>
        <w:topLinePunct/>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楷体_GB2312" w:hAnsi="Times New Roman" w:eastAsia="楷体_GB2312" w:cs="Times New Roman"/>
          <w:color w:val="auto"/>
          <w:sz w:val="32"/>
          <w:szCs w:val="22"/>
        </w:rPr>
        <w:t>锻造专业化打击犯罪能力。</w:t>
      </w:r>
      <w:r>
        <w:rPr>
          <w:rFonts w:hint="eastAsia" w:ascii="仿宋_GB2312" w:hAnsi="Times New Roman" w:eastAsia="仿宋_GB2312" w:cs="宋体"/>
          <w:color w:val="auto"/>
          <w:sz w:val="32"/>
          <w:szCs w:val="32"/>
        </w:rPr>
        <w:t>针对</w:t>
      </w:r>
      <w:r>
        <w:rPr>
          <w:rFonts w:ascii="仿宋_GB2312" w:hAnsi="Times New Roman" w:eastAsia="仿宋_GB2312" w:cs="宋体"/>
          <w:color w:val="auto"/>
          <w:sz w:val="32"/>
          <w:szCs w:val="32"/>
        </w:rPr>
        <w:t>侵犯知识产权、商业秘密、制售假冒伪劣产品等违法犯罪</w:t>
      </w:r>
      <w:r>
        <w:rPr>
          <w:rFonts w:hint="eastAsia" w:ascii="仿宋_GB2312" w:hAnsi="Times New Roman" w:eastAsia="仿宋_GB2312" w:cs="宋体"/>
          <w:color w:val="auto"/>
          <w:sz w:val="32"/>
          <w:szCs w:val="32"/>
        </w:rPr>
        <w:t>行为，</w:t>
      </w:r>
      <w:r>
        <w:rPr>
          <w:rFonts w:ascii="仿宋_GB2312" w:hAnsi="Times New Roman" w:eastAsia="仿宋_GB2312" w:cs="宋体"/>
          <w:color w:val="auto"/>
          <w:sz w:val="32"/>
          <w:szCs w:val="32"/>
        </w:rPr>
        <w:t>建立健全</w:t>
      </w:r>
      <w:r>
        <w:rPr>
          <w:rFonts w:hint="eastAsia" w:ascii="仿宋_GB2312" w:hAnsi="Times New Roman" w:eastAsia="仿宋_GB2312" w:cs="宋体"/>
          <w:color w:val="auto"/>
          <w:sz w:val="32"/>
          <w:szCs w:val="32"/>
        </w:rPr>
        <w:t>“线索互移、案件协办、结果互通”</w:t>
      </w:r>
      <w:r>
        <w:rPr>
          <w:rFonts w:ascii="仿宋_GB2312" w:hAnsi="Times New Roman" w:eastAsia="仿宋_GB2312" w:cs="宋体"/>
          <w:color w:val="auto"/>
          <w:sz w:val="32"/>
          <w:szCs w:val="32"/>
        </w:rPr>
        <w:t>机制</w:t>
      </w:r>
      <w:r>
        <w:rPr>
          <w:rFonts w:hint="eastAsia" w:ascii="仿宋_GB2312" w:hAnsi="Times New Roman" w:eastAsia="仿宋_GB2312" w:cs="宋体"/>
          <w:color w:val="auto"/>
          <w:sz w:val="32"/>
          <w:szCs w:val="32"/>
        </w:rPr>
        <w:t>，实现精准打击。</w:t>
      </w:r>
      <w:r>
        <w:rPr>
          <w:rFonts w:ascii="仿宋_GB2312" w:hAnsi="Times New Roman" w:eastAsia="仿宋_GB2312" w:cs="宋体"/>
          <w:color w:val="auto"/>
          <w:sz w:val="32"/>
          <w:szCs w:val="32"/>
        </w:rPr>
        <w:t>针对高新技术企业、研发中心、重点实验室等，提供个性化安全指导和风险预警，保护创新主体核心利益，激发创新活力。</w:t>
      </w:r>
      <w:r>
        <w:rPr>
          <w:rFonts w:hint="eastAsia" w:ascii="仿宋_GB2312" w:hAnsi="Times New Roman" w:eastAsia="仿宋_GB2312" w:cs="宋体"/>
          <w:color w:val="auto"/>
          <w:sz w:val="32"/>
          <w:szCs w:val="32"/>
        </w:rPr>
        <w:t>针对</w:t>
      </w:r>
      <w:r>
        <w:rPr>
          <w:rFonts w:ascii="仿宋_GB2312" w:hAnsi="Times New Roman" w:eastAsia="仿宋_GB2312" w:cs="宋体"/>
          <w:color w:val="auto"/>
          <w:sz w:val="32"/>
          <w:szCs w:val="32"/>
        </w:rPr>
        <w:t>跨境研发合作、数据要素流通、人工智能</w:t>
      </w:r>
      <w:r>
        <w:rPr>
          <w:rFonts w:hint="eastAsia" w:ascii="仿宋_GB2312" w:hAnsi="Times New Roman" w:eastAsia="仿宋_GB2312" w:cs="宋体"/>
          <w:color w:val="auto"/>
          <w:sz w:val="32"/>
          <w:szCs w:val="32"/>
          <w:lang w:val="en-US" w:eastAsia="zh-CN"/>
        </w:rPr>
        <w:t>+</w:t>
      </w:r>
      <w:r>
        <w:rPr>
          <w:rFonts w:ascii="仿宋_GB2312" w:hAnsi="Times New Roman" w:eastAsia="仿宋_GB2312" w:cs="宋体"/>
          <w:color w:val="auto"/>
          <w:sz w:val="32"/>
          <w:szCs w:val="32"/>
        </w:rPr>
        <w:t>等新业态，开展知识产权法、数据安全法等专项培训，提升精准定性能力</w:t>
      </w:r>
      <w:r>
        <w:rPr>
          <w:rFonts w:hint="eastAsia" w:ascii="仿宋_GB2312" w:hAnsi="Times New Roman" w:eastAsia="仿宋_GB2312" w:cs="宋体"/>
          <w:color w:val="auto"/>
          <w:sz w:val="32"/>
          <w:szCs w:val="32"/>
        </w:rPr>
        <w:t>。</w:t>
      </w:r>
      <w:r>
        <w:rPr>
          <w:rFonts w:ascii="仿宋_GB2312" w:hAnsi="Times New Roman" w:eastAsia="仿宋_GB2312" w:cs="宋体"/>
          <w:color w:val="auto"/>
          <w:sz w:val="32"/>
          <w:szCs w:val="32"/>
          <w:highlight w:val="none"/>
        </w:rPr>
        <w:t>针对数据犯罪、知识产权侵权、</w:t>
      </w:r>
      <w:r>
        <w:rPr>
          <w:rFonts w:hint="default" w:ascii="仿宋_GB2312" w:hAnsi="Times New Roman" w:eastAsia="仿宋_GB2312" w:cs="宋体"/>
          <w:color w:val="auto"/>
          <w:sz w:val="32"/>
          <w:szCs w:val="32"/>
          <w:highlight w:val="none"/>
          <w:lang w:val="en-US" w:eastAsia="zh-CN"/>
        </w:rPr>
        <w:t>侵犯</w:t>
      </w:r>
      <w:r>
        <w:rPr>
          <w:rFonts w:ascii="仿宋_GB2312" w:hAnsi="Times New Roman" w:eastAsia="仿宋_GB2312" w:cs="宋体"/>
          <w:color w:val="auto"/>
          <w:sz w:val="32"/>
          <w:szCs w:val="32"/>
          <w:highlight w:val="none"/>
        </w:rPr>
        <w:t>商业秘密等疑难案件，建立涉企案件会商机制，统一执法司法理念。</w:t>
      </w:r>
    </w:p>
    <w:p w14:paraId="34F815A8">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269" w:name="_Toc18750"/>
      <w:bookmarkStart w:id="270" w:name="_Toc12998"/>
      <w:bookmarkStart w:id="271" w:name="_Toc230591571"/>
      <w:bookmarkStart w:id="272" w:name="_Toc160"/>
      <w:bookmarkStart w:id="273" w:name="_Toc2073"/>
      <w:bookmarkStart w:id="274" w:name="_Toc230188733"/>
      <w:r>
        <w:rPr>
          <w:rFonts w:hint="eastAsia" w:ascii="黑体" w:hAnsi="黑体" w:eastAsia="黑体" w:cs="Times New Roman"/>
          <w:b w:val="0"/>
          <w:bCs w:val="0"/>
          <w:color w:val="auto"/>
          <w:kern w:val="2"/>
          <w:sz w:val="32"/>
          <w:szCs w:val="32"/>
          <w:lang w:val="en-US" w:eastAsia="zh-CN" w:bidi="ar-SA"/>
        </w:rPr>
        <w:t>第三节  筑牢生态安全屏障</w:t>
      </w:r>
      <w:bookmarkEnd w:id="269"/>
      <w:bookmarkEnd w:id="270"/>
      <w:bookmarkEnd w:id="271"/>
      <w:bookmarkEnd w:id="272"/>
      <w:bookmarkEnd w:id="273"/>
      <w:bookmarkEnd w:id="274"/>
    </w:p>
    <w:p w14:paraId="2C63A70C">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加快绿色低碳转型发展。</w:t>
      </w:r>
      <w:r>
        <w:rPr>
          <w:rFonts w:hint="eastAsia" w:ascii="仿宋_GB2312" w:hAnsi="仿宋_GB2312" w:eastAsia="仿宋_GB2312" w:cs="仿宋_GB2312"/>
          <w:color w:val="auto"/>
          <w:kern w:val="0"/>
          <w:sz w:val="32"/>
          <w:szCs w:val="32"/>
          <w:lang w:bidi="ar"/>
        </w:rPr>
        <w:t>构建“零碳园区+智慧管控”场景，以东方电子零碳园区为核心，打造“分布式能源+智能管控”一体化园区样板。</w:t>
      </w:r>
      <w:r>
        <w:rPr>
          <w:rFonts w:hint="eastAsia" w:ascii="Times New Roman" w:hAnsi="Times New Roman" w:eastAsia="仿宋_GB2312" w:cs="Times New Roman"/>
          <w:color w:val="auto"/>
          <w:sz w:val="32"/>
          <w:szCs w:val="22"/>
        </w:rPr>
        <w:t>支持区内能源企业开展高效低成本碳捕集技术和装备研发。因地制宜发展分布式能源，推进各类园区低碳化改造，建设零碳工厂和园区。落实促进绿色低碳发展政策，推进工业、城市建设、交通运输等重点领域绿色低碳转型，大力发展绿色低碳产业。</w:t>
      </w:r>
      <w:r>
        <w:rPr>
          <w:rFonts w:hint="eastAsia" w:ascii="仿宋_GB2312" w:hAnsi="Calibri" w:eastAsia="仿宋_GB2312" w:cs="Times New Roman"/>
          <w:color w:val="auto"/>
          <w:sz w:val="32"/>
          <w:szCs w:val="32"/>
        </w:rPr>
        <w:t>主动应对国际绿色贸易壁垒，谋划区域绿色电力供应保障及碳足迹服务，支撑出口企业绿色低碳转型与国际市场竞争力提升。</w:t>
      </w:r>
    </w:p>
    <w:p w14:paraId="060C491C">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加快形成绿色生产生活方式。</w:t>
      </w:r>
      <w:r>
        <w:rPr>
          <w:rFonts w:hint="eastAsia" w:ascii="Times New Roman" w:hAnsi="Times New Roman" w:eastAsia="仿宋_GB2312" w:cs="Times New Roman"/>
          <w:color w:val="auto"/>
          <w:sz w:val="32"/>
          <w:szCs w:val="22"/>
        </w:rPr>
        <w:t>引导企业采用清洁生产技术、升级污染治理设施，推动产业向“低耗、低排、高效”方向发展。</w:t>
      </w:r>
      <w:r>
        <w:rPr>
          <w:rFonts w:ascii="Times New Roman" w:hAnsi="Times New Roman" w:eastAsia="仿宋_GB2312" w:cs="Times New Roman"/>
          <w:color w:val="auto"/>
          <w:sz w:val="32"/>
          <w:szCs w:val="22"/>
        </w:rPr>
        <w:t>强化绿电推广应用，鼓励企业优先使用风电、光伏等可再生能源电力，引导企业提升绿电消费占比，助力降低产业碳排放强度。</w:t>
      </w:r>
      <w:r>
        <w:rPr>
          <w:rFonts w:hint="eastAsia" w:ascii="Times New Roman" w:hAnsi="Times New Roman" w:eastAsia="仿宋_GB2312" w:cs="Times New Roman"/>
          <w:color w:val="auto"/>
          <w:sz w:val="32"/>
          <w:szCs w:val="22"/>
        </w:rPr>
        <w:t>加强废钢铁、废有色金属等</w:t>
      </w:r>
      <w:r>
        <w:rPr>
          <w:rFonts w:ascii="Times New Roman" w:hAnsi="Times New Roman" w:eastAsia="仿宋_GB2312" w:cs="Times New Roman"/>
          <w:color w:val="auto"/>
          <w:sz w:val="32"/>
          <w:szCs w:val="22"/>
        </w:rPr>
        <w:t>再生资源</w:t>
      </w:r>
      <w:r>
        <w:rPr>
          <w:rFonts w:hint="eastAsia" w:ascii="Times New Roman" w:hAnsi="Times New Roman" w:eastAsia="仿宋_GB2312" w:cs="Times New Roman"/>
          <w:color w:val="auto"/>
          <w:sz w:val="32"/>
          <w:szCs w:val="22"/>
        </w:rPr>
        <w:t>高效利用，促进废旧电视、退役风电光伏设备等</w:t>
      </w:r>
      <w:r>
        <w:rPr>
          <w:rFonts w:ascii="Times New Roman" w:hAnsi="Times New Roman" w:eastAsia="仿宋_GB2312" w:cs="Times New Roman"/>
          <w:color w:val="auto"/>
          <w:sz w:val="32"/>
          <w:szCs w:val="22"/>
        </w:rPr>
        <w:t>大宗工业固废与废旧电子产品</w:t>
      </w:r>
      <w:r>
        <w:rPr>
          <w:rFonts w:hint="eastAsia" w:ascii="Times New Roman" w:hAnsi="Times New Roman" w:eastAsia="仿宋_GB2312" w:cs="Times New Roman"/>
          <w:color w:val="auto"/>
          <w:sz w:val="32"/>
          <w:szCs w:val="22"/>
        </w:rPr>
        <w:t>循环利用，提升垃圾分类和资源化利用水平，深化“无废城市”建设。实施绿色低碳全民行动，扩大绿色低碳产品供给和消费，推行绿色出行、绿色建筑，探索开展碳普惠多场景建设。实施建筑节能降碳行动，推进既有居住建筑和公共建筑节能改造，探索可复制的技术路径及实施模式。</w:t>
      </w:r>
    </w:p>
    <w:p w14:paraId="205D712B">
      <w:pPr>
        <w:spacing w:line="560" w:lineRule="exact"/>
        <w:ind w:firstLine="640" w:firstLineChars="200"/>
        <w:rPr>
          <w:rFonts w:ascii="Times New Roman" w:hAnsi="Times New Roman" w:eastAsia="仿宋_GB2312" w:cs="Times New Roman"/>
          <w:color w:val="auto"/>
          <w:sz w:val="32"/>
          <w:szCs w:val="22"/>
        </w:rPr>
      </w:pPr>
      <w:r>
        <w:rPr>
          <w:rFonts w:hint="eastAsia" w:ascii="楷体_GB2312" w:hAnsi="Times New Roman" w:eastAsia="楷体_GB2312" w:cs="Times New Roman"/>
          <w:color w:val="auto"/>
          <w:sz w:val="32"/>
          <w:szCs w:val="22"/>
        </w:rPr>
        <w:t>深入推进污染防治和生态保护。</w:t>
      </w:r>
      <w:r>
        <w:rPr>
          <w:rFonts w:hint="eastAsia" w:ascii="Times New Roman" w:hAnsi="Times New Roman" w:eastAsia="仿宋_GB2312" w:cs="Times New Roman"/>
          <w:color w:val="auto"/>
          <w:sz w:val="32"/>
          <w:szCs w:val="22"/>
        </w:rPr>
        <w:t>统筹推进城市山体、水体、土壤、湿地等自然空间保护，实施黑臭水体动态整治。严格环境监管责任，聚焦主导产业污染特点，建立“一企一档”监管台账，确保企业依法依规排污，</w:t>
      </w:r>
      <w:r>
        <w:rPr>
          <w:rFonts w:hint="eastAsia" w:ascii="仿宋_GB2312" w:hAnsi="仿宋_GB2312" w:eastAsia="仿宋_GB2312" w:cs="仿宋_GB2312"/>
          <w:color w:val="auto"/>
          <w:sz w:val="32"/>
          <w:szCs w:val="22"/>
        </w:rPr>
        <w:t>坚决防范重特大环境污染事件。持续改善空气质量，针对VOCs排放、扬尘、餐饮油烟污染等突出问题，推行“一源一策”治理。提升水环境质量，在重点河段、入海口附近科学布设监测点位，动态掌握水质变化趋势。联合河长办、排水主管部门，共同推进管网管护、河道清淤、岸线绿化、生态缓冲带建设，提升水体自净能力。严格履行建设用地土壤污染风险监管职责，对土壤污染状况调查、风险评估等环节进行监督，确保“净土”用于产业发展与民生工程。巩</w:t>
      </w:r>
      <w:r>
        <w:rPr>
          <w:rFonts w:hint="eastAsia" w:ascii="Times New Roman" w:hAnsi="Times New Roman" w:eastAsia="仿宋_GB2312" w:cs="Times New Roman"/>
          <w:color w:val="auto"/>
          <w:sz w:val="32"/>
          <w:szCs w:val="22"/>
        </w:rPr>
        <w:t>固四十里湾美丽海湾建设成果，</w:t>
      </w:r>
      <w:r>
        <w:rPr>
          <w:rFonts w:ascii="Times New Roman" w:hAnsi="Times New Roman" w:eastAsia="仿宋_GB2312" w:cs="Times New Roman"/>
          <w:color w:val="auto"/>
          <w:sz w:val="32"/>
          <w:szCs w:val="22"/>
        </w:rPr>
        <w:t>严控人类活动对海岸生态的破坏</w:t>
      </w:r>
      <w:r>
        <w:rPr>
          <w:rFonts w:hint="eastAsia" w:ascii="Times New Roman" w:hAnsi="Times New Roman" w:eastAsia="仿宋_GB2312" w:cs="Times New Roman"/>
          <w:color w:val="auto"/>
          <w:sz w:val="32"/>
          <w:szCs w:val="22"/>
        </w:rPr>
        <w:t>，</w:t>
      </w:r>
      <w:r>
        <w:rPr>
          <w:rFonts w:ascii="Times New Roman" w:hAnsi="Times New Roman" w:eastAsia="仿宋_GB2312" w:cs="Times New Roman"/>
          <w:color w:val="auto"/>
          <w:sz w:val="32"/>
          <w:szCs w:val="22"/>
        </w:rPr>
        <w:t>提升海岸带精细化管理水平</w:t>
      </w:r>
      <w:r>
        <w:rPr>
          <w:rFonts w:hint="eastAsia" w:ascii="Times New Roman" w:hAnsi="Times New Roman" w:eastAsia="仿宋_GB2312" w:cs="Times New Roman"/>
          <w:color w:val="auto"/>
          <w:sz w:val="32"/>
          <w:szCs w:val="22"/>
        </w:rPr>
        <w:t>，</w:t>
      </w:r>
      <w:r>
        <w:rPr>
          <w:rFonts w:ascii="Times New Roman" w:hAnsi="Times New Roman" w:eastAsia="仿宋_GB2312" w:cs="Times New Roman"/>
          <w:color w:val="auto"/>
          <w:sz w:val="32"/>
          <w:szCs w:val="22"/>
        </w:rPr>
        <w:t>确保河道岸线、滩涂湿地</w:t>
      </w:r>
      <w:r>
        <w:rPr>
          <w:rFonts w:hint="eastAsia" w:ascii="Times New Roman" w:hAnsi="Times New Roman" w:eastAsia="仿宋_GB2312" w:cs="Times New Roman"/>
          <w:color w:val="auto"/>
          <w:sz w:val="32"/>
          <w:szCs w:val="22"/>
        </w:rPr>
        <w:t>等</w:t>
      </w:r>
      <w:r>
        <w:rPr>
          <w:rFonts w:ascii="Times New Roman" w:hAnsi="Times New Roman" w:eastAsia="仿宋_GB2312" w:cs="Times New Roman"/>
          <w:color w:val="auto"/>
          <w:sz w:val="32"/>
          <w:szCs w:val="22"/>
        </w:rPr>
        <w:t>受损生态系统修复</w:t>
      </w:r>
      <w:r>
        <w:rPr>
          <w:rFonts w:hint="eastAsia" w:ascii="Times New Roman" w:hAnsi="Times New Roman" w:eastAsia="仿宋_GB2312" w:cs="Times New Roman"/>
          <w:color w:val="auto"/>
          <w:sz w:val="32"/>
          <w:szCs w:val="22"/>
        </w:rPr>
        <w:t>，一体推进美丽河湖、美丽海湾建设。探索开展生态产品价值和生态保护补偿机制，统筹推进生态环境损害赔偿。</w:t>
      </w:r>
    </w:p>
    <w:p w14:paraId="3BCB48BA">
      <w:pPr>
        <w:keepNext/>
        <w:keepLines/>
        <w:widowControl w:val="0"/>
        <w:spacing w:before="217" w:beforeLines="50" w:after="217" w:afterLines="50" w:line="560" w:lineRule="exact"/>
        <w:ind w:firstLine="0" w:firstLineChars="0"/>
        <w:jc w:val="center"/>
        <w:outlineLvl w:val="0"/>
        <w:rPr>
          <w:rFonts w:hint="eastAsia" w:ascii="方正小标宋简体" w:hAnsi="方正小标宋简体" w:eastAsia="方正小标宋简体" w:cs="方正小标宋简体"/>
          <w:bCs/>
          <w:color w:val="auto"/>
          <w:kern w:val="44"/>
          <w:sz w:val="36"/>
          <w:szCs w:val="48"/>
          <w:lang w:val="en-US" w:eastAsia="zh-CN" w:bidi="ar-SA"/>
        </w:rPr>
      </w:pPr>
      <w:bookmarkStart w:id="275" w:name="_Toc31221"/>
      <w:bookmarkStart w:id="276" w:name="_Toc230591572"/>
      <w:bookmarkStart w:id="277" w:name="_Toc230188734"/>
      <w:bookmarkStart w:id="278" w:name="_Toc22629"/>
      <w:bookmarkStart w:id="279" w:name="_Toc9816"/>
      <w:bookmarkStart w:id="280" w:name="_Toc3777"/>
      <w:r>
        <w:rPr>
          <w:rFonts w:hint="eastAsia" w:ascii="方正小标宋简体" w:hAnsi="方正小标宋简体" w:eastAsia="方正小标宋简体" w:cs="方正小标宋简体"/>
          <w:bCs/>
          <w:color w:val="auto"/>
          <w:kern w:val="44"/>
          <w:sz w:val="36"/>
          <w:szCs w:val="48"/>
          <w:lang w:val="en-US" w:eastAsia="zh-CN" w:bidi="ar-SA"/>
        </w:rPr>
        <w:t>第九章 健全保障机制，确保规划蓝图全面实现</w:t>
      </w:r>
      <w:bookmarkEnd w:id="275"/>
      <w:bookmarkEnd w:id="276"/>
      <w:bookmarkEnd w:id="277"/>
      <w:bookmarkEnd w:id="278"/>
      <w:bookmarkEnd w:id="279"/>
      <w:bookmarkEnd w:id="280"/>
    </w:p>
    <w:p w14:paraId="00B1D3B4">
      <w:pPr>
        <w:spacing w:line="560" w:lineRule="exact"/>
        <w:ind w:firstLine="640" w:firstLineChars="200"/>
        <w:rPr>
          <w:rFonts w:ascii="Times New Roman" w:hAnsi="Times New Roman" w:eastAsia="仿宋_GB2312" w:cs="Times New Roman"/>
          <w:color w:val="auto"/>
          <w:sz w:val="32"/>
          <w:szCs w:val="22"/>
        </w:rPr>
      </w:pPr>
      <w:r>
        <w:rPr>
          <w:rFonts w:hint="eastAsia" w:ascii="Times New Roman" w:hAnsi="Times New Roman" w:eastAsia="仿宋_GB2312" w:cs="Times New Roman"/>
          <w:color w:val="auto"/>
          <w:sz w:val="32"/>
          <w:szCs w:val="22"/>
        </w:rPr>
        <w:t>坚持党的领导，建立健全规划实施保障机制，提升规划对经济社会发展的引导性，合理配置公共资源，动员和引导全社会力量共同推进规划落实。</w:t>
      </w:r>
    </w:p>
    <w:bookmarkEnd w:id="258"/>
    <w:bookmarkEnd w:id="259"/>
    <w:bookmarkEnd w:id="260"/>
    <w:bookmarkEnd w:id="261"/>
    <w:bookmarkEnd w:id="262"/>
    <w:p w14:paraId="4113427C">
      <w:pPr>
        <w:keepNext/>
        <w:keepLines/>
        <w:widowControl w:val="0"/>
        <w:spacing w:before="217" w:beforeLines="50" w:after="217" w:afterLines="50" w:line="560" w:lineRule="exact"/>
        <w:ind w:firstLine="0" w:firstLineChars="0"/>
        <w:jc w:val="center"/>
        <w:outlineLvl w:val="1"/>
        <w:rPr>
          <w:rFonts w:hint="default" w:ascii="黑体" w:hAnsi="黑体" w:eastAsia="黑体" w:cs="Times New Roman"/>
          <w:b w:val="0"/>
          <w:bCs w:val="0"/>
          <w:color w:val="auto"/>
          <w:kern w:val="2"/>
          <w:sz w:val="32"/>
          <w:szCs w:val="32"/>
          <w:lang w:val="en-US" w:eastAsia="zh-CN" w:bidi="ar-SA"/>
        </w:rPr>
      </w:pPr>
      <w:bookmarkStart w:id="281" w:name="_Toc230591573"/>
      <w:bookmarkStart w:id="282" w:name="_Toc230188735"/>
      <w:bookmarkStart w:id="283" w:name="_Toc24974"/>
      <w:bookmarkStart w:id="284" w:name="_Toc21240"/>
      <w:bookmarkStart w:id="285" w:name="_Toc24933"/>
      <w:bookmarkStart w:id="286" w:name="_Toc11028"/>
      <w:r>
        <w:rPr>
          <w:rFonts w:hint="eastAsia" w:ascii="黑体" w:hAnsi="黑体" w:eastAsia="黑体" w:cs="Times New Roman"/>
          <w:b w:val="0"/>
          <w:bCs w:val="0"/>
          <w:color w:val="auto"/>
          <w:kern w:val="2"/>
          <w:sz w:val="32"/>
          <w:szCs w:val="32"/>
          <w:lang w:val="en-US" w:eastAsia="zh-CN" w:bidi="ar-SA"/>
        </w:rPr>
        <w:t>第一节  建设统一规划</w:t>
      </w:r>
      <w:bookmarkEnd w:id="281"/>
      <w:bookmarkEnd w:id="282"/>
      <w:bookmarkEnd w:id="283"/>
      <w:bookmarkEnd w:id="284"/>
      <w:r>
        <w:rPr>
          <w:rFonts w:hint="eastAsia" w:ascii="黑体" w:hAnsi="黑体" w:eastAsia="黑体" w:cs="Times New Roman"/>
          <w:b w:val="0"/>
          <w:bCs w:val="0"/>
          <w:color w:val="auto"/>
          <w:kern w:val="2"/>
          <w:sz w:val="32"/>
          <w:szCs w:val="32"/>
          <w:lang w:val="en-US" w:eastAsia="zh-CN" w:bidi="ar-SA"/>
        </w:rPr>
        <w:t>体系</w:t>
      </w:r>
      <w:bookmarkEnd w:id="285"/>
      <w:bookmarkEnd w:id="286"/>
    </w:p>
    <w:p w14:paraId="1AEA5B54">
      <w:pPr>
        <w:spacing w:line="560" w:lineRule="exact"/>
        <w:ind w:firstLine="640" w:firstLineChars="200"/>
        <w:rPr>
          <w:rFonts w:ascii="Times New Roman" w:hAnsi="Times New Roman" w:eastAsia="仿宋_GB2312" w:cs="Times New Roman"/>
          <w:color w:val="auto"/>
          <w:sz w:val="32"/>
          <w:szCs w:val="22"/>
        </w:rPr>
      </w:pPr>
      <w:r>
        <w:rPr>
          <w:rFonts w:hint="eastAsia" w:ascii="Times New Roman" w:hAnsi="Times New Roman" w:eastAsia="仿宋_GB2312" w:cs="Times New Roman"/>
          <w:color w:val="auto"/>
          <w:sz w:val="32"/>
          <w:szCs w:val="22"/>
        </w:rPr>
        <w:t>坚持党总揽全局、协调各方，为规划实施提供坚强的政治保证。坚持国民经济和社会发展总体规划统领原则，做好总体规划与上位规划、空间规划、专项规划协调衔接，</w:t>
      </w:r>
      <w:r>
        <w:rPr>
          <w:rFonts w:hint="eastAsia" w:ascii="Times New Roman" w:hAnsi="Times New Roman" w:eastAsia="仿宋_GB2312" w:cs="Times New Roman"/>
          <w:color w:val="auto"/>
          <w:sz w:val="32"/>
          <w:szCs w:val="22"/>
          <w:lang w:bidi="ar"/>
        </w:rPr>
        <w:t>形成定位清晰、职责明确、功能互补的规划体系，确保各类规划在发展目标、政策取向、重大项目等方面保持协调一致。</w:t>
      </w:r>
      <w:r>
        <w:rPr>
          <w:rFonts w:hint="eastAsia" w:ascii="Times New Roman" w:hAnsi="Times New Roman" w:eastAsia="仿宋_GB2312" w:cs="Times New Roman"/>
          <w:color w:val="auto"/>
          <w:sz w:val="32"/>
          <w:szCs w:val="22"/>
        </w:rPr>
        <w:t>发挥工会、共青团、妇联等群团组织作用，巩固和发展最广泛的爱国统一战线，凝聚规划实施的社会共识和力量。</w:t>
      </w:r>
      <w:bookmarkStart w:id="287" w:name="_Toc477761535"/>
      <w:bookmarkStart w:id="288" w:name="_Toc435969636"/>
      <w:r>
        <w:rPr>
          <w:rFonts w:hint="eastAsia" w:ascii="Times New Roman" w:hAnsi="Times New Roman" w:eastAsia="仿宋_GB2312" w:cs="Times New Roman"/>
          <w:color w:val="auto"/>
          <w:sz w:val="32"/>
          <w:szCs w:val="22"/>
        </w:rPr>
        <w:t>邀请专业智库、研究机构等担任决策咨询顾问，参与发展战略、政策制定、重大项目招引等方面决策。</w:t>
      </w:r>
    </w:p>
    <w:bookmarkEnd w:id="287"/>
    <w:bookmarkEnd w:id="288"/>
    <w:p w14:paraId="2BBE6103">
      <w:pPr>
        <w:keepNext/>
        <w:keepLines/>
        <w:widowControl w:val="0"/>
        <w:spacing w:before="217" w:beforeLines="50" w:after="217" w:afterLines="50" w:line="560" w:lineRule="exact"/>
        <w:ind w:firstLine="0" w:firstLineChars="0"/>
        <w:jc w:val="center"/>
        <w:outlineLvl w:val="1"/>
        <w:rPr>
          <w:rFonts w:hint="default" w:ascii="黑体" w:hAnsi="黑体" w:eastAsia="黑体" w:cs="Times New Roman"/>
          <w:b w:val="0"/>
          <w:bCs w:val="0"/>
          <w:color w:val="auto"/>
          <w:kern w:val="2"/>
          <w:sz w:val="32"/>
          <w:szCs w:val="32"/>
          <w:lang w:val="en-US" w:eastAsia="zh-CN" w:bidi="ar-SA"/>
        </w:rPr>
      </w:pPr>
      <w:bookmarkStart w:id="289" w:name="_Toc20300"/>
      <w:bookmarkStart w:id="290" w:name="_Toc25895"/>
      <w:bookmarkStart w:id="291" w:name="_Toc230188736"/>
      <w:bookmarkStart w:id="292" w:name="_Toc230591574"/>
      <w:bookmarkStart w:id="293" w:name="_Toc7571"/>
      <w:bookmarkStart w:id="294" w:name="_Toc13588"/>
      <w:r>
        <w:rPr>
          <w:rFonts w:hint="eastAsia" w:ascii="黑体" w:hAnsi="黑体" w:eastAsia="黑体" w:cs="Times New Roman"/>
          <w:b w:val="0"/>
          <w:bCs w:val="0"/>
          <w:color w:val="auto"/>
          <w:kern w:val="2"/>
          <w:sz w:val="32"/>
          <w:szCs w:val="32"/>
          <w:lang w:val="en-US" w:eastAsia="zh-CN" w:bidi="ar-SA"/>
        </w:rPr>
        <w:t>第二节  完善</w:t>
      </w:r>
      <w:bookmarkEnd w:id="289"/>
      <w:bookmarkEnd w:id="290"/>
      <w:bookmarkEnd w:id="291"/>
      <w:bookmarkEnd w:id="292"/>
      <w:r>
        <w:rPr>
          <w:rFonts w:hint="eastAsia" w:ascii="黑体" w:hAnsi="黑体" w:eastAsia="黑体" w:cs="Times New Roman"/>
          <w:b w:val="0"/>
          <w:bCs w:val="0"/>
          <w:color w:val="auto"/>
          <w:kern w:val="2"/>
          <w:sz w:val="32"/>
          <w:szCs w:val="32"/>
          <w:lang w:val="en-US" w:eastAsia="zh-CN" w:bidi="ar-SA"/>
        </w:rPr>
        <w:t>规划要素保障</w:t>
      </w:r>
      <w:bookmarkEnd w:id="293"/>
      <w:bookmarkEnd w:id="294"/>
    </w:p>
    <w:p w14:paraId="08AAEE43">
      <w:pPr>
        <w:spacing w:line="560" w:lineRule="exact"/>
        <w:ind w:firstLine="640" w:firstLineChars="200"/>
        <w:rPr>
          <w:rFonts w:hint="eastAsia" w:ascii="楷体" w:hAnsi="楷体" w:eastAsia="楷体" w:cs="楷体"/>
          <w:color w:val="auto"/>
          <w:sz w:val="32"/>
          <w:szCs w:val="22"/>
          <w:lang w:bidi="ar"/>
        </w:rPr>
      </w:pPr>
      <w:r>
        <w:rPr>
          <w:rFonts w:hint="eastAsia" w:ascii="Times New Roman" w:hAnsi="Times New Roman" w:eastAsia="仿宋_GB2312" w:cs="Times New Roman"/>
          <w:color w:val="auto"/>
          <w:sz w:val="32"/>
          <w:szCs w:val="22"/>
          <w:lang w:val="en-US" w:eastAsia="zh-CN"/>
        </w:rPr>
        <w:t>加强各类政策与规划实施衔接协调，推动财政、金融、土地、人才、消费等政策措施与资源要素向发展规划确定的重大任务倾斜。强化“项目跟着规划走”“要素跟着项目走”，全力推进规划确定的重大任务、重大项目落地建设。</w:t>
      </w:r>
      <w:r>
        <w:rPr>
          <w:rFonts w:hint="eastAsia" w:ascii="Times New Roman" w:hAnsi="Times New Roman" w:eastAsia="仿宋_GB2312" w:cs="Times New Roman"/>
          <w:color w:val="auto"/>
          <w:sz w:val="32"/>
          <w:szCs w:val="22"/>
          <w:lang w:bidi="ar"/>
        </w:rPr>
        <w:t>加强财政预算与规划实施的衔接协调，全方位统筹政府资金和资产资源，增强对国家、省市重大战略任务的要素保障。</w:t>
      </w:r>
    </w:p>
    <w:p w14:paraId="20832C8D">
      <w:pPr>
        <w:keepNext/>
        <w:keepLines/>
        <w:widowControl w:val="0"/>
        <w:spacing w:before="217" w:beforeLines="50" w:after="217" w:afterLines="50" w:line="560" w:lineRule="exact"/>
        <w:ind w:firstLine="0" w:firstLineChars="0"/>
        <w:jc w:val="center"/>
        <w:outlineLvl w:val="1"/>
        <w:rPr>
          <w:rFonts w:hint="eastAsia" w:ascii="黑体" w:hAnsi="黑体" w:eastAsia="黑体" w:cs="Times New Roman"/>
          <w:b w:val="0"/>
          <w:bCs w:val="0"/>
          <w:color w:val="auto"/>
          <w:kern w:val="2"/>
          <w:sz w:val="32"/>
          <w:szCs w:val="32"/>
          <w:lang w:val="en-US" w:eastAsia="zh-CN" w:bidi="ar-SA"/>
        </w:rPr>
      </w:pPr>
      <w:bookmarkStart w:id="295" w:name="_Toc230188738"/>
      <w:bookmarkStart w:id="296" w:name="_Toc6248"/>
      <w:bookmarkStart w:id="297" w:name="_Toc230591576"/>
      <w:bookmarkStart w:id="298" w:name="_Toc10508"/>
      <w:bookmarkStart w:id="299" w:name="_Toc2874"/>
      <w:bookmarkStart w:id="300" w:name="_Toc27355"/>
      <w:r>
        <w:rPr>
          <w:rFonts w:hint="eastAsia" w:ascii="黑体" w:hAnsi="黑体" w:eastAsia="黑体" w:cs="Times New Roman"/>
          <w:b w:val="0"/>
          <w:bCs w:val="0"/>
          <w:color w:val="auto"/>
          <w:kern w:val="2"/>
          <w:sz w:val="32"/>
          <w:szCs w:val="32"/>
          <w:lang w:val="en-US" w:eastAsia="zh-CN" w:bidi="ar-SA"/>
        </w:rPr>
        <w:t>第三节  加强实施评估</w:t>
      </w:r>
      <w:bookmarkEnd w:id="295"/>
      <w:bookmarkEnd w:id="296"/>
      <w:bookmarkEnd w:id="297"/>
      <w:bookmarkEnd w:id="298"/>
      <w:r>
        <w:rPr>
          <w:rFonts w:hint="eastAsia" w:ascii="黑体" w:hAnsi="黑体" w:eastAsia="黑体" w:cs="Times New Roman"/>
          <w:b w:val="0"/>
          <w:bCs w:val="0"/>
          <w:color w:val="auto"/>
          <w:kern w:val="2"/>
          <w:sz w:val="32"/>
          <w:szCs w:val="32"/>
          <w:lang w:val="en-US" w:eastAsia="zh-CN" w:bidi="ar-SA"/>
        </w:rPr>
        <w:t>监测</w:t>
      </w:r>
      <w:bookmarkEnd w:id="299"/>
      <w:bookmarkEnd w:id="300"/>
    </w:p>
    <w:p w14:paraId="6350D724">
      <w:pPr>
        <w:spacing w:line="560" w:lineRule="exact"/>
        <w:ind w:firstLine="640" w:firstLineChars="200"/>
        <w:rPr>
          <w:rFonts w:hint="eastAsia" w:ascii="等线" w:hAnsi="等线" w:eastAsia="等线" w:cs="Times New Roman"/>
          <w:color w:val="auto"/>
          <w:kern w:val="0"/>
          <w:sz w:val="20"/>
          <w:szCs w:val="20"/>
        </w:rPr>
      </w:pPr>
      <w:r>
        <w:rPr>
          <w:rFonts w:hint="eastAsia" w:ascii="Times New Roman" w:hAnsi="Times New Roman" w:eastAsia="仿宋_GB2312" w:cs="Times New Roman"/>
          <w:color w:val="auto"/>
          <w:sz w:val="32"/>
          <w:szCs w:val="22"/>
          <w:lang w:val="en-US" w:eastAsia="zh-CN"/>
        </w:rPr>
        <w:t>健全规划实施评估、跟踪、预警联动机制，以发展规划为依据，制定实施方案、重点领域行动计划、重点任务目录清单等，提升规划执行效能。</w:t>
      </w:r>
      <w:r>
        <w:rPr>
          <w:rFonts w:hint="eastAsia" w:ascii="Times New Roman" w:hAnsi="Times New Roman" w:eastAsia="仿宋_GB2312" w:cs="Times New Roman"/>
          <w:color w:val="auto"/>
          <w:sz w:val="32"/>
          <w:szCs w:val="22"/>
        </w:rPr>
        <w:t>科学开展</w:t>
      </w:r>
      <w:r>
        <w:rPr>
          <w:rFonts w:hint="eastAsia" w:ascii="Times New Roman" w:hAnsi="Times New Roman" w:eastAsia="仿宋_GB2312" w:cs="Times New Roman"/>
          <w:color w:val="auto"/>
          <w:sz w:val="32"/>
          <w:szCs w:val="22"/>
          <w:lang w:bidi="ar"/>
        </w:rPr>
        <w:t>年度监测分析、中期评估、期末评估，及时发现和解决规划执行中的突出问题，并按规定程序依法对规划进行调整或修订。</w:t>
      </w:r>
      <w:r>
        <w:rPr>
          <w:rFonts w:hint="eastAsia" w:ascii="Times New Roman" w:hAnsi="等线" w:eastAsia="仿宋_GB2312" w:cs="Times New Roman"/>
          <w:color w:val="auto"/>
          <w:sz w:val="32"/>
          <w:szCs w:val="22"/>
          <w:lang w:bidi="ar"/>
        </w:rPr>
        <w:t>依法公开规划实施信息，自觉接受监督。</w:t>
      </w:r>
      <w:r>
        <w:rPr>
          <w:rFonts w:hint="eastAsia" w:ascii="Times New Roman" w:hAnsi="Times New Roman" w:eastAsia="仿宋_GB2312" w:cs="Times New Roman"/>
          <w:color w:val="auto"/>
          <w:sz w:val="32"/>
          <w:szCs w:val="22"/>
          <w:lang w:bidi="ar"/>
        </w:rPr>
        <w:t>加强规划宣传，调动全社会力量参与规划实施和监督。</w:t>
      </w:r>
      <w:bookmarkEnd w:id="80"/>
    </w:p>
    <w:p w14:paraId="4DFAA8EE">
      <w:bookmarkStart w:id="301" w:name="_GoBack"/>
      <w:bookmarkEnd w:id="301"/>
    </w:p>
    <w:sectPr>
      <w:headerReference r:id="rId12" w:type="first"/>
      <w:headerReference r:id="rId10" w:type="default"/>
      <w:footerReference r:id="rId13" w:type="default"/>
      <w:headerReference r:id="rId11" w:type="even"/>
      <w:pgSz w:w="11906" w:h="16838"/>
      <w:pgMar w:top="2098" w:right="1531" w:bottom="1985" w:left="1531" w:header="851" w:footer="992" w:gutter="0"/>
      <w:pgNumType w:fmt="numberInDash" w:start="1"/>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EC418">
    <w:pPr>
      <w:widowControl w:val="0"/>
      <w:tabs>
        <w:tab w:val="center" w:pos="4153"/>
        <w:tab w:val="right" w:pos="8306"/>
      </w:tabs>
      <w:snapToGrid w:val="0"/>
      <w:spacing w:before="120" w:after="120" w:line="240" w:lineRule="atLeast"/>
      <w:ind w:firstLine="0" w:firstLineChars="0"/>
      <w:jc w:val="left"/>
      <w:rPr>
        <w:rFonts w:ascii="Times New Roman" w:hAnsi="Times New Roman" w:eastAsia="仿宋_GB2312"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DBA5F">
    <w:pPr>
      <w:widowControl w:val="0"/>
      <w:tabs>
        <w:tab w:val="center" w:pos="4153"/>
        <w:tab w:val="right" w:pos="8306"/>
      </w:tabs>
      <w:snapToGrid w:val="0"/>
      <w:spacing w:before="120" w:after="120" w:line="240" w:lineRule="atLeast"/>
      <w:ind w:firstLine="360" w:firstLineChars="200"/>
      <w:jc w:val="left"/>
      <w:rPr>
        <w:rFonts w:ascii="Times New Roman" w:hAnsi="Times New Roman" w:eastAsia="仿宋_GB2312" w:cs="Times New Roman"/>
        <w:kern w:val="2"/>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9D58F">
    <w:pPr>
      <w:widowControl w:val="0"/>
      <w:tabs>
        <w:tab w:val="center" w:pos="4153"/>
        <w:tab w:val="right" w:pos="8306"/>
      </w:tabs>
      <w:snapToGrid w:val="0"/>
      <w:spacing w:before="120" w:after="120" w:line="240" w:lineRule="atLeast"/>
      <w:ind w:firstLine="360" w:firstLineChars="200"/>
      <w:jc w:val="left"/>
      <w:rPr>
        <w:rFonts w:ascii="Times New Roman" w:hAnsi="Times New Roman" w:eastAsia="仿宋_GB2312" w:cs="Times New Roman"/>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3CC00">
    <w:pPr>
      <w:widowControl w:val="0"/>
      <w:tabs>
        <w:tab w:val="center" w:pos="4153"/>
        <w:tab w:val="right" w:pos="8306"/>
      </w:tabs>
      <w:snapToGrid w:val="0"/>
      <w:spacing w:line="240" w:lineRule="atLeast"/>
      <w:ind w:firstLine="360" w:firstLineChars="200"/>
      <w:jc w:val="left"/>
      <w:rPr>
        <w:rFonts w:ascii="Times New Roman" w:hAnsi="Times New Roman" w:eastAsia="仿宋_GB2312" w:cs="Times New Roman"/>
        <w:kern w:val="2"/>
        <w:sz w:val="18"/>
        <w:szCs w:val="18"/>
        <w:lang w:val="en-US" w:eastAsia="zh-CN"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F72BA">
    <w:pPr>
      <w:widowControl w:val="0"/>
      <w:tabs>
        <w:tab w:val="center" w:pos="4153"/>
        <w:tab w:val="right" w:pos="8306"/>
      </w:tabs>
      <w:snapToGrid w:val="0"/>
      <w:spacing w:before="120" w:after="120" w:line="240" w:lineRule="atLeast"/>
      <w:ind w:firstLine="360" w:firstLineChars="20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eastAsia="仿宋_GB2312" w:cs="Times New Roman"/>
                              <w:kern w:val="2"/>
                              <w:sz w:val="32"/>
                              <w:szCs w:val="22"/>
                              <w:lang w:val="en-US" w:eastAsia="zh-CN" w:bidi="ar-SA"/>
                            </w:rPr>
                            <w:id w:val="147479950"/>
                          </w:sdtPr>
                          <w:sdtEndPr>
                            <w:rPr>
                              <w:rFonts w:ascii="Times New Roman" w:hAnsi="Times New Roman" w:eastAsia="仿宋_GB2312" w:cs="Times New Roman"/>
                              <w:kern w:val="2"/>
                              <w:sz w:val="18"/>
                              <w:szCs w:val="18"/>
                              <w:lang w:val="en-US" w:eastAsia="zh-CN" w:bidi="ar-SA"/>
                            </w:rPr>
                          </w:sdtEndPr>
                          <w:sdtContent>
                            <w:p w14:paraId="19020575">
                              <w:pPr>
                                <w:widowControl w:val="0"/>
                                <w:tabs>
                                  <w:tab w:val="center" w:pos="4153"/>
                                  <w:tab w:val="right" w:pos="8306"/>
                                </w:tabs>
                                <w:snapToGrid w:val="0"/>
                                <w:spacing w:before="120" w:after="120" w:line="240" w:lineRule="atLeast"/>
                                <w:ind w:firstLine="640" w:firstLineChars="200"/>
                                <w:jc w:val="center"/>
                                <w:rPr>
                                  <w:rFonts w:ascii="Times New Roman" w:hAnsi="Times New Roman" w:eastAsia="仿宋_GB2312" w:cs="Times New Roman"/>
                                  <w:kern w:val="2"/>
                                  <w:sz w:val="18"/>
                                  <w:szCs w:val="18"/>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PAGE   \* MERGEFORMAT</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zh-CN" w:eastAsia="zh-CN" w:bidi="ar-SA"/>
                                </w:rPr>
                                <w:t>2</w:t>
                              </w:r>
                              <w:r>
                                <w:rPr>
                                  <w:rFonts w:hint="eastAsia" w:ascii="宋体" w:hAnsi="宋体" w:eastAsia="宋体" w:cs="宋体"/>
                                  <w:kern w:val="2"/>
                                  <w:sz w:val="28"/>
                                  <w:szCs w:val="28"/>
                                  <w:lang w:val="en-US" w:eastAsia="zh-CN" w:bidi="ar-SA"/>
                                </w:rPr>
                                <w:fldChar w:fldCharType="end"/>
                              </w:r>
                            </w:p>
                          </w:sdtContent>
                        </w:sdt>
                        <w:p w14:paraId="752861B2">
                          <w:pPr>
                            <w:spacing w:line="560" w:lineRule="exact"/>
                            <w:ind w:firstLine="640" w:firstLineChars="200"/>
                            <w:rPr>
                              <w:rFonts w:ascii="Times New Roman" w:hAnsi="Times New Roman" w:eastAsia="仿宋_GB2312" w:cs="Times New Roman"/>
                              <w:sz w:val="32"/>
                              <w:szCs w:val="22"/>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sdt>
                    <w:sdtPr>
                      <w:rPr>
                        <w:rFonts w:ascii="Times New Roman" w:hAnsi="Times New Roman" w:eastAsia="仿宋_GB2312" w:cs="Times New Roman"/>
                        <w:kern w:val="2"/>
                        <w:sz w:val="32"/>
                        <w:szCs w:val="22"/>
                        <w:lang w:val="en-US" w:eastAsia="zh-CN" w:bidi="ar-SA"/>
                      </w:rPr>
                      <w:id w:val="147479950"/>
                    </w:sdtPr>
                    <w:sdtEndPr>
                      <w:rPr>
                        <w:rFonts w:ascii="Times New Roman" w:hAnsi="Times New Roman" w:eastAsia="仿宋_GB2312" w:cs="Times New Roman"/>
                        <w:kern w:val="2"/>
                        <w:sz w:val="18"/>
                        <w:szCs w:val="18"/>
                        <w:lang w:val="en-US" w:eastAsia="zh-CN" w:bidi="ar-SA"/>
                      </w:rPr>
                    </w:sdtEndPr>
                    <w:sdtContent>
                      <w:p w14:paraId="19020575">
                        <w:pPr>
                          <w:widowControl w:val="0"/>
                          <w:tabs>
                            <w:tab w:val="center" w:pos="4153"/>
                            <w:tab w:val="right" w:pos="8306"/>
                          </w:tabs>
                          <w:snapToGrid w:val="0"/>
                          <w:spacing w:before="120" w:after="120" w:line="240" w:lineRule="atLeast"/>
                          <w:ind w:firstLine="640" w:firstLineChars="200"/>
                          <w:jc w:val="center"/>
                          <w:rPr>
                            <w:rFonts w:ascii="Times New Roman" w:hAnsi="Times New Roman" w:eastAsia="仿宋_GB2312" w:cs="Times New Roman"/>
                            <w:kern w:val="2"/>
                            <w:sz w:val="18"/>
                            <w:szCs w:val="18"/>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PAGE   \* MERGEFORMAT</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zh-CN" w:eastAsia="zh-CN" w:bidi="ar-SA"/>
                          </w:rPr>
                          <w:t>2</w:t>
                        </w:r>
                        <w:r>
                          <w:rPr>
                            <w:rFonts w:hint="eastAsia" w:ascii="宋体" w:hAnsi="宋体" w:eastAsia="宋体" w:cs="宋体"/>
                            <w:kern w:val="2"/>
                            <w:sz w:val="28"/>
                            <w:szCs w:val="28"/>
                            <w:lang w:val="en-US" w:eastAsia="zh-CN" w:bidi="ar-SA"/>
                          </w:rPr>
                          <w:fldChar w:fldCharType="end"/>
                        </w:r>
                      </w:p>
                    </w:sdtContent>
                  </w:sdt>
                  <w:p w14:paraId="752861B2">
                    <w:pPr>
                      <w:spacing w:line="560" w:lineRule="exact"/>
                      <w:ind w:firstLine="640" w:firstLineChars="200"/>
                      <w:rPr>
                        <w:rFonts w:ascii="Times New Roman" w:hAnsi="Times New Roman" w:eastAsia="仿宋_GB2312" w:cs="Times New Roman"/>
                        <w:sz w:val="32"/>
                        <w:szCs w:val="22"/>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93F2B">
    <w:pPr>
      <w:widowControl w:val="0"/>
      <w:tabs>
        <w:tab w:val="center" w:pos="4153"/>
        <w:tab w:val="right" w:pos="8306"/>
      </w:tabs>
      <w:snapToGrid w:val="0"/>
      <w:spacing w:before="120" w:after="120" w:line="240" w:lineRule="atLeast"/>
      <w:ind w:firstLine="360" w:firstLineChars="200"/>
      <w:jc w:val="center"/>
      <w:rPr>
        <w:rFonts w:ascii="Times New Roman" w:hAnsi="Times New Roman" w:eastAsia="仿宋_GB2312" w:cs="Times New Roman"/>
        <w:kern w:val="2"/>
        <w:sz w:val="18"/>
        <w:szCs w:val="1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A233F">
    <w:pPr>
      <w:widowControl w:val="0"/>
      <w:tabs>
        <w:tab w:val="center" w:pos="4153"/>
        <w:tab w:val="right" w:pos="8306"/>
      </w:tabs>
      <w:snapToGrid w:val="0"/>
      <w:spacing w:before="120" w:after="120" w:line="240" w:lineRule="atLeast"/>
      <w:ind w:firstLine="360" w:firstLineChars="200"/>
      <w:jc w:val="center"/>
      <w:rPr>
        <w:rFonts w:ascii="Times New Roman" w:hAnsi="Times New Roman" w:eastAsia="仿宋_GB2312" w:cs="Times New Roman"/>
        <w:kern w:val="2"/>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B8B7F">
    <w:pPr>
      <w:widowControl w:val="0"/>
      <w:tabs>
        <w:tab w:val="center" w:pos="4153"/>
        <w:tab w:val="right" w:pos="8306"/>
      </w:tabs>
      <w:snapToGrid w:val="0"/>
      <w:spacing w:before="120" w:after="120" w:line="240" w:lineRule="atLeast"/>
      <w:ind w:firstLine="360" w:firstLineChars="200"/>
      <w:jc w:val="center"/>
      <w:rPr>
        <w:rFonts w:ascii="Times New Roman" w:hAnsi="Times New Roman" w:eastAsia="仿宋_GB2312" w:cs="Times New Roman"/>
        <w:kern w:val="2"/>
        <w:sz w:val="18"/>
        <w:szCs w:val="18"/>
        <w:lang w:val="en-US" w:eastAsia="zh-CN" w:bidi="ar-S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50EAE">
    <w:pPr>
      <w:widowControl w:val="0"/>
      <w:tabs>
        <w:tab w:val="center" w:pos="4153"/>
        <w:tab w:val="right" w:pos="8306"/>
      </w:tabs>
      <w:snapToGrid w:val="0"/>
      <w:spacing w:line="240" w:lineRule="atLeast"/>
      <w:ind w:firstLine="560" w:firstLineChars="200"/>
      <w:jc w:val="right"/>
      <w:rPr>
        <w:rFonts w:hint="eastAsia" w:ascii="黑体" w:hAnsi="黑体" w:eastAsia="黑体" w:cs="黑体"/>
        <w:kern w:val="2"/>
        <w:sz w:val="28"/>
        <w:szCs w:val="28"/>
        <w:lang w:val="en-US" w:eastAsia="zh-CN" w:bidi="ar-S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7EEE5">
    <w:pPr>
      <w:widowControl w:val="0"/>
      <w:tabs>
        <w:tab w:val="center" w:pos="4153"/>
        <w:tab w:val="right" w:pos="8306"/>
      </w:tabs>
      <w:snapToGrid w:val="0"/>
      <w:spacing w:line="240" w:lineRule="atLeast"/>
      <w:ind w:firstLine="360" w:firstLineChars="200"/>
      <w:jc w:val="center"/>
      <w:rPr>
        <w:rFonts w:ascii="Times New Roman" w:hAnsi="Times New Roman" w:eastAsia="仿宋_GB2312" w:cs="Times New Roman"/>
        <w:kern w:val="2"/>
        <w:sz w:val="18"/>
        <w:szCs w:val="18"/>
        <w:lang w:val="en-US" w:eastAsia="zh-CN" w:bidi="ar-S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47071">
    <w:pPr>
      <w:widowControl w:val="0"/>
      <w:tabs>
        <w:tab w:val="center" w:pos="4153"/>
        <w:tab w:val="right" w:pos="8306"/>
      </w:tabs>
      <w:snapToGrid w:val="0"/>
      <w:spacing w:line="240" w:lineRule="atLeast"/>
      <w:ind w:firstLine="360" w:firstLineChars="200"/>
      <w:jc w:val="center"/>
      <w:rPr>
        <w:rFonts w:ascii="Times New Roman" w:hAnsi="Times New Roman" w:eastAsia="仿宋_GB2312"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9E59A1"/>
    <w:rsid w:val="6D9E5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2026-08-10T03:45:00Z</dcterms:created>
  <dc:creator>sf</dc:creator>
  <cp:lastModifiedBy>sf</cp:lastModifiedBy>
  <dcterms:modified xsi:type="dcterms:W3CDTF">2026-08-10T03:45:37Z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7B3196D802C64F2D81C9B12D817E695B_11</vt:lpwstr>
  </property>
  <property fmtid="{D5CDD505-2E9C-101B-9397-08002B2CF9AE}" pid="4" name="KSOTemplateDocerSaveRecord">
    <vt:lpwstr>eyJoZGlkIjoiMmEyYjQyNGUzM2Y2NTZjYjZjMDZjYzhmMGY2MGE4MzUiLCJ1c2VySWQiOiIyNzUzMDg4NDkifQ==</vt:lpwstr>
  </property>
</Properties>
</file>