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高新区应急管理分局</w:t>
      </w:r>
      <w:r>
        <w:rPr>
          <w:rFonts w:hint="eastAsia" w:ascii="方正小标宋简体" w:hAnsi="方正小标宋简体" w:eastAsia="方正小标宋简体" w:cs="方正小标宋简体"/>
          <w:sz w:val="44"/>
          <w:szCs w:val="44"/>
        </w:rPr>
        <w:t>证明事项</w:t>
      </w:r>
      <w:r>
        <w:rPr>
          <w:rFonts w:hint="eastAsia" w:ascii="方正小标宋简体" w:hAnsi="方正小标宋简体" w:eastAsia="方正小标宋简体" w:cs="方正小标宋简体"/>
          <w:sz w:val="44"/>
          <w:szCs w:val="44"/>
          <w:lang w:eastAsia="zh-CN"/>
        </w:rPr>
        <w:t>实施</w:t>
      </w:r>
      <w:r>
        <w:rPr>
          <w:rFonts w:hint="eastAsia" w:ascii="方正小标宋简体" w:hAnsi="方正小标宋简体" w:eastAsia="方正小标宋简体" w:cs="方正小标宋简体"/>
          <w:sz w:val="44"/>
          <w:szCs w:val="44"/>
        </w:rPr>
        <w:t>清单</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（2023年版）</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楷体_GB2312" w:hAnsi="楷体_GB2312" w:eastAsia="楷体_GB2312" w:cs="楷体_GB2312"/>
          <w:color w:val="000000"/>
          <w:sz w:val="32"/>
          <w:szCs w:val="32"/>
        </w:rPr>
      </w:pPr>
    </w:p>
    <w:tbl>
      <w:tblPr>
        <w:tblStyle w:val="3"/>
        <w:tblW w:w="1230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26"/>
        <w:gridCol w:w="909"/>
        <w:gridCol w:w="1281"/>
        <w:gridCol w:w="1577"/>
        <w:gridCol w:w="5901"/>
        <w:gridCol w:w="942"/>
        <w:gridCol w:w="97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9" w:hRule="atLeast"/>
          <w:jc w:val="center"/>
        </w:trPr>
        <w:tc>
          <w:tcPr>
            <w:tcW w:w="726" w:type="dxa"/>
            <w:vAlign w:val="center"/>
          </w:tcPr>
          <w:p>
            <w:pPr>
              <w:jc w:val="center"/>
              <w:rPr>
                <w:rFonts w:ascii="黑体" w:hAnsi="黑体" w:eastAsia="黑体"/>
                <w:sz w:val="32"/>
                <w:szCs w:val="32"/>
              </w:rPr>
            </w:pPr>
            <w:bookmarkStart w:id="0" w:name="_GoBack"/>
            <w:bookmarkEnd w:id="0"/>
            <w:r>
              <w:rPr>
                <w:rFonts w:hint="eastAsia" w:ascii="黑体" w:hAnsi="黑体" w:eastAsia="黑体"/>
                <w:sz w:val="32"/>
                <w:szCs w:val="32"/>
              </w:rPr>
              <w:t>序号</w:t>
            </w:r>
          </w:p>
        </w:tc>
        <w:tc>
          <w:tcPr>
            <w:tcW w:w="909" w:type="dxa"/>
            <w:vAlign w:val="center"/>
          </w:tcPr>
          <w:p>
            <w:pPr>
              <w:jc w:val="center"/>
              <w:rPr>
                <w:rFonts w:hint="default" w:ascii="黑体" w:hAnsi="黑体" w:eastAsia="黑体"/>
                <w:sz w:val="32"/>
                <w:szCs w:val="32"/>
                <w:lang w:val="en-US" w:eastAsia="zh-CN"/>
              </w:rPr>
            </w:pPr>
            <w:r>
              <w:rPr>
                <w:rFonts w:hint="eastAsia" w:ascii="黑体" w:hAnsi="黑体" w:eastAsia="黑体"/>
                <w:sz w:val="32"/>
                <w:szCs w:val="32"/>
                <w:lang w:val="en-US" w:eastAsia="zh-CN"/>
              </w:rPr>
              <w:t>涉及领域</w:t>
            </w:r>
          </w:p>
        </w:tc>
        <w:tc>
          <w:tcPr>
            <w:tcW w:w="1281" w:type="dxa"/>
            <w:vAlign w:val="center"/>
          </w:tcPr>
          <w:p>
            <w:pPr>
              <w:jc w:val="center"/>
              <w:rPr>
                <w:rFonts w:hint="eastAsia" w:ascii="黑体" w:hAnsi="黑体" w:eastAsia="黑体"/>
                <w:sz w:val="32"/>
                <w:szCs w:val="32"/>
                <w:lang w:val="en-US" w:eastAsia="zh-CN"/>
              </w:rPr>
            </w:pPr>
            <w:r>
              <w:rPr>
                <w:rFonts w:hint="eastAsia" w:ascii="黑体" w:hAnsi="黑体" w:eastAsia="黑体"/>
                <w:sz w:val="32"/>
                <w:szCs w:val="32"/>
              </w:rPr>
              <w:t>证明事项</w:t>
            </w:r>
            <w:r>
              <w:rPr>
                <w:rFonts w:hint="eastAsia" w:ascii="黑体" w:hAnsi="黑体" w:eastAsia="黑体"/>
                <w:sz w:val="32"/>
                <w:szCs w:val="32"/>
                <w:lang w:val="en-US" w:eastAsia="zh-CN"/>
              </w:rPr>
              <w:t>名称</w:t>
            </w:r>
          </w:p>
        </w:tc>
        <w:tc>
          <w:tcPr>
            <w:tcW w:w="1577" w:type="dxa"/>
            <w:vAlign w:val="center"/>
          </w:tcPr>
          <w:p>
            <w:pPr>
              <w:jc w:val="center"/>
              <w:rPr>
                <w:rFonts w:ascii="黑体" w:hAnsi="黑体" w:eastAsia="黑体"/>
                <w:sz w:val="32"/>
                <w:szCs w:val="32"/>
              </w:rPr>
            </w:pPr>
            <w:r>
              <w:rPr>
                <w:rFonts w:hint="eastAsia" w:ascii="黑体" w:hAnsi="黑体" w:eastAsia="黑体"/>
                <w:sz w:val="32"/>
                <w:szCs w:val="32"/>
              </w:rPr>
              <w:t>政务服务事项名称</w:t>
            </w:r>
          </w:p>
        </w:tc>
        <w:tc>
          <w:tcPr>
            <w:tcW w:w="5901" w:type="dxa"/>
            <w:tcBorders>
              <w:right w:val="single" w:color="auto" w:sz="4" w:space="0"/>
            </w:tcBorders>
            <w:vAlign w:val="center"/>
          </w:tcPr>
          <w:p>
            <w:pPr>
              <w:jc w:val="center"/>
              <w:rPr>
                <w:rFonts w:ascii="黑体" w:hAnsi="黑体" w:eastAsia="黑体"/>
                <w:sz w:val="32"/>
                <w:szCs w:val="32"/>
              </w:rPr>
            </w:pPr>
            <w:r>
              <w:rPr>
                <w:rFonts w:hint="eastAsia" w:ascii="黑体" w:hAnsi="黑体" w:eastAsia="黑体"/>
                <w:sz w:val="32"/>
                <w:szCs w:val="32"/>
              </w:rPr>
              <w:t>设定</w:t>
            </w:r>
            <w:r>
              <w:rPr>
                <w:rFonts w:hint="eastAsia" w:ascii="黑体" w:hAnsi="黑体" w:eastAsia="黑体"/>
                <w:sz w:val="32"/>
                <w:szCs w:val="32"/>
                <w:lang w:val="en-US" w:eastAsia="zh-CN"/>
              </w:rPr>
              <w:t>和实施</w:t>
            </w:r>
            <w:r>
              <w:rPr>
                <w:rFonts w:hint="eastAsia" w:ascii="黑体" w:hAnsi="黑体" w:eastAsia="黑体"/>
                <w:sz w:val="32"/>
                <w:szCs w:val="32"/>
              </w:rPr>
              <w:t>依据</w:t>
            </w:r>
          </w:p>
        </w:tc>
        <w:tc>
          <w:tcPr>
            <w:tcW w:w="942" w:type="dxa"/>
            <w:vAlign w:val="center"/>
          </w:tcPr>
          <w:p>
            <w:pPr>
              <w:jc w:val="center"/>
              <w:rPr>
                <w:rFonts w:ascii="黑体" w:hAnsi="黑体" w:eastAsia="黑体"/>
                <w:sz w:val="32"/>
                <w:szCs w:val="32"/>
              </w:rPr>
            </w:pPr>
            <w:r>
              <w:rPr>
                <w:rFonts w:hint="eastAsia" w:ascii="黑体" w:hAnsi="黑体" w:eastAsia="黑体"/>
                <w:sz w:val="32"/>
                <w:szCs w:val="32"/>
              </w:rPr>
              <w:t>开具单位</w:t>
            </w:r>
          </w:p>
        </w:tc>
        <w:tc>
          <w:tcPr>
            <w:tcW w:w="973" w:type="dxa"/>
            <w:vAlign w:val="center"/>
          </w:tcPr>
          <w:p>
            <w:pPr>
              <w:jc w:val="center"/>
              <w:rPr>
                <w:rFonts w:ascii="黑体" w:hAnsi="黑体" w:eastAsia="黑体"/>
                <w:sz w:val="32"/>
                <w:szCs w:val="32"/>
              </w:rPr>
            </w:pPr>
            <w:r>
              <w:rPr>
                <w:rFonts w:hint="eastAsia" w:ascii="黑体" w:hAnsi="黑体" w:eastAsia="黑体"/>
                <w:sz w:val="32"/>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营业执照</w:t>
            </w: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生产、经营第二类、第三类非药品类易制毒化学品备案</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1.【行政法规】《易制毒化学品管理条例》（国务院令第 445 号，2018 年 9 月修改）第二条：“国家对易制毒化学品的生产、经营、购买、运输和 进口、出口实行分类管理和许可制度。”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2.【部门规章】《非药品类易制毒化学品生产、经营许可办法》（原国家安全监管总局令第 5 号）第十九条：“第二类、第三类非药品类易制毒化学品生产单位进行备案时，应当提交下列资料：（四）工商营业执照副本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（复印件）。”第二十条：“第二类、第三类非药品类易制毒化学品经营单位进行备案时，应当提交下列资料：（四）工商营业执照副本（复印件）。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市场监管部门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营业执照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或者预核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准证明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危险化学品经营许可（首次申请、变更）</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月修改）第三十三条：“国家对危险化学品经营（包括仓储经营，下同）实行许可制度。未经许可，任何单位和个人不得经营危险化学品。”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机关）提出申请，提交下列文件、资料，并对其真实性负责：（五）工商行政管理部门颁发的企业性质营业执照或者企业名称预先核准文件（复制件）。”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3.【部门规章】《危险化学品经营许可证管理办法》（原国家安全监管总局令第 55 号，2015 年 5 月修改）第十四条：“变更企业名称、主要负责人、注册地址或者危险化学品储存设施及其监控措施的，（二）变更后的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工商营业执照副本（复制件）。”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市场监管部门或行政审批部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安全资格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危险化学品经营许可（首次申请、延期、变更）</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月修改）第三十四条：“从事危险化学品经营的企业应当具备下列条件：（二）从业人员经过专业技术培训并经考核合格；（四）有专职安全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管理人员。”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机关）提出申请，提交下列文件、资料，并对其真实性负责：（三）企业主要负责人、安全生产管理人员、特种作业人员的相关资格证书（复制件）和其他从业人员培训合格的证明材料；带有储存设施经营危险化学品的，申请人还应当提交下列文件、资料：（二）重大危险源备案证明材料、专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职安全生产管理人员的学历证书、技术职称证书或者危险物品安全类注册安全工程师资格证书（复制件）。”第十四条：“变更企业名称、主要负责人、注册地址或者危险化学品储存设施及其监控措施的，（三）变更后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的主要负责人安全资格证书（复制件）。”</w:t>
            </w:r>
          </w:p>
          <w:p>
            <w:pPr>
              <w:rPr>
                <w:rFonts w:hint="eastAsia" w:ascii="仿宋_GB2312" w:hAnsi="仿宋_GB2312" w:eastAsia="仿宋_GB2312" w:cs="仿宋_GB2312"/>
                <w:sz w:val="21"/>
                <w:szCs w:val="21"/>
              </w:rPr>
            </w:pPr>
          </w:p>
        </w:tc>
        <w:tc>
          <w:tcPr>
            <w:tcW w:w="942"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应急管理部门</w:t>
            </w: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培训合格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月修改）第三十四条：“从事危险化学品经营的企业应当具备下列条件：（二）从业人员经过专业技术培训并经考核合格。”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机关）提出申请，提交下列文件、资料，并对其真实性负责：（三）企业主要负责人、安全生产管理人员、特种作业人员的相关资格证书（复制件）和其他从业人员培训合格的证明材料。”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应急管理部门、申办企业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特种作业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资格证明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月修改）第三十四条：“从事危险化学品经营的企业应当具备下列条件：（二）从业人员经过专业技术培训并经考核合格。”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月修改）第九条：“申请人申请经营许可证，应当依照本办法第五条规定向所在地市级或者县级发证机关（以下统称发证机关）提出申请，提交下列文件、资料，并对其真实性负责：（三）企业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主要负责人、安全生产管理人员、特种作业人员的相关资格证书（复制件）和其他从业人员培训合格的证明材料。”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竣工验收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报告</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1.【法律】《安全生产法》（2002 年 6 月通过，2021 年 6 月修改）第三十四条：“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月修改）第九条：“申请人申请经营许可证，应当依照本办法第五条规定向所在地市级或者县级发证机关（以下统称发证机关）提出申请，提交下列文件、资料，并对其真实性负责：带有储存设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施经营危险化学品的，申请人还应当提交下列文件、资料；储存设施新建、改建、扩建的，需要提交危险化学品建设项目安全设施竣工验收报告（复制件）。” </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具备相应资质的中介服务机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构或申办企业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安全评价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报告</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危险化学品经营许可（首次申请、变更）</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1.【行政法规】《安全生产许可证条例》（国务院令第 397 号，2014 年 7 月修改）第六条：“企业取得安全生产许可证，应当具备下列安全生产条件：（十）依法进行安全评价。”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月修改）第九条：“带有储存设施经营危险化学品的，申请人还应当提交下列文件、资料：（三）安全评价报告。”第十四条：“变更企业名称、主要负责人、注册地址或者危险化学品储存设施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及其监控措施的；（五）变更后的危险化学品储存设施及其监控措施的专项安全评价报告。”</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具备国家规定资质条件的安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全评价机构</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安全评价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报告</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危险化学品重大危险源备案、核销</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月修改）第三十条：“（四）依法进行了安全评价。”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2.【部门规章】《危险化学品重大危险源监督管理暂行规定》（原国家安全监管总局令第 40 号）第二十三条：“危险化学品单位在完成重大危险源安全评估报告或者安全评价报告后 15 日内，应当填写重大危险源备案申请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表，连同本规定第二十二条规定的重大危险源档案材料（其中第二款第五项规定的文件资料只需提供清单），报送所在地县级人民政府安全生产监督管理部门备案。”</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具备国家规定资质条件的安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全评价机构或申办企业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安全标准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化等级证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危险化学品经营许可（延期）</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1.【法律】《安全生产法》（2002 年 6 月通过，2021 年 6 月修改）第二十一条：“加强安全生产标准化建设。”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十九条：“符合下列条件的企业，申请经营许可证延期时，经发证机关同意，可以不提交本办法第九条规定的文件、资料：带有储存设施经营危险化学品的企业，除符合前款规定条件的外，还需要取得并提交危险化学品企业安全生产标准化二级达标证书（复制件）。” </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c>
          <w:tcPr>
            <w:tcW w:w="909" w:type="dxa"/>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未发生死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亡事故证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危险化学品经营许可（延期）</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1.【行政法规】《安全生产许可证条例》（国务院令第 397 号，2014 年 7 月修改）第九条：“企业在安全生产许可证有效期内，严格遵守有关安全生产的法律法规，未发生死亡事故的，安全生产许可证有效期届满时，经原安全生产许可证颁发管理机关同意，不再审查，安全生产许可证有效期延期 3 年。”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2.【部门规章】《危险化学品经营许可证管理办法》（原国家安全监管总局令第 55 号，2015 年 5 月修改）第十九条：“符合下列条件的企业，申请经营许可证延期时，经发证机关同意，可以不提交本办法第九条规定的文件、资料：（一）严格遵守有关法律、法规和本办法；（二）取得经营许可证后，加强日常安全生产管理，未降低安全生产条件；（三）未发生死亡事故或者对社会造成较大影响的生产安全事故。带有储存设施经营危险化学品的企业，除符合前款规定条件的外，还需要取得并提交危险化学品企业安全生产标准化二级达标证书（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w:t>
            </w:r>
          </w:p>
        </w:tc>
        <w:tc>
          <w:tcPr>
            <w:tcW w:w="909" w:type="dxa"/>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专职安全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管理人员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技术资格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月修改）第三十四条：“从事危险化学品经营的企业应当具备下列条件：（二）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从业人员经过专业技术培训并经考核合格；（四）有专职安全管理人员。”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月修改）第九条：“申请人申请经营许可证，应当依照本办法第五条规定向所在地市级或者县级发证机关（以下统称发证机关）提出申请，提交下列文件、资料，并对其真实性负责：“带有储存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设施经营危险化学品的，申请人还应当提交下列文件、资料：（二）重大危险源备案证明材料、专职安全生产管理人员的学历证书、技术职称证书或者危险物品安全类注册安全工程师资格证书（复制件）。”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教育机构、人力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资源和社会保障部门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应急预案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备案登记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危险化学品生产企业安全生产许可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1.【行政法规】《安全生产许可证条例》（国务院令第 397 号，2014 年 7 月修改）第六条：“企业取得安全生产许可证，应当具备下列安全生产条件：（十二）有生产安全事故应急救援预案、应急救援组织或者应急救援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人员，配备必要的应急救援器材、设备。”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2.【部门规章】《危险化学品生产企业安全生产许可证实施办法》（原国家安全监管总局令第 41 号，2015 年 5 月修改）第二十五条：“企业申请安全生产许可证时，应当提交下列文件、资料，并对其内容的真实性负责：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七）危险化学品事故应急救援预案的备案证明文件。”第二十五条：“企业申请安全生产许可证时，应当提交下列文件、资料，并对其内容的真实性负责：有危险化学品重大危险源的企业，除提交本条第一款规定的文件、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资料外，还应当提供重大危险源及其应急预案的备案证明文件、资料。”</w:t>
            </w:r>
          </w:p>
          <w:p>
            <w:pPr>
              <w:rPr>
                <w:rFonts w:hint="eastAsia" w:ascii="仿宋_GB2312" w:hAnsi="仿宋_GB2312" w:eastAsia="仿宋_GB2312" w:cs="仿宋_GB2312"/>
                <w:sz w:val="21"/>
                <w:szCs w:val="21"/>
              </w:rPr>
            </w:pPr>
          </w:p>
        </w:tc>
        <w:tc>
          <w:tcPr>
            <w:tcW w:w="942"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应急管理部门</w:t>
            </w: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应急预案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备案登记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危险化学品安全使用许可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月修改）第三十条：“申请危险化学品安全使用许可证的化工企业，除应当符合本条例第二十八条的规定外，还应当具备下列条件：（三）有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符合国家规定的危险化学品事故应急预案和必要的应急救援器材、设备。”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2.【部门规章】《危险化学品安全使用许可证实施办法》（原国家安全监管总局令第 57 号，2017 年 3 月修改）第十八条：“企业向发证机关申请安全使用许可证时，（六）危险化学品事故应急救援预案的备案证明文件。”</w:t>
            </w:r>
          </w:p>
          <w:p>
            <w:pPr>
              <w:rPr>
                <w:rFonts w:hint="eastAsia" w:ascii="仿宋_GB2312" w:hAnsi="仿宋_GB2312" w:eastAsia="仿宋_GB2312" w:cs="仿宋_GB2312"/>
                <w:sz w:val="21"/>
                <w:szCs w:val="21"/>
              </w:rPr>
            </w:pPr>
          </w:p>
        </w:tc>
        <w:tc>
          <w:tcPr>
            <w:tcW w:w="942"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应急管理部门</w:t>
            </w: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14</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危险化学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品登记证</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生产、经营第二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类、第三类非药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品类易制毒化学品备案</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1.【行政法规】《易制毒化学品管理条例》（国务院令第 445 号，2018 年 9 月修改）第七条：“申请生产第一类易制毒化学品，应当具备下列条件，并经本条例第八条规定的行政主管部门审批，取得生产许可证后，方可进行生产：（一）属依法登记的化工产品生产企业或者药品生产企业。”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2.【部门规章】《非药品类易制毒化学品生产、经营许可办法》（原国家安全监管总局令第 5 号）十九条：“第二类、第三类非药品类易制毒化学品生产单位进行备案时，应当提交下列资料：属于危险化学品生产单位的，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还应当提交危险化学品生产企业安全生产许可证和危险化学品登记证（复印件），免于提交本条第（四）项所要求的文件、资料。”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应急管理部化学品登记中心</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重大危险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源备案登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记证明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月修改）第三十四条：“从事危险化学品经营的企业应当具备下列条件：（五）有符合国家规定的危险化学品事故应急预案和必要的应急救援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器材、设备；（六）法律、法规规定的其他条件。”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月修改）第九条：“申请人申请经营许可证，应当依照本办法第五条规定向所在地市级或者县级发证机关（以下统称发证机关）提出申请，提交下列文件、资料，并对其真实性负责。带有储存设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施经营危险化学品的，申请人还应当提交下列文件、资料：（二）重大危险源备案证明材料、专职安全生产管理人员的学历证书、技术职称证书或者危险物品安全类注册安全工程师资格证书（复制件）。”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16</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建设项目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安全设施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设计审查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和竣工验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收的证明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材料</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危险化学品经营许可（变更）</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月修改）第三十三条：“国家对危险化学品经营（包括仓储经营，下同）实行许可制度。未经许可，任何单位和个人不得经营危险化学品。”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2.【部门规章】《危险化学品经营许可证管理办法》（原国家安全监管总局令第 55 号，2015 年 5 月修改）第十六条：“已经取得经营许可证的企业有新建、改建、扩建危险化学品储存设施建设项目的，应当自建设项目安全设施竣工验收合格之日起 20 个工作日内，向本办法第五条规定的发证机关提出变更申请，并提交危险化学品建设项目安全设施竣工验收报告等相关文件、资料。发证机关应当按照本办法第十条、第十五条的规定进行审查，办理变更手续。”</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应急管理部门、申办企业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危险化学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品企业安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全生产许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可证</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生产、经营第二类、第三类非药品类易制毒化学品备案</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1.【行政法规】《易制毒化学品管理条例》（国务院令第 445 号，2018 年 9 月修改）第七条：“申请生产第一类易制毒化学品，应当具备下列条件，并经本条例第八条规定的行政主管部门审批，取得生产许可证后，方可进行生产：（一）属依法登记的化工产品生产企业或者药品生产企业。”第九条：“申请经营第一类易制毒化学品，应当具备下列条件，并经本条例第十条规定的行政主管部门审批，取得经营许可证后，方可进行经营：（一）属依法登记的化工产品经营企业或者药品经营企业。”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2.【部门规章】《非药品类易制毒化学品生产、经营许可办法》（原国家安全监管总局令第 5 号）十九条：“第二类、第三类非药品类易制毒化学品生产单位进行备案时，应当提交下列资料：属于危险化学品生产单位的，还应当提交危险化学品生产企业安全生产许可证和危险化学品登记证（复印件），免于提交本条第（四）项所要求的文件、资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18</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危险化学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品经营许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可证</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生产、经营第二类、第三类非药品类易制毒化学品备案</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月修改）第三十三条：“国家对危险化学品经营（包括仓储经营，下同）实行许可制度。未经许可，任何单位和个人不得经营危险化学品。”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2.【部门规章】《非药品类易制毒化学品生产、经营许可办法》（原国家安全监管总局令第 5 号）第二十条：“第二类、第三类非药品类易制毒化学品经营单位进行备案时，应当提交下列资料。属于危险化学品经营单位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的，还应当提交危险化学品经营许可证，免于提交本条第（四）项所要求的文件、资料。”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应急管理部门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19</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设计资质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非煤矿矿山、金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属冶炼建设项目和生产、储存危险化学品、烟花爆竹的建设项目安全设施设计审查</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1.【法律】《安全生产法》（2002 年 6 月通过，2021 年 6 月修改）第三十三条：“矿山、金属冶炼建设项目和用于生产、储存、装卸危险物品的建设项目的安全设施设计应当按照国家有关规定报经有关部门审查，审查部门及其负责审查的人员对审查结果负责。”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2.【部门规章】《建设项目安全设施“三同时”监督管理办法》（原国家安全监管总局令第 36 号，2015 年 4 月修改）第十二条：“建设项目安全设施设计完成后，生产经营单位应当按照本办法第五条的规定向安全生产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监督管理部门提出审查申请，并提交下列文件资料：（一）建设项目审批、核准或者备案的文件；（三）设计单位的设计资质证明文件。”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3.【部门规章】《危险化学品建设项目安全监督管理办法》（原国家安全监管总局令第 45 号，2015 年 5 月修改）第十六条：“建设单位应当在建设项目初步设计完成后、详细设计开始前，向出具建设项目安全条件审查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意见书的安全生产监督管理部门申请建设项目安全设施设计审查，提交下列文件、资料，并对其真实性负责：“（二）设计单位的设计资质证明文件（复制件）。”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住房城乡建设部门</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化学品安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全技术说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明书</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危险化学品重大危险源备案、核销</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月修改）第十五条：“危险化学品生产企业应当提供与其生产的危险化学品相符的化学品安全技术说明书，并在危险化学品包装（包括外包装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件）上粘贴或者拴挂与包装内危险化学品相符的化学品安全标签。”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2.【部门规章】《危险化学品重大危险源监督管理暂行规定》（原国家安全监管总局令第 40 号）第二十二条：“重大危险源档案应当包括下列文件、资料：（三）涉及的所有化学品安全技术说明书；”第二十三条：“应当填写重大危险源备案申请表，连同本规定第二十二条规定的重大危险源档案材料（其中第二款第五项规定的文件资料只需提供清单），报送所在地县级人民政府安全生产监督管理部门备案。”</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供货单位、生产企业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21</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场所产权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证明或者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租赁证明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月修改）第三十四条：“从事危险化学品经营的企业应当具备下列条件：（一）有符合国家标准、行业标准的经营场所，储存危险化学品的，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还应当有符合国家标准、行业标准的储存设施。”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月修改）第九条：“申请人申请经营许可证，应当依照本办法第五条规定向所在地市级或者县级发证机关（以下统称发证机关）提出申请，提交下列文件、资料，并对其真实性负责：（四）经营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场所产权证明文件或者租赁证明文件（复制件）。”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自然资源部门（产权证明）、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协议双方单位（租赁证明）</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22</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储存设施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证明或租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赁证明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危险化学品经营许可</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1.【行政法规】《危险化学品安全管理条例》（国务院令第 344 号，2013 年 12 月修改）第三十四条：“从事危险化学品经营的企业应当具备下列条件：（一）有符合国家标准、行业标准的经营场所，储存危险化学品的，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还应当有符合国家标准、行业标准的储存设施。”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2.【部门规章】《危险化学品经营许可证管理办法》（原国家安全监管总局令第 55 号，2015 年 5 月修改）第九条：“申请人申请经营许可证，应当依照本办法第五条规定向所在地市级或者县级发证机关（以下统称发证机关）提出申请，提交下列文件、资料，并对其真实性负责：带有储存设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施经营危险化学品的，申请人还应当提交下列文件、资料：（一）储存设施相关证明文件（复制件）；租赁储存设施的，需要提交租赁证明文件（复制件）。”</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协议双方单位</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23</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安全预评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价报告</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非煤矿矿山、金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属冶炼建设项目和生产、储存危险化学品、烟花爆竹的建设项目安全设施设计审查</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1.【法律】《安全生产法》（2002 年 6 月通过，2021 年 6 月修改）第三十二条：“矿山、金属冶炼建设项目和用于生产、储存、装卸危险物品的建设项目，应当按照国家有关规定进行安全评价。”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2.【部门规章】《建设项目安全设施“三同时”监督管理办法》（原国家安全监管总局令第 36 号，2015 年 4 月修改）第十二条：“建设项目安全预评价报告及相关文件资料。”</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具备国家规定资质条件的安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全评价机构</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24</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身份证明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自然灾害生活救助资金和物资的给付</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1.【行政法规】《自然灾害救助条例》（国务院令第 577 号）第二十条：“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民政等部门审批。”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2.【地方政府规章】《山东省自然灾害救助办法》（省政府令第 310 号）三十三条：“灾后救助对象的确定，由受灾人员本人申请或者村民小组、居民小组提名，经村民委员会、居民委员会民主评议，符合救助条件的，在自然村、社区范围内公示；公示无异议或者经村民委员会、居民委员会民主评议异议不成立的，由村民委员会、居民委员会将评议意见和有关材料提交乡镇人民政府、街道办事处审核后，报县（市、区）人民政府民政等部门审批。”</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公安机关</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25</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民主评议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自然灾害生活救助资金和物资的给付</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1.【行政法规】《自然灾害救助条例》（国务院令第 577 号）第二十条：“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民政等部门审批。”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2.【省政府规章】《山东省自然灾害救助办法》（省政府令第 310 号）三十三条：“灾后救助对象的确定，由受灾人员本人申请或者村民小组、居民小组提名，经村民委员会、居民委员会民主评议，符合救助条件的，在自然村、社区范围内公示；公示无异议或者经村民委员会、居民委员会民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主评议不成立的，由村民委员会、居民委员会将评议意见和有关材料提交乡镇人民政府、街道办事处审核后，报县（市、区）人民政府民政等部门审批。”</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村（居）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委会</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26"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26</w:t>
            </w:r>
          </w:p>
        </w:tc>
        <w:tc>
          <w:tcPr>
            <w:tcW w:w="909" w:type="dxa"/>
          </w:tcPr>
          <w:p>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区应急管理分局</w:t>
            </w:r>
          </w:p>
        </w:tc>
        <w:tc>
          <w:tcPr>
            <w:tcW w:w="1281"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审核证明</w:t>
            </w:r>
          </w:p>
          <w:p>
            <w:pPr>
              <w:rPr>
                <w:rFonts w:hint="eastAsia" w:ascii="仿宋_GB2312" w:hAnsi="仿宋_GB2312" w:eastAsia="仿宋_GB2312" w:cs="仿宋_GB2312"/>
                <w:sz w:val="21"/>
                <w:szCs w:val="21"/>
              </w:rPr>
            </w:pPr>
          </w:p>
        </w:tc>
        <w:tc>
          <w:tcPr>
            <w:tcW w:w="1577"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自然灾害生活救助资金和物资的给付</w:t>
            </w:r>
          </w:p>
          <w:p>
            <w:pPr>
              <w:rPr>
                <w:rFonts w:hint="eastAsia" w:ascii="仿宋_GB2312" w:hAnsi="仿宋_GB2312" w:eastAsia="仿宋_GB2312" w:cs="仿宋_GB2312"/>
                <w:sz w:val="21"/>
                <w:szCs w:val="21"/>
              </w:rPr>
            </w:pPr>
          </w:p>
        </w:tc>
        <w:tc>
          <w:tcPr>
            <w:tcW w:w="5901" w:type="dxa"/>
            <w:tcBorders>
              <w:right w:val="single" w:color="auto" w:sz="4" w:space="0"/>
            </w:tcBorders>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1.【行政法规】《自然灾害救助条例》（国务院令第 577 号）第二十条：“居民住房恢复重建补助对象由受灾人员本人申请或者由村民小组、居民小组提名。经村民委员会、居民委员会民主评议，符合救助条件的，在自然村、社区范围内公示；无异议或者经村民委员会、居民委员会民主评议异议不成立的，由村民委员会、居民委员会将评议意见和有关材料提交乡镇人民政府、街道办事处审核，报县级人民政府民政等部门审批。”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 xml:space="preserve">2.【省政府规章】《山东省自然灾害救助办法》（省政府令第 310 号）三十三条：“灾后救助对象的确定，由受灾人员本人申请或者村民小组、居民小组提名，经村民委员会、居民委员会民主评议，符合救助条件的，在自然村、社区范围内公示；公示无异议或者经村民委员会、居民委员会民 </w:t>
            </w:r>
          </w:p>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主评议不成立的，由村民委员会、居民委员会将评议意见和有关材料提交乡镇人民政府、街道办事处审核后，报县（市、区）人民政府民政等部门审批。”</w:t>
            </w:r>
          </w:p>
          <w:p>
            <w:pPr>
              <w:rPr>
                <w:rFonts w:hint="eastAsia" w:ascii="仿宋_GB2312" w:hAnsi="仿宋_GB2312" w:eastAsia="仿宋_GB2312" w:cs="仿宋_GB2312"/>
                <w:sz w:val="21"/>
                <w:szCs w:val="21"/>
              </w:rPr>
            </w:pPr>
          </w:p>
        </w:tc>
        <w:tc>
          <w:tcPr>
            <w:tcW w:w="942" w:type="dxa"/>
          </w:tcPr>
          <w:p>
            <w:pPr>
              <w:keepNext w:val="0"/>
              <w:keepLines w:val="0"/>
              <w:widowControl/>
              <w:suppressLineNumbers w:val="0"/>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val="en-US" w:eastAsia="zh-CN" w:bidi="ar"/>
              </w:rPr>
              <w:t>乡、镇（街道办）</w:t>
            </w:r>
          </w:p>
          <w:p>
            <w:pPr>
              <w:rPr>
                <w:rFonts w:hint="eastAsia" w:ascii="仿宋_GB2312" w:hAnsi="仿宋_GB2312" w:eastAsia="仿宋_GB2312" w:cs="仿宋_GB2312"/>
                <w:sz w:val="21"/>
                <w:szCs w:val="21"/>
              </w:rPr>
            </w:pPr>
          </w:p>
        </w:tc>
        <w:tc>
          <w:tcPr>
            <w:tcW w:w="973" w:type="dxa"/>
          </w:tcPr>
          <w:p>
            <w:pPr>
              <w:rPr>
                <w:rFonts w:hint="eastAsia" w:ascii="仿宋_GB2312" w:hAnsi="仿宋_GB2312" w:eastAsia="仿宋_GB2312" w:cs="仿宋_GB2312"/>
                <w:sz w:val="21"/>
                <w:szCs w:val="21"/>
              </w:rPr>
            </w:pPr>
          </w:p>
        </w:tc>
      </w:tr>
    </w:tbl>
    <w:p>
      <w:pPr>
        <w:jc w:val="left"/>
        <w:rPr>
          <w:rFonts w:hint="eastAsia" w:ascii="仿宋_GB2312" w:hAnsi="仿宋_GB2312" w:eastAsia="仿宋_GB2312" w:cs="仿宋_GB2312"/>
          <w:sz w:val="21"/>
          <w:szCs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wYjkxNTk0YTM3ODk4N2RlNGJkYmIzZTNkYmNkM2IifQ=="/>
  </w:docVars>
  <w:rsids>
    <w:rsidRoot w:val="00000000"/>
    <w:rsid w:val="00F8713B"/>
    <w:rsid w:val="013E2716"/>
    <w:rsid w:val="032148FB"/>
    <w:rsid w:val="037800D1"/>
    <w:rsid w:val="03F7099E"/>
    <w:rsid w:val="04ED7D42"/>
    <w:rsid w:val="055903AD"/>
    <w:rsid w:val="05612CA9"/>
    <w:rsid w:val="05DB651A"/>
    <w:rsid w:val="066C559F"/>
    <w:rsid w:val="0676019A"/>
    <w:rsid w:val="090441B5"/>
    <w:rsid w:val="09C94AB7"/>
    <w:rsid w:val="0AFA0B4D"/>
    <w:rsid w:val="0B875A1D"/>
    <w:rsid w:val="0CB96D11"/>
    <w:rsid w:val="0E927D73"/>
    <w:rsid w:val="0F3F73F8"/>
    <w:rsid w:val="10195736"/>
    <w:rsid w:val="107A6B0B"/>
    <w:rsid w:val="12BA1E7F"/>
    <w:rsid w:val="12C012BE"/>
    <w:rsid w:val="13DD575C"/>
    <w:rsid w:val="14221E19"/>
    <w:rsid w:val="14D84CAD"/>
    <w:rsid w:val="15A77717"/>
    <w:rsid w:val="16825716"/>
    <w:rsid w:val="1952233A"/>
    <w:rsid w:val="1B6C68EE"/>
    <w:rsid w:val="1BB06C3B"/>
    <w:rsid w:val="1BE03B89"/>
    <w:rsid w:val="1C003D25"/>
    <w:rsid w:val="1D305BD6"/>
    <w:rsid w:val="1D673CAB"/>
    <w:rsid w:val="1E84594F"/>
    <w:rsid w:val="1FB531BD"/>
    <w:rsid w:val="214E323D"/>
    <w:rsid w:val="2195080D"/>
    <w:rsid w:val="235F7237"/>
    <w:rsid w:val="23680068"/>
    <w:rsid w:val="236A6CF8"/>
    <w:rsid w:val="242A3ED0"/>
    <w:rsid w:val="251810D8"/>
    <w:rsid w:val="25254C9B"/>
    <w:rsid w:val="26FB60CF"/>
    <w:rsid w:val="272E2785"/>
    <w:rsid w:val="273D51B1"/>
    <w:rsid w:val="286C15EE"/>
    <w:rsid w:val="2884732A"/>
    <w:rsid w:val="289C7F15"/>
    <w:rsid w:val="29A9116A"/>
    <w:rsid w:val="2C0E2A95"/>
    <w:rsid w:val="2D937202"/>
    <w:rsid w:val="2E713DD1"/>
    <w:rsid w:val="2E925395"/>
    <w:rsid w:val="2FE573F1"/>
    <w:rsid w:val="30762764"/>
    <w:rsid w:val="30CA0940"/>
    <w:rsid w:val="3115220C"/>
    <w:rsid w:val="315115A8"/>
    <w:rsid w:val="315D3906"/>
    <w:rsid w:val="31C077C9"/>
    <w:rsid w:val="322F065C"/>
    <w:rsid w:val="323708FD"/>
    <w:rsid w:val="32531AD7"/>
    <w:rsid w:val="349D69B2"/>
    <w:rsid w:val="35026C07"/>
    <w:rsid w:val="3660217B"/>
    <w:rsid w:val="37A103CD"/>
    <w:rsid w:val="37E63F4C"/>
    <w:rsid w:val="383D4D4C"/>
    <w:rsid w:val="38E54BBA"/>
    <w:rsid w:val="3A5861F7"/>
    <w:rsid w:val="3AFD068D"/>
    <w:rsid w:val="3C2938F4"/>
    <w:rsid w:val="3C736668"/>
    <w:rsid w:val="3C983932"/>
    <w:rsid w:val="3CAD4F42"/>
    <w:rsid w:val="3E5C3514"/>
    <w:rsid w:val="3E74104F"/>
    <w:rsid w:val="3F740A45"/>
    <w:rsid w:val="41456B3D"/>
    <w:rsid w:val="43355689"/>
    <w:rsid w:val="43DE12EE"/>
    <w:rsid w:val="46450223"/>
    <w:rsid w:val="46CB0179"/>
    <w:rsid w:val="46F63EC4"/>
    <w:rsid w:val="47203553"/>
    <w:rsid w:val="475A4D4F"/>
    <w:rsid w:val="47634AEA"/>
    <w:rsid w:val="476D1DAD"/>
    <w:rsid w:val="48353883"/>
    <w:rsid w:val="487E1C29"/>
    <w:rsid w:val="48F86243"/>
    <w:rsid w:val="4A075C0E"/>
    <w:rsid w:val="4A780E6B"/>
    <w:rsid w:val="4AB43B2E"/>
    <w:rsid w:val="4B616EBA"/>
    <w:rsid w:val="4B841869"/>
    <w:rsid w:val="4C611B7C"/>
    <w:rsid w:val="4D027B30"/>
    <w:rsid w:val="4D6F1B45"/>
    <w:rsid w:val="500D3BE3"/>
    <w:rsid w:val="50440C27"/>
    <w:rsid w:val="50824E17"/>
    <w:rsid w:val="50ED375D"/>
    <w:rsid w:val="50F24E10"/>
    <w:rsid w:val="51721189"/>
    <w:rsid w:val="52430B72"/>
    <w:rsid w:val="52C5193B"/>
    <w:rsid w:val="54AC0B19"/>
    <w:rsid w:val="54E45DC1"/>
    <w:rsid w:val="55894F8D"/>
    <w:rsid w:val="584F19BB"/>
    <w:rsid w:val="58735047"/>
    <w:rsid w:val="588703EA"/>
    <w:rsid w:val="58DE4C06"/>
    <w:rsid w:val="5A5328C5"/>
    <w:rsid w:val="5AD25C13"/>
    <w:rsid w:val="5BCC2562"/>
    <w:rsid w:val="5C376D9A"/>
    <w:rsid w:val="5D7F1A0F"/>
    <w:rsid w:val="611C35A2"/>
    <w:rsid w:val="62D461CE"/>
    <w:rsid w:val="64054667"/>
    <w:rsid w:val="65267108"/>
    <w:rsid w:val="66ED5DB0"/>
    <w:rsid w:val="697B27E4"/>
    <w:rsid w:val="6DDF29FA"/>
    <w:rsid w:val="6EBB7BA1"/>
    <w:rsid w:val="6F2D52AE"/>
    <w:rsid w:val="6FD2696D"/>
    <w:rsid w:val="70641AFC"/>
    <w:rsid w:val="70AD7592"/>
    <w:rsid w:val="70CD493C"/>
    <w:rsid w:val="71911E53"/>
    <w:rsid w:val="74420D55"/>
    <w:rsid w:val="768C257B"/>
    <w:rsid w:val="776E603F"/>
    <w:rsid w:val="780D2B7E"/>
    <w:rsid w:val="7A6419CD"/>
    <w:rsid w:val="7ABB22F3"/>
    <w:rsid w:val="7BBF6885"/>
    <w:rsid w:val="7C0B7CC3"/>
    <w:rsid w:val="7CD21169"/>
    <w:rsid w:val="7CE9567B"/>
    <w:rsid w:val="7DF360EE"/>
    <w:rsid w:val="7E531ADB"/>
    <w:rsid w:val="7E9014E7"/>
    <w:rsid w:val="7EBD4CF3"/>
    <w:rsid w:val="7EFD27DB"/>
    <w:rsid w:val="7F1A5B2E"/>
    <w:rsid w:val="7F3A4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Words>
  <Characters>58</Characters>
  <Lines>0</Lines>
  <Paragraphs>0</Paragraphs>
  <TotalTime>19</TotalTime>
  <ScaleCrop>false</ScaleCrop>
  <LinksUpToDate>false</LinksUpToDate>
  <CharactersWithSpaces>115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2023-03-06T08:17:00Z</dcterms:created>
  <dc:creator>Administrator</dc:creator>
  <cp:lastModifiedBy>王文泉</cp:lastModifiedBy>
  <cp:lastPrinted>2023-03-06T09:03:00Z</cp:lastPrinted>
  <dcterms:modified xsi:type="dcterms:W3CDTF">2023-10-10T07:19:23Z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2D6B739478824FBBA93876168AC1FB7D</vt:lpwstr>
  </property>
</Properties>
</file>