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C2D3A">
      <w:pPr>
        <w:spacing w:afterLines="50" w:line="700" w:lineRule="exact"/>
        <w:jc w:val="center"/>
        <w:rPr>
          <w:rFonts w:ascii="方正小标宋_GBK" w:hAnsi="方正小标宋_GBK" w:eastAsia="方正小标宋_GBK" w:cs="方正小标宋_GBK"/>
          <w:sz w:val="72"/>
          <w:szCs w:val="72"/>
        </w:rPr>
      </w:pPr>
      <w:r>
        <w:rPr>
          <w:sz w:val="72"/>
        </w:rPr>
        <w:pict>
          <v:rect id="KGD_Gobal1" o:spid="_x0000_s2192"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86.55pt;margin-top:-94.9pt;height:5pt;width:5pt;visibility:hidden;z-index:251772928;v-text-anchor:middle;mso-width-relative:page;mso-height-relative:page;" fillcolor="#4F81BD"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">
            <v:path/>
            <v:fill on="t" focussize="0,0"/>
            <v:stroke weight="2pt" color="#385D8A" joinstyle="round"/>
            <v:imagedata o:title=""/>
            <o:lock v:ext="edit"/>
          </v:rect>
        </w:pict>
      </w:r>
    </w:p>
    <w:p w14:paraId="51B84073">
      <w:pPr>
        <w:spacing w:afterLines="50" w:line="700" w:lineRule="exact"/>
        <w:jc w:val="center"/>
        <w:rPr>
          <w:rFonts w:ascii="方正小标宋_GBK" w:hAnsi="方正小标宋_GBK" w:eastAsia="方正小标宋_GBK" w:cs="方正小标宋_GBK"/>
          <w:sz w:val="72"/>
          <w:szCs w:val="72"/>
        </w:rPr>
      </w:pPr>
    </w:p>
    <w:p w14:paraId="2A03FF59">
      <w:pPr>
        <w:spacing w:afterLines="50" w:line="800" w:lineRule="exact"/>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烟台高新区应急预案汇编</w:t>
      </w:r>
    </w:p>
    <w:p w14:paraId="4B64867F">
      <w:pPr>
        <w:spacing w:afterLines="50" w:line="800" w:lineRule="exact"/>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(上)</w:t>
      </w:r>
    </w:p>
    <w:p w14:paraId="3E2767BC">
      <w:pPr>
        <w:spacing w:afterLines="50" w:line="800" w:lineRule="exact"/>
        <w:jc w:val="center"/>
        <w:rPr>
          <w:rFonts w:ascii="方正小标宋_GBK" w:hAnsi="方正小标宋_GBK" w:eastAsia="方正小标宋_GBK" w:cs="方正小标宋_GBK"/>
          <w:sz w:val="72"/>
          <w:szCs w:val="72"/>
        </w:rPr>
      </w:pPr>
    </w:p>
    <w:p w14:paraId="37FAEC9C">
      <w:pPr>
        <w:spacing w:afterLines="50" w:line="800" w:lineRule="exact"/>
        <w:jc w:val="center"/>
        <w:rPr>
          <w:rFonts w:ascii="方正小标宋_GBK" w:hAnsi="方正小标宋_GBK" w:eastAsia="方正小标宋_GBK" w:cs="方正小标宋_GBK"/>
          <w:sz w:val="72"/>
          <w:szCs w:val="72"/>
        </w:rPr>
      </w:pPr>
    </w:p>
    <w:p w14:paraId="5E459914">
      <w:pPr>
        <w:spacing w:afterLines="50" w:line="800" w:lineRule="exact"/>
        <w:jc w:val="center"/>
        <w:rPr>
          <w:rFonts w:ascii="方正小标宋_GBK" w:hAnsi="方正小标宋_GBK" w:eastAsia="方正小标宋_GBK" w:cs="方正小标宋_GBK"/>
          <w:sz w:val="72"/>
          <w:szCs w:val="72"/>
        </w:rPr>
      </w:pPr>
    </w:p>
    <w:p w14:paraId="22A36F49">
      <w:pPr>
        <w:spacing w:afterLines="50" w:line="800" w:lineRule="exact"/>
        <w:jc w:val="center"/>
        <w:rPr>
          <w:rFonts w:ascii="方正小标宋_GBK" w:hAnsi="方正小标宋_GBK" w:eastAsia="方正小标宋_GBK" w:cs="方正小标宋_GBK"/>
          <w:sz w:val="72"/>
          <w:szCs w:val="72"/>
        </w:rPr>
      </w:pPr>
    </w:p>
    <w:p w14:paraId="56C78EA1">
      <w:pPr>
        <w:spacing w:afterLines="50" w:line="800" w:lineRule="exact"/>
        <w:jc w:val="center"/>
        <w:rPr>
          <w:rFonts w:ascii="方正小标宋_GBK" w:hAnsi="方正小标宋_GBK" w:eastAsia="方正小标宋_GBK" w:cs="方正小标宋_GBK"/>
          <w:sz w:val="72"/>
          <w:szCs w:val="72"/>
        </w:rPr>
      </w:pPr>
    </w:p>
    <w:p w14:paraId="7E2613D0">
      <w:pPr>
        <w:spacing w:line="800" w:lineRule="exact"/>
        <w:jc w:val="center"/>
        <w:rPr>
          <w:rFonts w:ascii="方正小标宋_GBK" w:hAnsi="方正小标宋_GBK" w:eastAsia="方正小标宋_GBK" w:cs="方正小标宋_GBK"/>
          <w:sz w:val="72"/>
          <w:szCs w:val="72"/>
        </w:rPr>
      </w:pPr>
    </w:p>
    <w:p w14:paraId="2F40EEEA">
      <w:pPr>
        <w:spacing w:line="560" w:lineRule="exact"/>
        <w:jc w:val="center"/>
        <w:rPr>
          <w:rFonts w:ascii="黑体" w:hAnsi="黑体" w:eastAsia="黑体" w:cs="黑体"/>
          <w:sz w:val="32"/>
          <w:szCs w:val="32"/>
        </w:rPr>
      </w:pPr>
      <w:r>
        <w:rPr>
          <w:rFonts w:hint="eastAsia" w:ascii="黑体" w:hAnsi="黑体" w:eastAsia="黑体" w:cs="黑体"/>
          <w:sz w:val="32"/>
          <w:szCs w:val="32"/>
        </w:rPr>
        <w:t>烟台高新区应急管理分局</w:t>
      </w:r>
    </w:p>
    <w:p w14:paraId="483E55B8">
      <w:pPr>
        <w:spacing w:line="560" w:lineRule="exact"/>
        <w:jc w:val="center"/>
        <w:rPr>
          <w:rFonts w:ascii="黑体" w:hAnsi="黑体" w:eastAsia="黑体" w:cs="黑体"/>
          <w:sz w:val="32"/>
          <w:szCs w:val="32"/>
        </w:rPr>
        <w:sectPr>
          <w:headerReference r:id="rId3" w:type="default"/>
          <w:footerReference r:id="rId4" w:type="default"/>
          <w:pgSz w:w="11906" w:h="16838"/>
          <w:pgMar w:top="2098" w:right="1417" w:bottom="1984" w:left="1531" w:header="851" w:footer="1417" w:gutter="0"/>
          <w:cols w:space="720" w:num="1"/>
          <w:docGrid w:type="linesAndChars" w:linePitch="590" w:charSpace="-1675"/>
        </w:sectPr>
      </w:pPr>
      <w:r>
        <w:rPr>
          <w:rFonts w:hint="eastAsia" w:ascii="黑体" w:hAnsi="黑体" w:eastAsia="黑体" w:cs="黑体"/>
          <w:sz w:val="32"/>
          <w:szCs w:val="32"/>
        </w:rPr>
        <w:t>二〇二二年十一月</w:t>
      </w:r>
    </w:p>
    <w:p w14:paraId="3AAA2F0B">
      <w:pPr>
        <w:spacing w:afterLines="50" w:line="700" w:lineRule="exact"/>
        <w:jc w:val="center"/>
        <w:rPr>
          <w:rFonts w:ascii="方正小标宋_GBK" w:hAnsi="方正小标宋_GBK" w:eastAsia="方正小标宋_GBK" w:cs="方正小标宋_GBK"/>
          <w:sz w:val="44"/>
          <w:szCs w:val="44"/>
        </w:rPr>
        <w:sectPr>
          <w:pgSz w:w="11906" w:h="16838"/>
          <w:pgMar w:top="2098" w:right="1417" w:bottom="1984" w:left="1531" w:header="851" w:footer="1417" w:gutter="0"/>
          <w:cols w:space="720" w:num="1"/>
          <w:docGrid w:type="linesAndChars" w:linePitch="590" w:charSpace="-1675"/>
        </w:sectPr>
      </w:pPr>
    </w:p>
    <w:p w14:paraId="078983AD">
      <w:pPr>
        <w:spacing w:afterLines="50"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  录</w:t>
      </w:r>
    </w:p>
    <w:p w14:paraId="2304D8C6">
      <w:pPr>
        <w:tabs>
          <w:tab w:val="right" w:leader="dot" w:pos="84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一、烟台高新区</w:t>
      </w:r>
      <w:r>
        <w:rPr>
          <w:rFonts w:hint="eastAsia" w:ascii="仿宋_GB2312" w:hAnsi="仿宋_GB2312" w:eastAsia="仿宋_GB2312" w:cs="仿宋_GB2312"/>
          <w:sz w:val="32"/>
          <w:szCs w:val="32"/>
        </w:rPr>
        <w:t>地震灾害</w:t>
      </w:r>
      <w:r>
        <w:rPr>
          <w:rFonts w:hint="eastAsia" w:ascii="仿宋_GB2312" w:hAnsi="仿宋_GB2312" w:eastAsia="仿宋_GB2312" w:cs="仿宋_GB2312"/>
          <w:kern w:val="0"/>
          <w:sz w:val="32"/>
          <w:szCs w:val="32"/>
        </w:rPr>
        <w:t>专项应急预案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w:t>
      </w:r>
    </w:p>
    <w:p w14:paraId="66A5733F">
      <w:pPr>
        <w:tabs>
          <w:tab w:val="right" w:leader="dot" w:pos="84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二、烟台高新区森林火灾专项应急预案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14</w:t>
      </w:r>
    </w:p>
    <w:p w14:paraId="6F43F946">
      <w:pPr>
        <w:tabs>
          <w:tab w:val="right" w:leader="dot" w:pos="84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三、烟台高新区防汛抗旱、防台风专项应急预案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31</w:t>
      </w:r>
    </w:p>
    <w:p w14:paraId="67F1BF07">
      <w:pPr>
        <w:tabs>
          <w:tab w:val="right" w:leader="dot" w:pos="84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四、烟台高新区突发</w:t>
      </w:r>
      <w:r>
        <w:rPr>
          <w:rFonts w:hint="eastAsia" w:ascii="仿宋_GB2312" w:hAnsi="仿宋_GB2312" w:eastAsia="仿宋_GB2312" w:cs="仿宋_GB2312"/>
          <w:sz w:val="32"/>
          <w:szCs w:val="32"/>
        </w:rPr>
        <w:t>地质灾害</w:t>
      </w:r>
      <w:r>
        <w:rPr>
          <w:rFonts w:hint="eastAsia" w:ascii="仿宋_GB2312" w:hAnsi="仿宋_GB2312" w:eastAsia="仿宋_GB2312" w:cs="仿宋_GB2312"/>
          <w:kern w:val="0"/>
          <w:sz w:val="32"/>
          <w:szCs w:val="32"/>
        </w:rPr>
        <w:t>专项应急预案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58</w:t>
      </w:r>
    </w:p>
    <w:p w14:paraId="30A65AF9">
      <w:pPr>
        <w:tabs>
          <w:tab w:val="right" w:leader="dot" w:pos="8400"/>
        </w:tabs>
        <w:spacing w:line="60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五、烟台高新区海洋灾害专项应急预案</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72</w:t>
      </w:r>
    </w:p>
    <w:p w14:paraId="05F31052">
      <w:pPr>
        <w:tabs>
          <w:tab w:val="right" w:leader="dot" w:pos="8400"/>
        </w:tabs>
        <w:spacing w:line="60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六、烟台高新区自然灾害救助专项应急预案</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92</w:t>
      </w:r>
    </w:p>
    <w:p w14:paraId="51330033">
      <w:pPr>
        <w:tabs>
          <w:tab w:val="right" w:leader="dot" w:pos="84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七、烟台高新区农业重大</w:t>
      </w:r>
      <w:bookmarkStart w:id="221" w:name="_GoBack"/>
      <w:bookmarkEnd w:id="221"/>
      <w:r>
        <w:rPr>
          <w:rFonts w:hint="eastAsia" w:ascii="仿宋_GB2312" w:hAnsi="仿宋_GB2312" w:eastAsia="仿宋_GB2312" w:cs="仿宋_GB2312"/>
          <w:kern w:val="0"/>
          <w:sz w:val="32"/>
          <w:szCs w:val="32"/>
        </w:rPr>
        <w:t>生物灾害专项应急预案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109</w:t>
      </w:r>
    </w:p>
    <w:p w14:paraId="69C18E83">
      <w:pPr>
        <w:tabs>
          <w:tab w:val="right" w:leader="dot" w:pos="84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八、烟台高新区海洋灾害专项应急预案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123</w:t>
      </w:r>
    </w:p>
    <w:p w14:paraId="56E4F3B4">
      <w:pPr>
        <w:tabs>
          <w:tab w:val="right" w:leader="dot" w:pos="84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九、烟台高新区危险化学品生产安全事故专项应急预案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131</w:t>
      </w:r>
    </w:p>
    <w:p w14:paraId="04B03E7D">
      <w:pPr>
        <w:tabs>
          <w:tab w:val="right" w:leader="dot" w:pos="84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十、烟台高新区工贸行业生产安全事故专项应急预案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150</w:t>
      </w:r>
    </w:p>
    <w:p w14:paraId="0BA236BD">
      <w:pPr>
        <w:tabs>
          <w:tab w:val="right" w:leader="dot" w:pos="84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十一、烟台高新区人防工程事故专项应急预案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168</w:t>
      </w:r>
    </w:p>
    <w:p w14:paraId="32CA277F">
      <w:pPr>
        <w:tabs>
          <w:tab w:val="right" w:leader="dot" w:pos="84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十二、烟台高新区建筑工程事故专项应急预案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179</w:t>
      </w:r>
    </w:p>
    <w:p w14:paraId="3E14C291">
      <w:pPr>
        <w:tabs>
          <w:tab w:val="right" w:leader="dot" w:pos="84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十三、烟台高新区海上搜救专项应急预案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194</w:t>
      </w:r>
    </w:p>
    <w:p w14:paraId="60D60813">
      <w:pPr>
        <w:tabs>
          <w:tab w:val="right" w:leader="dot" w:pos="84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十四、烟台高新区海上溢油事件专项应急预案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203</w:t>
      </w:r>
    </w:p>
    <w:p w14:paraId="7F31B37B">
      <w:pPr>
        <w:tabs>
          <w:tab w:val="right" w:leader="dot" w:pos="84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十五、烟台高新区大面积停电事件专项应急预案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217</w:t>
      </w:r>
    </w:p>
    <w:p w14:paraId="4872E002">
      <w:pPr>
        <w:tabs>
          <w:tab w:val="right" w:leader="dot" w:pos="8400"/>
        </w:tabs>
        <w:spacing w:line="60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十六、烟台高新区石油天然气长输管道事件专项应急预案</w:t>
      </w:r>
    </w:p>
    <w:p w14:paraId="383EA801">
      <w:pPr>
        <w:tabs>
          <w:tab w:val="right" w:leader="dot" w:pos="84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243</w:t>
      </w:r>
    </w:p>
    <w:p w14:paraId="09AB3136">
      <w:pPr>
        <w:tabs>
          <w:tab w:val="right" w:leader="dot" w:pos="84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十七、烟台高新区特种设备安全事故专项应急预案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255</w:t>
      </w:r>
    </w:p>
    <w:p w14:paraId="42093406">
      <w:pPr>
        <w:tabs>
          <w:tab w:val="right" w:leader="dot" w:pos="8400"/>
        </w:tabs>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十八、烟台高新区突发环境事件专项应急预案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270</w:t>
      </w:r>
    </w:p>
    <w:p w14:paraId="27537FC9">
      <w:pPr>
        <w:tabs>
          <w:tab w:val="right" w:leader="dot" w:pos="8400"/>
        </w:tabs>
        <w:spacing w:line="600" w:lineRule="exact"/>
        <w:rPr>
          <w:rFonts w:ascii="仿宋_GB2312" w:hAnsi="仿宋_GB2312" w:eastAsia="仿宋_GB2312" w:cs="仿宋_GB2312"/>
          <w:sz w:val="32"/>
          <w:szCs w:val="32"/>
        </w:rPr>
        <w:sectPr>
          <w:pgSz w:w="11906" w:h="16838"/>
          <w:pgMar w:top="2098" w:right="1417" w:bottom="1984" w:left="1531" w:header="851" w:footer="1417" w:gutter="0"/>
          <w:cols w:space="720" w:num="1"/>
          <w:docGrid w:type="linesAndChars" w:linePitch="590" w:charSpace="-1675"/>
        </w:sectPr>
      </w:pPr>
    </w:p>
    <w:p w14:paraId="11B3CFDA">
      <w:pPr>
        <w:tabs>
          <w:tab w:val="right" w:leader="dot" w:pos="8400"/>
        </w:tabs>
        <w:spacing w:line="600" w:lineRule="exact"/>
        <w:rPr>
          <w:rFonts w:ascii="仿宋_GB2312" w:hAnsi="仿宋_GB2312" w:eastAsia="仿宋_GB2312" w:cs="仿宋_GB2312"/>
          <w:sz w:val="32"/>
          <w:szCs w:val="32"/>
        </w:rPr>
      </w:pPr>
    </w:p>
    <w:p w14:paraId="6F2BCD1A">
      <w:pPr>
        <w:spacing w:line="560" w:lineRule="exact"/>
        <w:jc w:val="center"/>
        <w:rPr>
          <w:rFonts w:ascii="方正小标宋简体" w:hAnsi="Helvetica" w:eastAsia="方正小标宋简体" w:cs="Helvetica"/>
          <w:sz w:val="44"/>
          <w:szCs w:val="44"/>
        </w:rPr>
        <w:sectPr>
          <w:footerReference r:id="rId5" w:type="default"/>
          <w:pgSz w:w="11906" w:h="16838"/>
          <w:pgMar w:top="2098" w:right="1417" w:bottom="1984" w:left="1531" w:header="851" w:footer="1417" w:gutter="0"/>
          <w:pgNumType w:start="1"/>
          <w:cols w:space="720" w:num="1"/>
          <w:docGrid w:type="linesAndChars" w:linePitch="590" w:charSpace="-1675"/>
        </w:sectPr>
      </w:pPr>
    </w:p>
    <w:p w14:paraId="7B7E8B59">
      <w:pPr>
        <w:spacing w:line="560" w:lineRule="exact"/>
        <w:jc w:val="center"/>
        <w:rPr>
          <w:rFonts w:ascii="方正小标宋简体" w:eastAsia="方正小标宋简体"/>
          <w:sz w:val="44"/>
          <w:szCs w:val="44"/>
        </w:rPr>
      </w:pPr>
      <w:r>
        <w:rPr>
          <w:rFonts w:hint="eastAsia" w:ascii="方正小标宋简体" w:hAnsi="Helvetica" w:eastAsia="方正小标宋简体" w:cs="Helvetica"/>
          <w:sz w:val="44"/>
          <w:szCs w:val="44"/>
        </w:rPr>
        <w:t>烟台高新区地震灾害专项应急预案</w:t>
      </w:r>
    </w:p>
    <w:p w14:paraId="7A1A6184">
      <w:pPr>
        <w:spacing w:line="560" w:lineRule="exact"/>
        <w:rPr>
          <w:rFonts w:ascii="方正小标宋简体" w:eastAsia="方正小标宋简体"/>
          <w:sz w:val="44"/>
          <w:szCs w:val="44"/>
        </w:rPr>
      </w:pPr>
    </w:p>
    <w:p w14:paraId="04FC00C3">
      <w:pPr>
        <w:spacing w:line="560" w:lineRule="exact"/>
        <w:ind w:firstLine="624" w:firstLineChars="200"/>
        <w:rPr>
          <w:rFonts w:ascii="黑体" w:hAnsi="黑体" w:eastAsia="黑体"/>
          <w:sz w:val="32"/>
          <w:szCs w:val="32"/>
        </w:rPr>
      </w:pPr>
      <w:r>
        <w:rPr>
          <w:rFonts w:hint="eastAsia" w:ascii="黑体" w:hAnsi="黑体" w:eastAsia="黑体"/>
          <w:sz w:val="32"/>
          <w:szCs w:val="32"/>
        </w:rPr>
        <w:t>一、总则</w:t>
      </w:r>
    </w:p>
    <w:p w14:paraId="2A0E291B">
      <w:pPr>
        <w:spacing w:line="560" w:lineRule="exact"/>
        <w:ind w:firstLine="624" w:firstLineChars="200"/>
        <w:rPr>
          <w:rFonts w:ascii="楷体_GB2312" w:eastAsia="楷体_GB2312"/>
          <w:sz w:val="32"/>
          <w:szCs w:val="32"/>
        </w:rPr>
      </w:pPr>
      <w:r>
        <w:rPr>
          <w:rFonts w:hint="eastAsia" w:ascii="楷体_GB2312" w:eastAsia="楷体_GB2312"/>
          <w:sz w:val="32"/>
          <w:szCs w:val="32"/>
        </w:rPr>
        <w:t>（一）编制目的</w:t>
      </w:r>
    </w:p>
    <w:p w14:paraId="2182D39F">
      <w:pPr>
        <w:snapToGrid w:val="0"/>
        <w:spacing w:line="560" w:lineRule="exact"/>
        <w:ind w:firstLine="624" w:firstLineChars="200"/>
        <w:rPr>
          <w:rFonts w:ascii="仿宋_GB2312" w:hAnsi="Verdana" w:eastAsia="仿宋_GB2312"/>
          <w:kern w:val="0"/>
          <w:sz w:val="32"/>
          <w:szCs w:val="32"/>
        </w:rPr>
      </w:pPr>
      <w:r>
        <w:rPr>
          <w:rFonts w:hint="eastAsia" w:ascii="仿宋_GB2312" w:hAnsi="Verdana" w:eastAsia="仿宋_GB2312"/>
          <w:kern w:val="0"/>
          <w:sz w:val="32"/>
          <w:szCs w:val="32"/>
        </w:rPr>
        <w:t>为</w:t>
      </w:r>
      <w:r>
        <w:rPr>
          <w:rFonts w:hint="eastAsia" w:ascii="仿宋_GB2312" w:eastAsia="仿宋_GB2312"/>
          <w:sz w:val="32"/>
          <w:szCs w:val="32"/>
        </w:rPr>
        <w:t>确保地震灾害发生时，能够高效、协调、有序的开展应急救援工作，最大限度地减少人员伤亡，减轻经济损失和社会影响，</w:t>
      </w:r>
      <w:r>
        <w:rPr>
          <w:rFonts w:hint="eastAsia" w:ascii="仿宋_GB2312" w:hAnsi="Verdana" w:eastAsia="仿宋_GB2312"/>
          <w:kern w:val="0"/>
          <w:sz w:val="32"/>
          <w:szCs w:val="32"/>
        </w:rPr>
        <w:t>制定本预案。</w:t>
      </w:r>
    </w:p>
    <w:p w14:paraId="1BD62D46">
      <w:pPr>
        <w:spacing w:line="560" w:lineRule="exact"/>
        <w:ind w:firstLine="624" w:firstLineChars="200"/>
        <w:rPr>
          <w:rFonts w:ascii="楷体_GB2312" w:eastAsia="楷体_GB2312"/>
          <w:sz w:val="32"/>
          <w:szCs w:val="32"/>
        </w:rPr>
      </w:pPr>
      <w:r>
        <w:rPr>
          <w:rFonts w:hint="eastAsia" w:ascii="楷体_GB2312" w:eastAsia="楷体_GB2312"/>
          <w:sz w:val="32"/>
          <w:szCs w:val="32"/>
        </w:rPr>
        <w:t>（二）编制依据</w:t>
      </w:r>
    </w:p>
    <w:p w14:paraId="543A879C">
      <w:pPr>
        <w:spacing w:line="560" w:lineRule="exact"/>
        <w:ind w:firstLine="624" w:firstLineChars="200"/>
        <w:rPr>
          <w:rFonts w:ascii="仿宋_GB2312" w:eastAsia="仿宋_GB2312"/>
          <w:sz w:val="32"/>
          <w:szCs w:val="32"/>
        </w:rPr>
      </w:pPr>
      <w:r>
        <w:rPr>
          <w:rFonts w:hint="eastAsia" w:ascii="仿宋_GB2312" w:eastAsia="仿宋_GB2312"/>
          <w:sz w:val="32"/>
          <w:szCs w:val="32"/>
        </w:rPr>
        <w:t>依据《中华人民共和国防震减灾法》《山东省防震减灾条例》《烟台市地震应急预案》和《烟台高新区突发事件总体应急预案》，制定本预案。</w:t>
      </w:r>
    </w:p>
    <w:p w14:paraId="480F11AB">
      <w:pPr>
        <w:spacing w:line="560" w:lineRule="exact"/>
        <w:ind w:firstLine="624" w:firstLineChars="200"/>
        <w:rPr>
          <w:rFonts w:ascii="楷体_GB2312" w:eastAsia="楷体_GB2312"/>
          <w:sz w:val="32"/>
          <w:szCs w:val="32"/>
        </w:rPr>
      </w:pPr>
      <w:r>
        <w:rPr>
          <w:rFonts w:hint="eastAsia" w:ascii="楷体_GB2312" w:eastAsia="楷体_GB2312"/>
          <w:sz w:val="32"/>
          <w:szCs w:val="32"/>
        </w:rPr>
        <w:t>（三）适用范围</w:t>
      </w:r>
    </w:p>
    <w:p w14:paraId="2E113F97">
      <w:pPr>
        <w:spacing w:line="560" w:lineRule="exact"/>
        <w:ind w:firstLine="624" w:firstLineChars="200"/>
        <w:rPr>
          <w:rFonts w:ascii="仿宋_GB2312" w:eastAsia="仿宋_GB2312"/>
          <w:sz w:val="32"/>
          <w:szCs w:val="32"/>
        </w:rPr>
      </w:pPr>
      <w:r>
        <w:rPr>
          <w:rFonts w:hint="eastAsia" w:ascii="仿宋_GB2312" w:eastAsia="仿宋_GB2312"/>
          <w:sz w:val="32"/>
          <w:szCs w:val="32"/>
        </w:rPr>
        <w:t>本预案适用于高新区辖区陆地、海域及周边地区发生的破坏性地震灾害事件的应急处置工作。</w:t>
      </w:r>
    </w:p>
    <w:p w14:paraId="2A6811A8">
      <w:pPr>
        <w:spacing w:line="560" w:lineRule="exact"/>
        <w:ind w:firstLine="624" w:firstLineChars="200"/>
        <w:rPr>
          <w:rFonts w:ascii="楷体_GB2312" w:eastAsia="楷体_GB2312"/>
          <w:sz w:val="32"/>
          <w:szCs w:val="32"/>
        </w:rPr>
      </w:pPr>
      <w:r>
        <w:rPr>
          <w:rFonts w:hint="eastAsia" w:ascii="楷体_GB2312" w:eastAsia="楷体_GB2312"/>
          <w:sz w:val="32"/>
          <w:szCs w:val="32"/>
        </w:rPr>
        <w:t>（四）工作原则</w:t>
      </w:r>
    </w:p>
    <w:p w14:paraId="71243038">
      <w:pPr>
        <w:spacing w:line="560" w:lineRule="exact"/>
        <w:ind w:firstLine="624" w:firstLineChars="200"/>
        <w:rPr>
          <w:rFonts w:ascii="仿宋_GB2312" w:eastAsia="仿宋_GB2312"/>
          <w:sz w:val="32"/>
          <w:szCs w:val="32"/>
        </w:rPr>
      </w:pPr>
      <w:r>
        <w:rPr>
          <w:rFonts w:hint="eastAsia" w:ascii="仿宋_GB2312" w:eastAsia="仿宋_GB2312"/>
          <w:b/>
          <w:bCs/>
          <w:kern w:val="0"/>
          <w:sz w:val="32"/>
          <w:szCs w:val="32"/>
        </w:rPr>
        <w:t>1、以人为本，健全机制。</w:t>
      </w:r>
      <w:r>
        <w:rPr>
          <w:rFonts w:hint="eastAsia" w:ascii="仿宋_GB2312" w:eastAsia="仿宋_GB2312"/>
          <w:sz w:val="32"/>
          <w:szCs w:val="32"/>
        </w:rPr>
        <w:t>把保障人民群众生命财产安全作为地震应急工作的出发点和落脚点，建立政府主导、专家支持、群众参与的应急救援机制，最大程度地减少地震灾害损失。</w:t>
      </w:r>
    </w:p>
    <w:p w14:paraId="292724EC">
      <w:pPr>
        <w:spacing w:line="560" w:lineRule="exact"/>
        <w:ind w:firstLine="624" w:firstLineChars="200"/>
        <w:rPr>
          <w:rFonts w:ascii="仿宋_GB2312" w:eastAsia="仿宋_GB2312"/>
          <w:sz w:val="32"/>
          <w:szCs w:val="32"/>
        </w:rPr>
      </w:pPr>
      <w:r>
        <w:rPr>
          <w:rFonts w:hint="eastAsia" w:ascii="仿宋_GB2312" w:eastAsia="仿宋_GB2312"/>
          <w:b/>
          <w:bCs/>
          <w:kern w:val="0"/>
          <w:sz w:val="32"/>
          <w:szCs w:val="32"/>
        </w:rPr>
        <w:t>2、统一领导，分级负责。</w:t>
      </w:r>
      <w:r>
        <w:rPr>
          <w:rFonts w:hint="eastAsia" w:ascii="仿宋_GB2312" w:eastAsia="仿宋_GB2312"/>
          <w:sz w:val="32"/>
          <w:szCs w:val="32"/>
        </w:rPr>
        <w:t>地震灾害发生后，在区管委的统一指挥下，各部门和街道办事处（管理处）按照地震应急预案处置地震灾害事件。</w:t>
      </w:r>
    </w:p>
    <w:p w14:paraId="26C6A160">
      <w:pPr>
        <w:spacing w:line="560" w:lineRule="exact"/>
        <w:ind w:firstLine="624" w:firstLineChars="200"/>
        <w:rPr>
          <w:rFonts w:ascii="仿宋_GB2312" w:eastAsia="仿宋_GB2312"/>
          <w:sz w:val="32"/>
          <w:szCs w:val="32"/>
        </w:rPr>
      </w:pPr>
      <w:r>
        <w:rPr>
          <w:rFonts w:hint="eastAsia" w:ascii="仿宋_GB2312" w:eastAsia="仿宋_GB2312"/>
          <w:b/>
          <w:bCs/>
          <w:kern w:val="0"/>
          <w:sz w:val="32"/>
          <w:szCs w:val="32"/>
        </w:rPr>
        <w:t>3、整合资源，协调高效。</w:t>
      </w:r>
      <w:r>
        <w:rPr>
          <w:rFonts w:hint="eastAsia" w:ascii="仿宋_GB2312" w:eastAsia="仿宋_GB2312"/>
          <w:sz w:val="32"/>
          <w:szCs w:val="32"/>
        </w:rPr>
        <w:t>加强现有各类资源整合，形成共享平台和协调一致的应急救援体系，确保地震应急信息及时准确传递，应急处置工作反应灵敏、运转高效。</w:t>
      </w:r>
    </w:p>
    <w:p w14:paraId="7A350BDB">
      <w:pPr>
        <w:spacing w:line="560" w:lineRule="exact"/>
        <w:ind w:firstLine="624" w:firstLineChars="200"/>
        <w:rPr>
          <w:rFonts w:ascii="仿宋_GB2312" w:eastAsia="仿宋_GB2312"/>
          <w:sz w:val="32"/>
          <w:szCs w:val="32"/>
        </w:rPr>
      </w:pPr>
      <w:r>
        <w:rPr>
          <w:rFonts w:hint="eastAsia" w:ascii="仿宋_GB2312" w:eastAsia="仿宋_GB2312"/>
          <w:b/>
          <w:bCs/>
          <w:sz w:val="32"/>
          <w:szCs w:val="32"/>
        </w:rPr>
        <w:t>4、预防为主，平震结合。</w:t>
      </w:r>
      <w:r>
        <w:rPr>
          <w:rFonts w:hint="eastAsia" w:ascii="仿宋_GB2312" w:eastAsia="仿宋_GB2312"/>
          <w:sz w:val="32"/>
          <w:szCs w:val="32"/>
        </w:rPr>
        <w:t>全面落实预防为主的思想，树立常备不懈的观念；强化监测、预警、预防工作；开展科学研究，提高地震应急救援水平；加强应急救援专业队伍和志愿者队伍的建设、培训和演练。</w:t>
      </w:r>
    </w:p>
    <w:p w14:paraId="58E0E268">
      <w:pPr>
        <w:spacing w:line="560" w:lineRule="exact"/>
        <w:ind w:firstLine="624" w:firstLineChars="200"/>
        <w:rPr>
          <w:rFonts w:ascii="黑体" w:hAnsi="黑体" w:eastAsia="黑体"/>
          <w:sz w:val="32"/>
          <w:szCs w:val="32"/>
        </w:rPr>
      </w:pPr>
      <w:r>
        <w:rPr>
          <w:rFonts w:hint="eastAsia" w:ascii="黑体" w:hAnsi="黑体" w:eastAsia="黑体"/>
          <w:sz w:val="32"/>
          <w:szCs w:val="32"/>
        </w:rPr>
        <w:t>二、组织机构及职责</w:t>
      </w:r>
    </w:p>
    <w:p w14:paraId="03E0C4F6">
      <w:pPr>
        <w:spacing w:line="560" w:lineRule="exact"/>
        <w:ind w:firstLine="624" w:firstLineChars="200"/>
        <w:rPr>
          <w:rFonts w:ascii="楷体_GB2312" w:eastAsia="楷体_GB2312"/>
          <w:sz w:val="32"/>
          <w:szCs w:val="32"/>
        </w:rPr>
      </w:pPr>
      <w:r>
        <w:rPr>
          <w:rFonts w:hint="eastAsia" w:ascii="楷体_GB2312" w:eastAsia="楷体_GB2312"/>
          <w:sz w:val="32"/>
          <w:szCs w:val="32"/>
        </w:rPr>
        <w:t>（一）应急指挥机构及职责</w:t>
      </w:r>
    </w:p>
    <w:p w14:paraId="54E6F3F5">
      <w:pPr>
        <w:spacing w:line="560" w:lineRule="exact"/>
        <w:ind w:firstLine="624" w:firstLineChars="200"/>
        <w:rPr>
          <w:rFonts w:ascii="仿宋_GB2312" w:eastAsia="仿宋_GB2312"/>
          <w:sz w:val="32"/>
          <w:szCs w:val="32"/>
        </w:rPr>
      </w:pPr>
      <w:r>
        <w:rPr>
          <w:rFonts w:hint="eastAsia" w:ascii="仿宋_GB2312" w:eastAsia="仿宋_GB2312"/>
          <w:sz w:val="32"/>
          <w:szCs w:val="32"/>
        </w:rPr>
        <w:t>设立区防震减灾工作领导小组统一领导全区的防震减灾工作，发生破坏性地震灾害后，自动转为区抗震救灾指挥部（以下简称区指挥部），区指挥部总指挥长由管委主任担任，副总指挥由管委分管副主任担任，区综合管理部、经济发展部、科技创新部、招商部、规划国土建设部、财政金融部、教育分局、卫生健康管理办公室、应急分局、公安分局、综合执法局、消防救援大队等部门和</w:t>
      </w:r>
      <w:r>
        <w:rPr>
          <w:rFonts w:hint="eastAsia" w:ascii="仿宋_GB2312" w:hAnsi="仿宋_GB2312" w:eastAsia="仿宋_GB2312" w:cs="仿宋_GB2312"/>
          <w:sz w:val="32"/>
          <w:szCs w:val="32"/>
        </w:rPr>
        <w:t>社会事业管理服务中心</w:t>
      </w:r>
      <w:r>
        <w:rPr>
          <w:rFonts w:hint="eastAsia" w:ascii="仿宋_GB2312" w:eastAsia="仿宋_GB2312"/>
          <w:sz w:val="32"/>
          <w:szCs w:val="32"/>
        </w:rPr>
        <w:t>等单位主要负责同志为成员。</w:t>
      </w:r>
    </w:p>
    <w:p w14:paraId="551C8E15">
      <w:pPr>
        <w:spacing w:line="560" w:lineRule="exact"/>
        <w:ind w:firstLine="624" w:firstLineChars="200"/>
        <w:rPr>
          <w:rFonts w:ascii="仿宋_GB2312" w:eastAsia="仿宋_GB2312"/>
          <w:sz w:val="32"/>
          <w:szCs w:val="32"/>
        </w:rPr>
      </w:pPr>
      <w:r>
        <w:rPr>
          <w:rFonts w:hint="eastAsia" w:ascii="仿宋_GB2312" w:eastAsia="仿宋_GB2312"/>
          <w:sz w:val="32"/>
          <w:szCs w:val="32"/>
        </w:rPr>
        <w:t>主要职责是统一领导全区抗震救灾工作；决定启动和终止本预案，在灾区设立现场指挥部；根据灾情需要，协调驻军参与抗震救灾工作，必要时请求上级支援；统一信息公开。</w:t>
      </w:r>
    </w:p>
    <w:p w14:paraId="6C556DBB">
      <w:pPr>
        <w:spacing w:line="560" w:lineRule="exact"/>
        <w:ind w:firstLine="624" w:firstLineChars="200"/>
        <w:rPr>
          <w:rFonts w:ascii="楷体_GB2312" w:eastAsia="楷体_GB2312"/>
          <w:sz w:val="32"/>
          <w:szCs w:val="32"/>
        </w:rPr>
      </w:pPr>
      <w:r>
        <w:rPr>
          <w:rFonts w:hint="eastAsia" w:ascii="楷体_GB2312" w:eastAsia="楷体_GB2312"/>
          <w:sz w:val="32"/>
          <w:szCs w:val="32"/>
        </w:rPr>
        <w:t>（二）办事机构及职责</w:t>
      </w:r>
    </w:p>
    <w:p w14:paraId="75998A47">
      <w:pPr>
        <w:spacing w:line="560" w:lineRule="exact"/>
        <w:ind w:firstLine="624" w:firstLineChars="200"/>
        <w:rPr>
          <w:rFonts w:ascii="仿宋_GB2312" w:eastAsia="仿宋_GB2312"/>
          <w:sz w:val="32"/>
          <w:szCs w:val="32"/>
        </w:rPr>
      </w:pPr>
      <w:r>
        <w:rPr>
          <w:rFonts w:hint="eastAsia" w:ascii="仿宋_GB2312" w:eastAsia="仿宋_GB2312"/>
          <w:sz w:val="32"/>
          <w:szCs w:val="32"/>
        </w:rPr>
        <w:t>区抗震救灾指挥部办公室设在区应急分局，应急分局局长兼任办公室主任。</w:t>
      </w:r>
    </w:p>
    <w:p w14:paraId="0B8C9965">
      <w:pPr>
        <w:spacing w:line="560" w:lineRule="exact"/>
        <w:ind w:firstLine="624" w:firstLineChars="200"/>
        <w:rPr>
          <w:rFonts w:ascii="仿宋_GB2312" w:eastAsia="仿宋_GB2312"/>
          <w:sz w:val="32"/>
          <w:szCs w:val="32"/>
        </w:rPr>
      </w:pPr>
      <w:r>
        <w:rPr>
          <w:rFonts w:hint="eastAsia" w:ascii="仿宋_GB2312" w:eastAsia="仿宋_GB2312"/>
          <w:sz w:val="32"/>
          <w:szCs w:val="32"/>
        </w:rPr>
        <w:t>主要职责是负责收集、汇总和报告震情、灾情、险情；传达、贯彻区指挥部的指示和工作部署；协调并督促区指挥部成员单位的应急行动；承担区指挥部的日常工作。</w:t>
      </w:r>
    </w:p>
    <w:p w14:paraId="76A3AED2">
      <w:pPr>
        <w:spacing w:line="560" w:lineRule="exact"/>
        <w:ind w:firstLine="624" w:firstLineChars="200"/>
        <w:rPr>
          <w:rFonts w:ascii="楷体_GB2312" w:eastAsia="楷体_GB2312"/>
          <w:sz w:val="32"/>
          <w:szCs w:val="32"/>
        </w:rPr>
      </w:pPr>
      <w:r>
        <w:rPr>
          <w:rFonts w:hint="eastAsia" w:ascii="楷体_GB2312" w:eastAsia="楷体_GB2312"/>
          <w:sz w:val="32"/>
          <w:szCs w:val="32"/>
        </w:rPr>
        <w:t>（三）区指挥部成员单位职责</w:t>
      </w:r>
    </w:p>
    <w:p w14:paraId="603DDE14">
      <w:pPr>
        <w:spacing w:line="560" w:lineRule="exact"/>
        <w:ind w:firstLine="624" w:firstLineChars="200"/>
        <w:rPr>
          <w:rFonts w:ascii="仿宋_GB2312" w:eastAsia="仿宋_GB2312"/>
          <w:sz w:val="32"/>
          <w:szCs w:val="32"/>
        </w:rPr>
      </w:pPr>
      <w:r>
        <w:rPr>
          <w:rFonts w:hint="eastAsia" w:ascii="仿宋_GB2312" w:eastAsia="仿宋_GB2312"/>
          <w:sz w:val="32"/>
          <w:szCs w:val="32"/>
        </w:rPr>
        <w:t>1.应急分局：负责震情监测，提出震情趋势判断意见；组织地震宏观现场调查，参与震害损失评估。督导危险化学品企业建立落实安全生产和抢险抢修措施，及时抢修震后受损设施，防范、处置次生灾害。组织制定和实施受灾群众安置与救助方案，负责调配帐篷、衣被、食品等救灾物品；接受和安排救灾捐助资金及物资；会同有关部门负责地震灾害调查核实，开展震灾损失统计与评估。组织发布区域内的救灾呼吁，接受社会各界及个人捐赠，及时向震灾区群众提供急需的人道援助。</w:t>
      </w:r>
    </w:p>
    <w:p w14:paraId="3B5E10BB">
      <w:pPr>
        <w:spacing w:line="560" w:lineRule="exact"/>
        <w:ind w:firstLine="624" w:firstLineChars="200"/>
        <w:rPr>
          <w:rFonts w:ascii="仿宋_GB2312" w:eastAsia="仿宋_GB2312"/>
          <w:sz w:val="32"/>
          <w:szCs w:val="32"/>
        </w:rPr>
      </w:pPr>
      <w:r>
        <w:rPr>
          <w:rFonts w:hint="eastAsia" w:ascii="仿宋_GB2312" w:eastAsia="仿宋_GB2312"/>
          <w:sz w:val="32"/>
          <w:szCs w:val="32"/>
        </w:rPr>
        <w:t>2.综合管理部：协调有关部门组织实施突发事件信息发布，统一报道口径；搞好舆论管控和引导，维护社会稳定。</w:t>
      </w:r>
    </w:p>
    <w:p w14:paraId="61F12F5C">
      <w:pPr>
        <w:spacing w:line="560" w:lineRule="exact"/>
        <w:ind w:firstLine="624" w:firstLineChars="200"/>
        <w:rPr>
          <w:rFonts w:ascii="仿宋_GB2312" w:eastAsia="仿宋_GB2312"/>
          <w:sz w:val="32"/>
          <w:szCs w:val="32"/>
        </w:rPr>
      </w:pPr>
      <w:r>
        <w:rPr>
          <w:rFonts w:hint="eastAsia" w:ascii="仿宋_GB2312" w:eastAsia="仿宋_GB2312"/>
          <w:sz w:val="32"/>
          <w:szCs w:val="32"/>
        </w:rPr>
        <w:t>3.经济发展部：制定和实施震后重建规划，协调有关方面落实项目建设资金。参与抗震救灾物资供应保障工作，协调各通信公司、石油公司、社会企业储备通信器材、应急电源、成品油等资源，编制临时征调方案，协调通信公司组织抢修损毁的通信设施，指导工业企业恢复生产。协调供电公司组织恢复被损毁的供电设施和调度系统；启用应急发电设施，优先保障应急指挥中心用电需求；优先抢修恢复城市供电。组织做好救灾物资储备，保障地震灾区的基本生活供应。</w:t>
      </w:r>
    </w:p>
    <w:p w14:paraId="0836E3CD">
      <w:pPr>
        <w:spacing w:line="560" w:lineRule="exact"/>
        <w:ind w:firstLine="624" w:firstLineChars="200"/>
        <w:rPr>
          <w:rFonts w:ascii="仿宋_GB2312" w:eastAsia="仿宋_GB2312"/>
          <w:sz w:val="32"/>
          <w:szCs w:val="32"/>
        </w:rPr>
      </w:pPr>
      <w:r>
        <w:rPr>
          <w:rFonts w:hint="eastAsia" w:ascii="仿宋_GB2312" w:eastAsia="仿宋_GB2312"/>
          <w:sz w:val="32"/>
          <w:szCs w:val="32"/>
        </w:rPr>
        <w:t>4.招商部：负责监测分析生活必需品市场运行、供求状况，组织重要生活必需品的应急供应工作。</w:t>
      </w:r>
    </w:p>
    <w:p w14:paraId="03933B88">
      <w:pPr>
        <w:spacing w:line="560" w:lineRule="exact"/>
        <w:ind w:firstLine="624" w:firstLineChars="200"/>
        <w:rPr>
          <w:rFonts w:ascii="仿宋_GB2312" w:eastAsia="仿宋_GB2312"/>
          <w:sz w:val="32"/>
          <w:szCs w:val="32"/>
        </w:rPr>
      </w:pPr>
      <w:r>
        <w:rPr>
          <w:rFonts w:hint="eastAsia" w:ascii="仿宋_GB2312" w:eastAsia="仿宋_GB2312"/>
          <w:sz w:val="32"/>
          <w:szCs w:val="32"/>
        </w:rPr>
        <w:t>5.区公安分局：依法采取紧急措施，维护社会稳定，维持社会治安，保护重点目标和场所，参与震后抢险救援。</w:t>
      </w:r>
    </w:p>
    <w:p w14:paraId="282086AF">
      <w:pPr>
        <w:spacing w:line="560" w:lineRule="exact"/>
        <w:ind w:firstLine="624" w:firstLineChars="200"/>
        <w:rPr>
          <w:rFonts w:ascii="仿宋_GB2312" w:eastAsia="仿宋_GB2312"/>
          <w:sz w:val="32"/>
          <w:szCs w:val="32"/>
        </w:rPr>
      </w:pPr>
      <w:r>
        <w:rPr>
          <w:rFonts w:hint="eastAsia" w:ascii="仿宋_GB2312" w:eastAsia="仿宋_GB2312"/>
          <w:sz w:val="32"/>
          <w:szCs w:val="32"/>
        </w:rPr>
        <w:t>6.区财政金融部：做好地震应急救援资金保障。</w:t>
      </w:r>
    </w:p>
    <w:p w14:paraId="33DA2FA1">
      <w:pPr>
        <w:spacing w:line="560" w:lineRule="exact"/>
        <w:ind w:firstLine="624" w:firstLineChars="200"/>
        <w:rPr>
          <w:rFonts w:ascii="仿宋_GB2312" w:eastAsia="仿宋_GB2312"/>
          <w:sz w:val="32"/>
          <w:szCs w:val="32"/>
        </w:rPr>
      </w:pPr>
      <w:r>
        <w:rPr>
          <w:rFonts w:hint="eastAsia" w:ascii="仿宋_GB2312" w:eastAsia="仿宋_GB2312"/>
          <w:sz w:val="32"/>
          <w:szCs w:val="32"/>
        </w:rPr>
        <w:t>7.规划国土建设部：收集、提供灾区影像和地图资料，及时提供有关震灾区地理、地质灾害信息。配合有关部门编制灾后恢复重建规划。组织评估和鉴定灾区民用住房、学校和医院等公共场所震损情况，对建筑物安全情况进行分类、标识，配合有关部门制定和实施震后重建规划。组织工程抢修抢险专业队伍，修复被毁坏的公路、铁路、桥梁等基础设施，开辟救灾绿色通道，优先保障抢险救援人员、伤病人员、撤离转移灾民和救灾物资的快速运输。按照区指挥部命令发布地震预警警报；利用人民防空疏散场所协助转移、安置群众。</w:t>
      </w:r>
    </w:p>
    <w:p w14:paraId="41621A2C">
      <w:pPr>
        <w:spacing w:line="560" w:lineRule="exact"/>
        <w:ind w:firstLine="624" w:firstLineChars="200"/>
        <w:rPr>
          <w:rFonts w:ascii="仿宋_GB2312" w:eastAsia="仿宋_GB2312"/>
          <w:sz w:val="32"/>
          <w:szCs w:val="32"/>
        </w:rPr>
      </w:pPr>
      <w:r>
        <w:rPr>
          <w:rFonts w:hint="eastAsia" w:ascii="仿宋_GB2312" w:eastAsia="仿宋_GB2312"/>
          <w:sz w:val="32"/>
          <w:szCs w:val="32"/>
        </w:rPr>
        <w:t>8.市场监管分局：负责监管食品、药品质量安全。</w:t>
      </w:r>
    </w:p>
    <w:p w14:paraId="1A56E802">
      <w:pPr>
        <w:spacing w:line="560" w:lineRule="exact"/>
        <w:ind w:firstLine="624" w:firstLineChars="200"/>
        <w:rPr>
          <w:rFonts w:ascii="仿宋_GB2312" w:eastAsia="仿宋_GB2312"/>
          <w:sz w:val="32"/>
          <w:szCs w:val="32"/>
        </w:rPr>
      </w:pPr>
      <w:r>
        <w:rPr>
          <w:rFonts w:hint="eastAsia" w:ascii="仿宋_GB2312" w:eastAsia="仿宋_GB2312"/>
          <w:sz w:val="32"/>
          <w:szCs w:val="32"/>
        </w:rPr>
        <w:t>9.综合执法局：组织对水库堤坝等水利工程实施隐患排查、监控和消除工作。组织力量对所辖范围内受损城市基础设施进行排险、抢修。</w:t>
      </w:r>
    </w:p>
    <w:p w14:paraId="19F53697">
      <w:pPr>
        <w:spacing w:line="560" w:lineRule="exact"/>
        <w:ind w:firstLine="624" w:firstLineChars="200"/>
        <w:rPr>
          <w:rFonts w:ascii="仿宋_GB2312" w:eastAsia="仿宋_GB2312"/>
          <w:sz w:val="32"/>
          <w:szCs w:val="32"/>
        </w:rPr>
      </w:pPr>
      <w:r>
        <w:rPr>
          <w:rFonts w:hint="eastAsia" w:ascii="仿宋_GB2312" w:eastAsia="仿宋_GB2312"/>
          <w:sz w:val="32"/>
          <w:szCs w:val="32"/>
        </w:rPr>
        <w:t>10.</w:t>
      </w:r>
      <w:r>
        <w:rPr>
          <w:rFonts w:hint="eastAsia" w:ascii="仿宋_GB2312" w:hAnsi="仿宋_GB2312" w:eastAsia="仿宋_GB2312" w:cs="仿宋_GB2312"/>
          <w:sz w:val="32"/>
          <w:szCs w:val="32"/>
        </w:rPr>
        <w:t>社会事业管理服务中心</w:t>
      </w:r>
      <w:r>
        <w:rPr>
          <w:rFonts w:hint="eastAsia" w:ascii="仿宋_GB2312" w:eastAsia="仿宋_GB2312"/>
          <w:sz w:val="32"/>
          <w:szCs w:val="32"/>
        </w:rPr>
        <w:t>：调查核实农业灾情，提出生产救灾资金安排建议，指导紧急救灾和灾后生产恢复。负责灾后动物疫病的预防、控制和消杀；负责气象实时监测工作，及时通报重大气象变化，为地震现场应急提供气象服务。</w:t>
      </w:r>
    </w:p>
    <w:p w14:paraId="70EA6767">
      <w:pPr>
        <w:spacing w:line="560" w:lineRule="exact"/>
        <w:ind w:firstLine="624" w:firstLineChars="200"/>
        <w:rPr>
          <w:rFonts w:ascii="仿宋_GB2312" w:eastAsia="仿宋_GB2312"/>
          <w:sz w:val="32"/>
          <w:szCs w:val="32"/>
        </w:rPr>
      </w:pPr>
      <w:r>
        <w:rPr>
          <w:rFonts w:hint="eastAsia" w:ascii="仿宋_GB2312" w:eastAsia="仿宋_GB2312"/>
          <w:sz w:val="32"/>
          <w:szCs w:val="32"/>
        </w:rPr>
        <w:t>11.教育分局：组织遭受破坏的学校转移和安置学生，适时组织学校复课，维护正常教学秩序。</w:t>
      </w:r>
    </w:p>
    <w:p w14:paraId="2E91682A">
      <w:pPr>
        <w:spacing w:line="560" w:lineRule="exact"/>
        <w:ind w:firstLine="624" w:firstLineChars="200"/>
        <w:rPr>
          <w:rFonts w:ascii="仿宋_GB2312" w:eastAsia="仿宋_GB2312"/>
          <w:sz w:val="32"/>
          <w:szCs w:val="32"/>
        </w:rPr>
      </w:pPr>
      <w:r>
        <w:rPr>
          <w:rFonts w:hint="eastAsia" w:ascii="仿宋_GB2312" w:eastAsia="仿宋_GB2312"/>
          <w:sz w:val="32"/>
          <w:szCs w:val="32"/>
        </w:rPr>
        <w:t>12.卫生健康管理办公室：组织基本医药、医疗器材的应急储备；组织抢救、转运和医治伤病人员；开展震灾区疾病预防控制、卫生监督等医疗卫生工作。</w:t>
      </w:r>
    </w:p>
    <w:p w14:paraId="25557828">
      <w:pPr>
        <w:spacing w:line="560" w:lineRule="exact"/>
        <w:ind w:firstLine="624" w:firstLineChars="200"/>
        <w:rPr>
          <w:rFonts w:ascii="仿宋_GB2312" w:eastAsia="仿宋_GB2312"/>
          <w:sz w:val="32"/>
          <w:szCs w:val="32"/>
        </w:rPr>
      </w:pPr>
      <w:r>
        <w:rPr>
          <w:rFonts w:hint="eastAsia" w:ascii="仿宋_GB2312" w:eastAsia="仿宋_GB2312"/>
          <w:sz w:val="32"/>
          <w:szCs w:val="32"/>
        </w:rPr>
        <w:t>13.区消防救援大队：组织综合性救援队伍，开展灾区应急救援；组织消防救援人员抢险救灾，抢救被埋人员，协助紧急转移灾民、扑灭火灾。</w:t>
      </w:r>
    </w:p>
    <w:p w14:paraId="647289BD">
      <w:pPr>
        <w:spacing w:line="560" w:lineRule="exact"/>
        <w:ind w:firstLine="624" w:firstLineChars="200"/>
        <w:rPr>
          <w:rFonts w:ascii="黑体" w:hAnsi="黑体" w:eastAsia="黑体"/>
          <w:sz w:val="32"/>
          <w:szCs w:val="32"/>
        </w:rPr>
      </w:pPr>
      <w:r>
        <w:rPr>
          <w:rFonts w:hint="eastAsia" w:ascii="黑体" w:hAnsi="黑体" w:eastAsia="黑体"/>
          <w:sz w:val="32"/>
          <w:szCs w:val="32"/>
        </w:rPr>
        <w:t>三、应急响应</w:t>
      </w:r>
    </w:p>
    <w:p w14:paraId="76D7E731">
      <w:pPr>
        <w:spacing w:line="560" w:lineRule="exact"/>
        <w:ind w:firstLine="624" w:firstLineChars="200"/>
        <w:rPr>
          <w:rFonts w:ascii="楷体_GB2312" w:eastAsia="楷体_GB2312"/>
          <w:sz w:val="32"/>
          <w:szCs w:val="32"/>
        </w:rPr>
      </w:pPr>
      <w:r>
        <w:rPr>
          <w:rFonts w:hint="eastAsia" w:ascii="楷体_GB2312" w:eastAsia="楷体_GB2312"/>
          <w:sz w:val="32"/>
          <w:szCs w:val="32"/>
        </w:rPr>
        <w:t>（一）地震灾害事件分级标准</w:t>
      </w:r>
      <w:r>
        <w:rPr>
          <w:rFonts w:hint="eastAsia" w:ascii="楷体_GB2312" w:hAnsi="宋体" w:eastAsia="楷体_GB2312" w:cs="宋体"/>
          <w:kern w:val="0"/>
          <w:sz w:val="32"/>
          <w:szCs w:val="32"/>
        </w:rPr>
        <w:t>（见下表，其中“以上”含本数，“以下”不含）。</w:t>
      </w:r>
    </w:p>
    <w:p w14:paraId="1783C6E6">
      <w:pPr>
        <w:spacing w:line="560" w:lineRule="exact"/>
        <w:ind w:firstLine="810"/>
        <w:jc w:val="center"/>
        <w:rPr>
          <w:rFonts w:ascii="楷体_GB2312" w:eastAsia="楷体_GB2312"/>
          <w:sz w:val="32"/>
          <w:szCs w:val="32"/>
        </w:rPr>
      </w:pPr>
      <w:r>
        <w:rPr>
          <w:rFonts w:hint="eastAsia" w:ascii="黑体" w:hAnsi="黑体" w:eastAsia="黑体" w:cs="宋体"/>
          <w:kern w:val="0"/>
          <w:sz w:val="32"/>
          <w:szCs w:val="32"/>
        </w:rPr>
        <w:t>地震灾害事件分级标准</w:t>
      </w:r>
    </w:p>
    <w:tbl>
      <w:tblPr>
        <w:tblStyle w:val="12"/>
        <w:tblW w:w="9640" w:type="dxa"/>
        <w:tblCellSpacing w:w="15" w:type="dxa"/>
        <w:tblInd w:w="-276" w:type="dxa"/>
        <w:tblLayout w:type="fixed"/>
        <w:tblCellMar>
          <w:top w:w="15" w:type="dxa"/>
          <w:left w:w="15" w:type="dxa"/>
          <w:bottom w:w="15" w:type="dxa"/>
          <w:right w:w="15" w:type="dxa"/>
        </w:tblCellMar>
      </w:tblPr>
      <w:tblGrid>
        <w:gridCol w:w="1560"/>
        <w:gridCol w:w="1718"/>
        <w:gridCol w:w="2157"/>
        <w:gridCol w:w="2092"/>
        <w:gridCol w:w="2113"/>
      </w:tblGrid>
      <w:tr w14:paraId="22118DE0">
        <w:tblPrEx>
          <w:tblCellMar>
            <w:top w:w="15" w:type="dxa"/>
            <w:left w:w="15" w:type="dxa"/>
            <w:bottom w:w="15" w:type="dxa"/>
            <w:right w:w="15" w:type="dxa"/>
          </w:tblCellMar>
        </w:tblPrEx>
        <w:trPr>
          <w:cantSplit/>
          <w:tblCellSpacing w:w="15" w:type="dxa"/>
        </w:trPr>
        <w:tc>
          <w:tcPr>
            <w:tcW w:w="1515"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2DA25A97">
            <w:pPr>
              <w:widowControl/>
              <w:spacing w:before="100" w:after="100" w:line="400" w:lineRule="exact"/>
              <w:jc w:val="center"/>
              <w:rPr>
                <w:rFonts w:ascii="宋体" w:hAnsi="宋体" w:cs="宋体"/>
                <w:kern w:val="0"/>
                <w:sz w:val="28"/>
                <w:szCs w:val="28"/>
              </w:rPr>
            </w:pPr>
            <w:r>
              <w:rPr>
                <w:rFonts w:hint="eastAsia" w:ascii="黑体" w:hAnsi="黑体" w:eastAsia="黑体" w:cs="宋体"/>
                <w:kern w:val="0"/>
                <w:sz w:val="28"/>
                <w:szCs w:val="28"/>
              </w:rPr>
              <w:t>地震灾害等级</w:t>
            </w:r>
          </w:p>
        </w:tc>
        <w:tc>
          <w:tcPr>
            <w:tcW w:w="5937" w:type="dxa"/>
            <w:gridSpan w:val="3"/>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65AD35E9">
            <w:pPr>
              <w:widowControl/>
              <w:spacing w:before="100" w:after="100" w:line="400" w:lineRule="exact"/>
              <w:jc w:val="center"/>
              <w:rPr>
                <w:rFonts w:ascii="宋体" w:hAnsi="宋体" w:cs="宋体"/>
                <w:kern w:val="0"/>
                <w:sz w:val="28"/>
                <w:szCs w:val="28"/>
              </w:rPr>
            </w:pPr>
            <w:r>
              <w:rPr>
                <w:rFonts w:hint="eastAsia" w:ascii="黑体" w:hAnsi="黑体" w:eastAsia="黑体" w:cs="宋体"/>
                <w:kern w:val="0"/>
                <w:sz w:val="28"/>
                <w:szCs w:val="28"/>
              </w:rPr>
              <w:t>分级标准</w:t>
            </w:r>
          </w:p>
        </w:tc>
        <w:tc>
          <w:tcPr>
            <w:tcW w:w="2068" w:type="dxa"/>
            <w:vMerge w:val="restar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73C90187">
            <w:pPr>
              <w:widowControl/>
              <w:spacing w:before="100" w:after="100" w:line="400" w:lineRule="exact"/>
              <w:jc w:val="center"/>
              <w:rPr>
                <w:rFonts w:ascii="宋体" w:hAnsi="宋体" w:cs="宋体"/>
                <w:kern w:val="0"/>
                <w:sz w:val="28"/>
                <w:szCs w:val="28"/>
              </w:rPr>
            </w:pPr>
            <w:r>
              <w:rPr>
                <w:rFonts w:hint="eastAsia" w:ascii="黑体" w:hAnsi="黑体" w:eastAsia="黑体" w:cs="宋体"/>
                <w:kern w:val="0"/>
                <w:sz w:val="28"/>
                <w:szCs w:val="28"/>
              </w:rPr>
              <w:t>初判标准（震级）</w:t>
            </w:r>
          </w:p>
        </w:tc>
      </w:tr>
      <w:tr w14:paraId="660ED519">
        <w:tblPrEx>
          <w:tblCellMar>
            <w:top w:w="15" w:type="dxa"/>
            <w:left w:w="15" w:type="dxa"/>
            <w:bottom w:w="15" w:type="dxa"/>
            <w:right w:w="15" w:type="dxa"/>
          </w:tblCellMar>
        </w:tblPrEx>
        <w:trPr>
          <w:cantSplit/>
          <w:trHeight w:val="813" w:hRule="atLeast"/>
          <w:tblCellSpacing w:w="15" w:type="dxa"/>
        </w:trPr>
        <w:tc>
          <w:tcPr>
            <w:tcW w:w="1515" w:type="dxa"/>
            <w:vMerge w:val="continue"/>
            <w:tcBorders>
              <w:top w:val="single" w:color="auto" w:sz="6" w:space="0"/>
              <w:left w:val="single" w:color="auto" w:sz="6" w:space="0"/>
              <w:bottom w:val="single" w:color="auto" w:sz="6" w:space="0"/>
              <w:right w:val="single" w:color="auto" w:sz="6" w:space="0"/>
            </w:tcBorders>
            <w:vAlign w:val="center"/>
          </w:tcPr>
          <w:p w14:paraId="28EE079B">
            <w:pPr>
              <w:widowControl/>
              <w:spacing w:line="400" w:lineRule="exact"/>
              <w:jc w:val="left"/>
              <w:rPr>
                <w:rFonts w:ascii="宋体" w:hAnsi="宋体" w:cs="宋体"/>
                <w:kern w:val="0"/>
                <w:sz w:val="28"/>
                <w:szCs w:val="28"/>
              </w:rPr>
            </w:pPr>
          </w:p>
        </w:tc>
        <w:tc>
          <w:tcPr>
            <w:tcW w:w="1688" w:type="dxa"/>
            <w:tcBorders>
              <w:top w:val="nil"/>
              <w:left w:val="nil"/>
              <w:bottom w:val="single" w:color="auto" w:sz="6" w:space="0"/>
              <w:right w:val="single" w:color="auto" w:sz="6" w:space="0"/>
            </w:tcBorders>
            <w:tcMar>
              <w:top w:w="0" w:type="dxa"/>
              <w:left w:w="105" w:type="dxa"/>
              <w:bottom w:w="0" w:type="dxa"/>
              <w:right w:w="105" w:type="dxa"/>
            </w:tcMar>
            <w:vAlign w:val="center"/>
          </w:tcPr>
          <w:p w14:paraId="5FBFB746">
            <w:pPr>
              <w:widowControl/>
              <w:spacing w:before="100" w:after="100" w:line="400" w:lineRule="exact"/>
              <w:jc w:val="center"/>
              <w:rPr>
                <w:rFonts w:ascii="宋体" w:hAnsi="宋体" w:cs="宋体"/>
                <w:kern w:val="0"/>
                <w:sz w:val="28"/>
                <w:szCs w:val="28"/>
              </w:rPr>
            </w:pPr>
            <w:r>
              <w:rPr>
                <w:rFonts w:hint="eastAsia" w:ascii="黑体" w:hAnsi="黑体" w:eastAsia="黑体" w:cs="宋体"/>
                <w:kern w:val="0"/>
                <w:sz w:val="28"/>
                <w:szCs w:val="28"/>
              </w:rPr>
              <w:t>人员死亡</w:t>
            </w:r>
          </w:p>
        </w:tc>
        <w:tc>
          <w:tcPr>
            <w:tcW w:w="2127" w:type="dxa"/>
            <w:tcBorders>
              <w:top w:val="nil"/>
              <w:left w:val="nil"/>
              <w:bottom w:val="single" w:color="auto" w:sz="6" w:space="0"/>
              <w:right w:val="single" w:color="auto" w:sz="6" w:space="0"/>
            </w:tcBorders>
            <w:tcMar>
              <w:top w:w="0" w:type="dxa"/>
              <w:left w:w="105" w:type="dxa"/>
              <w:bottom w:w="0" w:type="dxa"/>
              <w:right w:w="105" w:type="dxa"/>
            </w:tcMar>
            <w:vAlign w:val="center"/>
          </w:tcPr>
          <w:p w14:paraId="3289D20C">
            <w:pPr>
              <w:widowControl/>
              <w:spacing w:before="100" w:after="100" w:line="400" w:lineRule="exact"/>
              <w:jc w:val="center"/>
              <w:rPr>
                <w:rFonts w:ascii="宋体" w:hAnsi="宋体" w:cs="宋体"/>
                <w:kern w:val="0"/>
                <w:sz w:val="28"/>
                <w:szCs w:val="28"/>
              </w:rPr>
            </w:pPr>
            <w:r>
              <w:rPr>
                <w:rFonts w:hint="eastAsia" w:ascii="黑体" w:hAnsi="黑体" w:eastAsia="黑体" w:cs="宋体"/>
                <w:kern w:val="0"/>
                <w:sz w:val="28"/>
                <w:szCs w:val="28"/>
              </w:rPr>
              <w:t>紧急安置人员</w:t>
            </w:r>
          </w:p>
        </w:tc>
        <w:tc>
          <w:tcPr>
            <w:tcW w:w="2062" w:type="dxa"/>
            <w:tcBorders>
              <w:top w:val="nil"/>
              <w:left w:val="nil"/>
              <w:bottom w:val="single" w:color="auto" w:sz="6" w:space="0"/>
              <w:right w:val="single" w:color="auto" w:sz="6" w:space="0"/>
            </w:tcBorders>
            <w:tcMar>
              <w:top w:w="0" w:type="dxa"/>
              <w:left w:w="105" w:type="dxa"/>
              <w:bottom w:w="0" w:type="dxa"/>
              <w:right w:w="105" w:type="dxa"/>
            </w:tcMar>
            <w:vAlign w:val="center"/>
          </w:tcPr>
          <w:p w14:paraId="034C1DAA">
            <w:pPr>
              <w:widowControl/>
              <w:spacing w:before="100" w:after="100" w:line="400" w:lineRule="exact"/>
              <w:jc w:val="center"/>
              <w:rPr>
                <w:rFonts w:ascii="宋体" w:hAnsi="宋体" w:cs="宋体"/>
                <w:kern w:val="0"/>
                <w:sz w:val="28"/>
                <w:szCs w:val="28"/>
              </w:rPr>
            </w:pPr>
            <w:r>
              <w:rPr>
                <w:rFonts w:hint="eastAsia" w:ascii="黑体" w:hAnsi="黑体" w:eastAsia="黑体" w:cs="宋体"/>
                <w:kern w:val="0"/>
                <w:sz w:val="28"/>
                <w:szCs w:val="28"/>
              </w:rPr>
              <w:t>倒塌和严重损坏房屋</w:t>
            </w:r>
          </w:p>
        </w:tc>
        <w:tc>
          <w:tcPr>
            <w:tcW w:w="2068" w:type="dxa"/>
            <w:vMerge w:val="continue"/>
            <w:tcBorders>
              <w:top w:val="single" w:color="auto" w:sz="6" w:space="0"/>
              <w:left w:val="nil"/>
              <w:bottom w:val="single" w:color="auto" w:sz="6" w:space="0"/>
              <w:right w:val="single" w:color="auto" w:sz="6" w:space="0"/>
            </w:tcBorders>
            <w:vAlign w:val="center"/>
          </w:tcPr>
          <w:p w14:paraId="6B9D9410">
            <w:pPr>
              <w:widowControl/>
              <w:spacing w:line="400" w:lineRule="exact"/>
              <w:jc w:val="left"/>
              <w:rPr>
                <w:rFonts w:ascii="宋体" w:hAnsi="宋体" w:cs="宋体"/>
                <w:kern w:val="0"/>
                <w:sz w:val="28"/>
                <w:szCs w:val="28"/>
              </w:rPr>
            </w:pPr>
          </w:p>
        </w:tc>
      </w:tr>
      <w:tr w14:paraId="4ABB1B1F">
        <w:tblPrEx>
          <w:tblCellMar>
            <w:top w:w="15" w:type="dxa"/>
            <w:left w:w="15" w:type="dxa"/>
            <w:bottom w:w="15" w:type="dxa"/>
            <w:right w:w="15" w:type="dxa"/>
          </w:tblCellMar>
        </w:tblPrEx>
        <w:trPr>
          <w:tblCellSpacing w:w="15" w:type="dxa"/>
        </w:trPr>
        <w:tc>
          <w:tcPr>
            <w:tcW w:w="151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B997671">
            <w:pPr>
              <w:widowControl/>
              <w:spacing w:before="100" w:after="100" w:line="400" w:lineRule="exact"/>
              <w:jc w:val="center"/>
              <w:rPr>
                <w:rFonts w:ascii="宋体" w:hAnsi="宋体" w:cs="宋体"/>
                <w:kern w:val="0"/>
                <w:sz w:val="28"/>
                <w:szCs w:val="28"/>
              </w:rPr>
            </w:pPr>
            <w:r>
              <w:rPr>
                <w:rFonts w:hint="eastAsia" w:ascii="仿宋_GB2312" w:hAnsi="宋体" w:eastAsia="仿宋_GB2312" w:cs="宋体"/>
                <w:kern w:val="0"/>
                <w:sz w:val="28"/>
                <w:szCs w:val="28"/>
              </w:rPr>
              <w:t>特别重大地震灾害</w:t>
            </w:r>
          </w:p>
        </w:tc>
        <w:tc>
          <w:tcPr>
            <w:tcW w:w="1688" w:type="dxa"/>
            <w:tcBorders>
              <w:top w:val="nil"/>
              <w:left w:val="nil"/>
              <w:bottom w:val="single" w:color="auto" w:sz="6" w:space="0"/>
              <w:right w:val="single" w:color="auto" w:sz="6" w:space="0"/>
            </w:tcBorders>
            <w:tcMar>
              <w:top w:w="0" w:type="dxa"/>
              <w:left w:w="105" w:type="dxa"/>
              <w:bottom w:w="0" w:type="dxa"/>
              <w:right w:w="105" w:type="dxa"/>
            </w:tcMar>
            <w:vAlign w:val="center"/>
          </w:tcPr>
          <w:p w14:paraId="45B0DFD5">
            <w:pPr>
              <w:widowControl/>
              <w:spacing w:before="100" w:after="100" w:line="400" w:lineRule="exact"/>
              <w:jc w:val="center"/>
              <w:rPr>
                <w:rFonts w:ascii="宋体" w:hAnsi="宋体" w:cs="宋体"/>
                <w:kern w:val="0"/>
                <w:sz w:val="28"/>
                <w:szCs w:val="28"/>
              </w:rPr>
            </w:pPr>
            <w:r>
              <w:rPr>
                <w:rFonts w:hint="eastAsia" w:ascii="仿宋_GB2312" w:hAnsi="宋体" w:eastAsia="仿宋_GB2312" w:cs="宋体"/>
                <w:kern w:val="0"/>
                <w:sz w:val="28"/>
                <w:szCs w:val="28"/>
              </w:rPr>
              <w:t>300人以上</w:t>
            </w:r>
          </w:p>
        </w:tc>
        <w:tc>
          <w:tcPr>
            <w:tcW w:w="2127" w:type="dxa"/>
            <w:tcBorders>
              <w:top w:val="nil"/>
              <w:left w:val="nil"/>
              <w:bottom w:val="single" w:color="auto" w:sz="6" w:space="0"/>
              <w:right w:val="single" w:color="auto" w:sz="6" w:space="0"/>
            </w:tcBorders>
            <w:tcMar>
              <w:top w:w="0" w:type="dxa"/>
              <w:left w:w="105" w:type="dxa"/>
              <w:bottom w:w="0" w:type="dxa"/>
              <w:right w:w="105" w:type="dxa"/>
            </w:tcMar>
            <w:vAlign w:val="center"/>
          </w:tcPr>
          <w:p w14:paraId="6D1589C9">
            <w:pPr>
              <w:widowControl/>
              <w:spacing w:before="100" w:after="100" w:line="400" w:lineRule="exact"/>
              <w:jc w:val="center"/>
              <w:rPr>
                <w:rFonts w:ascii="宋体" w:hAnsi="宋体" w:cs="宋体"/>
                <w:kern w:val="0"/>
                <w:sz w:val="28"/>
                <w:szCs w:val="28"/>
              </w:rPr>
            </w:pPr>
            <w:r>
              <w:rPr>
                <w:rFonts w:hint="eastAsia" w:ascii="仿宋_GB2312" w:hAnsi="宋体" w:eastAsia="仿宋_GB2312" w:cs="宋体"/>
                <w:kern w:val="0"/>
                <w:sz w:val="28"/>
                <w:szCs w:val="28"/>
              </w:rPr>
              <w:t>10万人以上</w:t>
            </w:r>
          </w:p>
        </w:tc>
        <w:tc>
          <w:tcPr>
            <w:tcW w:w="2062" w:type="dxa"/>
            <w:tcBorders>
              <w:top w:val="nil"/>
              <w:left w:val="nil"/>
              <w:bottom w:val="single" w:color="auto" w:sz="6" w:space="0"/>
              <w:right w:val="single" w:color="auto" w:sz="6" w:space="0"/>
            </w:tcBorders>
            <w:tcMar>
              <w:top w:w="0" w:type="dxa"/>
              <w:left w:w="105" w:type="dxa"/>
              <w:bottom w:w="0" w:type="dxa"/>
              <w:right w:w="105" w:type="dxa"/>
            </w:tcMar>
            <w:vAlign w:val="center"/>
          </w:tcPr>
          <w:p w14:paraId="376F70F3">
            <w:pPr>
              <w:widowControl/>
              <w:spacing w:before="100" w:after="100" w:line="400" w:lineRule="exact"/>
              <w:jc w:val="center"/>
              <w:rPr>
                <w:rFonts w:ascii="宋体" w:hAnsi="宋体" w:cs="宋体"/>
                <w:kern w:val="0"/>
                <w:sz w:val="28"/>
                <w:szCs w:val="28"/>
              </w:rPr>
            </w:pPr>
            <w:r>
              <w:rPr>
                <w:rFonts w:hint="eastAsia" w:ascii="仿宋_GB2312" w:hAnsi="宋体" w:eastAsia="仿宋_GB2312" w:cs="宋体"/>
                <w:kern w:val="0"/>
                <w:sz w:val="28"/>
                <w:szCs w:val="28"/>
              </w:rPr>
              <w:t>1万间以上</w:t>
            </w:r>
          </w:p>
        </w:tc>
        <w:tc>
          <w:tcPr>
            <w:tcW w:w="2068" w:type="dxa"/>
            <w:tcBorders>
              <w:top w:val="nil"/>
              <w:left w:val="nil"/>
              <w:bottom w:val="single" w:color="auto" w:sz="6" w:space="0"/>
              <w:right w:val="single" w:color="auto" w:sz="6" w:space="0"/>
            </w:tcBorders>
            <w:tcMar>
              <w:top w:w="0" w:type="dxa"/>
              <w:left w:w="105" w:type="dxa"/>
              <w:bottom w:w="0" w:type="dxa"/>
              <w:right w:w="105" w:type="dxa"/>
            </w:tcMar>
            <w:vAlign w:val="center"/>
          </w:tcPr>
          <w:p w14:paraId="14EABF71">
            <w:pPr>
              <w:widowControl/>
              <w:spacing w:before="100" w:after="100" w:line="400" w:lineRule="exact"/>
              <w:jc w:val="center"/>
              <w:rPr>
                <w:rFonts w:ascii="宋体" w:hAnsi="宋体" w:cs="宋体"/>
                <w:kern w:val="0"/>
                <w:sz w:val="28"/>
                <w:szCs w:val="28"/>
              </w:rPr>
            </w:pPr>
            <w:r>
              <w:rPr>
                <w:rFonts w:hint="eastAsia" w:ascii="仿宋_GB2312" w:hAnsi="宋体" w:eastAsia="仿宋_GB2312" w:cs="宋体"/>
                <w:kern w:val="0"/>
                <w:sz w:val="28"/>
                <w:szCs w:val="28"/>
              </w:rPr>
              <w:t>M≥7.0级</w:t>
            </w:r>
          </w:p>
        </w:tc>
      </w:tr>
      <w:tr w14:paraId="7639D124">
        <w:tblPrEx>
          <w:tblCellMar>
            <w:top w:w="15" w:type="dxa"/>
            <w:left w:w="15" w:type="dxa"/>
            <w:bottom w:w="15" w:type="dxa"/>
            <w:right w:w="15" w:type="dxa"/>
          </w:tblCellMar>
        </w:tblPrEx>
        <w:trPr>
          <w:tblCellSpacing w:w="15" w:type="dxa"/>
        </w:trPr>
        <w:tc>
          <w:tcPr>
            <w:tcW w:w="151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BFBEC75">
            <w:pPr>
              <w:widowControl/>
              <w:spacing w:before="100" w:after="100" w:line="400" w:lineRule="exact"/>
              <w:jc w:val="center"/>
              <w:rPr>
                <w:rFonts w:ascii="宋体" w:hAnsi="宋体" w:cs="宋体"/>
                <w:kern w:val="0"/>
                <w:sz w:val="28"/>
                <w:szCs w:val="28"/>
              </w:rPr>
            </w:pPr>
            <w:r>
              <w:rPr>
                <w:rFonts w:hint="eastAsia" w:ascii="仿宋_GB2312" w:hAnsi="宋体" w:eastAsia="仿宋_GB2312" w:cs="宋体"/>
                <w:kern w:val="0"/>
                <w:sz w:val="28"/>
                <w:szCs w:val="28"/>
              </w:rPr>
              <w:t>重大地震灾害</w:t>
            </w:r>
          </w:p>
        </w:tc>
        <w:tc>
          <w:tcPr>
            <w:tcW w:w="1688" w:type="dxa"/>
            <w:tcBorders>
              <w:top w:val="nil"/>
              <w:left w:val="nil"/>
              <w:bottom w:val="single" w:color="auto" w:sz="6" w:space="0"/>
              <w:right w:val="single" w:color="auto" w:sz="6" w:space="0"/>
            </w:tcBorders>
            <w:tcMar>
              <w:top w:w="0" w:type="dxa"/>
              <w:left w:w="105" w:type="dxa"/>
              <w:bottom w:w="0" w:type="dxa"/>
              <w:right w:w="105" w:type="dxa"/>
            </w:tcMar>
            <w:vAlign w:val="center"/>
          </w:tcPr>
          <w:p w14:paraId="1C7D8F62">
            <w:pPr>
              <w:widowControl/>
              <w:spacing w:before="100" w:after="100" w:line="400" w:lineRule="exact"/>
              <w:jc w:val="center"/>
              <w:rPr>
                <w:rFonts w:ascii="宋体" w:hAnsi="宋体" w:cs="宋体"/>
                <w:kern w:val="0"/>
                <w:sz w:val="28"/>
                <w:szCs w:val="28"/>
              </w:rPr>
            </w:pPr>
            <w:r>
              <w:rPr>
                <w:rFonts w:hint="eastAsia" w:ascii="仿宋_GB2312" w:hAnsi="宋体" w:eastAsia="仿宋_GB2312" w:cs="宋体"/>
                <w:kern w:val="0"/>
                <w:sz w:val="28"/>
                <w:szCs w:val="28"/>
              </w:rPr>
              <w:t>300人以下50人以上</w:t>
            </w:r>
          </w:p>
        </w:tc>
        <w:tc>
          <w:tcPr>
            <w:tcW w:w="2127" w:type="dxa"/>
            <w:tcBorders>
              <w:top w:val="nil"/>
              <w:left w:val="nil"/>
              <w:bottom w:val="single" w:color="auto" w:sz="6" w:space="0"/>
              <w:right w:val="single" w:color="auto" w:sz="6" w:space="0"/>
            </w:tcBorders>
            <w:tcMar>
              <w:top w:w="0" w:type="dxa"/>
              <w:left w:w="105" w:type="dxa"/>
              <w:bottom w:w="0" w:type="dxa"/>
              <w:right w:w="105" w:type="dxa"/>
            </w:tcMar>
            <w:vAlign w:val="center"/>
          </w:tcPr>
          <w:p w14:paraId="581800AB">
            <w:pPr>
              <w:widowControl/>
              <w:spacing w:before="100" w:after="100" w:line="400" w:lineRule="exact"/>
              <w:jc w:val="center"/>
              <w:rPr>
                <w:rFonts w:ascii="宋体" w:hAnsi="宋体" w:cs="宋体"/>
                <w:kern w:val="0"/>
                <w:sz w:val="28"/>
                <w:szCs w:val="28"/>
              </w:rPr>
            </w:pPr>
            <w:r>
              <w:rPr>
                <w:rFonts w:hint="eastAsia" w:ascii="仿宋_GB2312" w:hAnsi="宋体" w:eastAsia="仿宋_GB2312" w:cs="宋体"/>
                <w:kern w:val="0"/>
                <w:sz w:val="28"/>
                <w:szCs w:val="28"/>
              </w:rPr>
              <w:t>10万人以下，0.5万人以上</w:t>
            </w:r>
          </w:p>
        </w:tc>
        <w:tc>
          <w:tcPr>
            <w:tcW w:w="2062" w:type="dxa"/>
            <w:tcBorders>
              <w:top w:val="nil"/>
              <w:left w:val="nil"/>
              <w:bottom w:val="single" w:color="auto" w:sz="6" w:space="0"/>
              <w:right w:val="single" w:color="auto" w:sz="6" w:space="0"/>
            </w:tcBorders>
            <w:tcMar>
              <w:top w:w="0" w:type="dxa"/>
              <w:left w:w="105" w:type="dxa"/>
              <w:bottom w:w="0" w:type="dxa"/>
              <w:right w:w="105" w:type="dxa"/>
            </w:tcMar>
            <w:vAlign w:val="center"/>
          </w:tcPr>
          <w:p w14:paraId="5FC8042C">
            <w:pPr>
              <w:widowControl/>
              <w:spacing w:before="100" w:after="100" w:line="400" w:lineRule="exact"/>
              <w:jc w:val="center"/>
              <w:rPr>
                <w:rFonts w:ascii="宋体" w:hAnsi="宋体" w:cs="宋体"/>
                <w:kern w:val="0"/>
                <w:sz w:val="28"/>
                <w:szCs w:val="28"/>
              </w:rPr>
            </w:pPr>
            <w:r>
              <w:rPr>
                <w:rFonts w:hint="eastAsia" w:ascii="仿宋_GB2312" w:hAnsi="宋体" w:eastAsia="仿宋_GB2312" w:cs="宋体"/>
                <w:kern w:val="0"/>
                <w:sz w:val="28"/>
                <w:szCs w:val="28"/>
              </w:rPr>
              <w:t>1万间以下，0.3万间以上</w:t>
            </w:r>
          </w:p>
        </w:tc>
        <w:tc>
          <w:tcPr>
            <w:tcW w:w="2068" w:type="dxa"/>
            <w:tcBorders>
              <w:top w:val="nil"/>
              <w:left w:val="nil"/>
              <w:bottom w:val="single" w:color="auto" w:sz="6" w:space="0"/>
              <w:right w:val="single" w:color="auto" w:sz="6" w:space="0"/>
            </w:tcBorders>
            <w:tcMar>
              <w:top w:w="0" w:type="dxa"/>
              <w:left w:w="105" w:type="dxa"/>
              <w:bottom w:w="0" w:type="dxa"/>
              <w:right w:w="105" w:type="dxa"/>
            </w:tcMar>
            <w:vAlign w:val="center"/>
          </w:tcPr>
          <w:p w14:paraId="6D75DB16">
            <w:pPr>
              <w:widowControl/>
              <w:spacing w:before="100" w:after="100" w:line="400" w:lineRule="exact"/>
              <w:jc w:val="center"/>
              <w:rPr>
                <w:rFonts w:ascii="宋体" w:hAnsi="宋体" w:cs="宋体"/>
                <w:kern w:val="0"/>
                <w:sz w:val="28"/>
                <w:szCs w:val="28"/>
              </w:rPr>
            </w:pPr>
            <w:r>
              <w:rPr>
                <w:rFonts w:hint="eastAsia" w:ascii="仿宋_GB2312" w:hAnsi="宋体" w:eastAsia="仿宋_GB2312" w:cs="宋体"/>
                <w:kern w:val="0"/>
                <w:sz w:val="28"/>
                <w:szCs w:val="28"/>
              </w:rPr>
              <w:t>6.0≤M&lt;7.0级</w:t>
            </w:r>
          </w:p>
        </w:tc>
      </w:tr>
      <w:tr w14:paraId="0FEF1172">
        <w:tblPrEx>
          <w:tblCellMar>
            <w:top w:w="15" w:type="dxa"/>
            <w:left w:w="15" w:type="dxa"/>
            <w:bottom w:w="15" w:type="dxa"/>
            <w:right w:w="15" w:type="dxa"/>
          </w:tblCellMar>
        </w:tblPrEx>
        <w:trPr>
          <w:tblCellSpacing w:w="15" w:type="dxa"/>
        </w:trPr>
        <w:tc>
          <w:tcPr>
            <w:tcW w:w="151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240B1D2">
            <w:pPr>
              <w:widowControl/>
              <w:spacing w:before="100" w:after="100" w:line="400" w:lineRule="exact"/>
              <w:jc w:val="center"/>
              <w:rPr>
                <w:rFonts w:ascii="宋体" w:hAnsi="宋体" w:cs="宋体"/>
                <w:kern w:val="0"/>
                <w:sz w:val="28"/>
                <w:szCs w:val="28"/>
              </w:rPr>
            </w:pPr>
            <w:r>
              <w:rPr>
                <w:rFonts w:hint="eastAsia" w:ascii="仿宋_GB2312" w:hAnsi="宋体" w:eastAsia="仿宋_GB2312" w:cs="宋体"/>
                <w:kern w:val="0"/>
                <w:sz w:val="28"/>
                <w:szCs w:val="28"/>
              </w:rPr>
              <w:t>较大地震灾害</w:t>
            </w:r>
          </w:p>
        </w:tc>
        <w:tc>
          <w:tcPr>
            <w:tcW w:w="1688" w:type="dxa"/>
            <w:tcBorders>
              <w:top w:val="nil"/>
              <w:left w:val="nil"/>
              <w:bottom w:val="single" w:color="auto" w:sz="6" w:space="0"/>
              <w:right w:val="single" w:color="auto" w:sz="6" w:space="0"/>
            </w:tcBorders>
            <w:tcMar>
              <w:top w:w="0" w:type="dxa"/>
              <w:left w:w="105" w:type="dxa"/>
              <w:bottom w:w="0" w:type="dxa"/>
              <w:right w:w="105" w:type="dxa"/>
            </w:tcMar>
            <w:vAlign w:val="center"/>
          </w:tcPr>
          <w:p w14:paraId="432C8BEF">
            <w:pPr>
              <w:widowControl/>
              <w:spacing w:before="100" w:after="100" w:line="400" w:lineRule="exact"/>
              <w:jc w:val="center"/>
              <w:rPr>
                <w:rFonts w:ascii="宋体" w:hAnsi="宋体" w:cs="宋体"/>
                <w:kern w:val="0"/>
                <w:sz w:val="28"/>
                <w:szCs w:val="28"/>
              </w:rPr>
            </w:pPr>
            <w:r>
              <w:rPr>
                <w:rFonts w:hint="eastAsia" w:ascii="仿宋_GB2312" w:hAnsi="宋体" w:eastAsia="仿宋_GB2312" w:cs="宋体"/>
                <w:kern w:val="0"/>
                <w:sz w:val="28"/>
                <w:szCs w:val="28"/>
              </w:rPr>
              <w:t>50人以下</w:t>
            </w:r>
          </w:p>
        </w:tc>
        <w:tc>
          <w:tcPr>
            <w:tcW w:w="2127" w:type="dxa"/>
            <w:tcBorders>
              <w:top w:val="nil"/>
              <w:left w:val="nil"/>
              <w:bottom w:val="single" w:color="auto" w:sz="6" w:space="0"/>
              <w:right w:val="single" w:color="auto" w:sz="6" w:space="0"/>
            </w:tcBorders>
            <w:tcMar>
              <w:top w:w="0" w:type="dxa"/>
              <w:left w:w="105" w:type="dxa"/>
              <w:bottom w:w="0" w:type="dxa"/>
              <w:right w:w="105" w:type="dxa"/>
            </w:tcMar>
            <w:vAlign w:val="center"/>
          </w:tcPr>
          <w:p w14:paraId="2431B147">
            <w:pPr>
              <w:widowControl/>
              <w:spacing w:before="100" w:after="100" w:line="400" w:lineRule="exact"/>
              <w:jc w:val="center"/>
              <w:rPr>
                <w:rFonts w:ascii="宋体" w:hAnsi="宋体" w:cs="宋体"/>
                <w:kern w:val="0"/>
                <w:sz w:val="28"/>
                <w:szCs w:val="28"/>
              </w:rPr>
            </w:pPr>
            <w:r>
              <w:rPr>
                <w:rFonts w:hint="eastAsia" w:ascii="仿宋_GB2312" w:hAnsi="宋体" w:eastAsia="仿宋_GB2312" w:cs="宋体"/>
                <w:kern w:val="0"/>
                <w:sz w:val="28"/>
                <w:szCs w:val="28"/>
              </w:rPr>
              <w:t>0.5万人以下</w:t>
            </w:r>
          </w:p>
        </w:tc>
        <w:tc>
          <w:tcPr>
            <w:tcW w:w="2062" w:type="dxa"/>
            <w:tcBorders>
              <w:top w:val="nil"/>
              <w:left w:val="nil"/>
              <w:bottom w:val="single" w:color="auto" w:sz="6" w:space="0"/>
              <w:right w:val="single" w:color="auto" w:sz="6" w:space="0"/>
            </w:tcBorders>
            <w:tcMar>
              <w:top w:w="0" w:type="dxa"/>
              <w:left w:w="105" w:type="dxa"/>
              <w:bottom w:w="0" w:type="dxa"/>
              <w:right w:w="105" w:type="dxa"/>
            </w:tcMar>
            <w:vAlign w:val="center"/>
          </w:tcPr>
          <w:p w14:paraId="4F2A7A8C">
            <w:pPr>
              <w:widowControl/>
              <w:spacing w:before="100" w:after="100" w:line="400" w:lineRule="exact"/>
              <w:jc w:val="center"/>
              <w:rPr>
                <w:rFonts w:ascii="宋体" w:hAnsi="宋体" w:cs="宋体"/>
                <w:kern w:val="0"/>
                <w:sz w:val="28"/>
                <w:szCs w:val="28"/>
              </w:rPr>
            </w:pPr>
            <w:r>
              <w:rPr>
                <w:rFonts w:hint="eastAsia" w:ascii="仿宋_GB2312" w:hAnsi="宋体" w:eastAsia="仿宋_GB2312" w:cs="宋体"/>
                <w:kern w:val="0"/>
                <w:sz w:val="28"/>
                <w:szCs w:val="28"/>
              </w:rPr>
              <w:t>0.3万间以下</w:t>
            </w:r>
          </w:p>
        </w:tc>
        <w:tc>
          <w:tcPr>
            <w:tcW w:w="2068" w:type="dxa"/>
            <w:tcBorders>
              <w:top w:val="nil"/>
              <w:left w:val="nil"/>
              <w:bottom w:val="single" w:color="auto" w:sz="6" w:space="0"/>
              <w:right w:val="single" w:color="auto" w:sz="6" w:space="0"/>
            </w:tcBorders>
            <w:tcMar>
              <w:top w:w="0" w:type="dxa"/>
              <w:left w:w="105" w:type="dxa"/>
              <w:bottom w:w="0" w:type="dxa"/>
              <w:right w:w="105" w:type="dxa"/>
            </w:tcMar>
            <w:vAlign w:val="center"/>
          </w:tcPr>
          <w:p w14:paraId="218B2CA6">
            <w:pPr>
              <w:widowControl/>
              <w:spacing w:before="100" w:after="100" w:line="400" w:lineRule="exact"/>
              <w:jc w:val="center"/>
              <w:rPr>
                <w:rFonts w:ascii="宋体" w:hAnsi="宋体" w:cs="宋体"/>
                <w:kern w:val="0"/>
                <w:sz w:val="28"/>
                <w:szCs w:val="28"/>
              </w:rPr>
            </w:pPr>
            <w:r>
              <w:rPr>
                <w:rFonts w:hint="eastAsia" w:ascii="仿宋_GB2312" w:hAnsi="宋体" w:eastAsia="仿宋_GB2312" w:cs="宋体"/>
                <w:kern w:val="0"/>
                <w:sz w:val="28"/>
                <w:szCs w:val="28"/>
              </w:rPr>
              <w:t>5.0≤M&lt;6.0级</w:t>
            </w:r>
          </w:p>
        </w:tc>
      </w:tr>
      <w:tr w14:paraId="40361F15">
        <w:tblPrEx>
          <w:tblCellMar>
            <w:top w:w="15" w:type="dxa"/>
            <w:left w:w="15" w:type="dxa"/>
            <w:bottom w:w="15" w:type="dxa"/>
            <w:right w:w="15" w:type="dxa"/>
          </w:tblCellMar>
        </w:tblPrEx>
        <w:trPr>
          <w:tblCellSpacing w:w="15" w:type="dxa"/>
        </w:trPr>
        <w:tc>
          <w:tcPr>
            <w:tcW w:w="151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9B9F82C">
            <w:pPr>
              <w:widowControl/>
              <w:spacing w:before="100" w:after="100" w:line="400" w:lineRule="exact"/>
              <w:jc w:val="center"/>
              <w:rPr>
                <w:rFonts w:ascii="宋体" w:hAnsi="宋体" w:cs="宋体"/>
                <w:kern w:val="0"/>
                <w:sz w:val="28"/>
                <w:szCs w:val="28"/>
              </w:rPr>
            </w:pPr>
            <w:r>
              <w:rPr>
                <w:rFonts w:hint="eastAsia" w:ascii="仿宋_GB2312" w:hAnsi="宋体" w:eastAsia="仿宋_GB2312" w:cs="宋体"/>
                <w:kern w:val="0"/>
                <w:sz w:val="28"/>
                <w:szCs w:val="28"/>
              </w:rPr>
              <w:t>一般地震灾害</w:t>
            </w:r>
          </w:p>
        </w:tc>
        <w:tc>
          <w:tcPr>
            <w:tcW w:w="5937"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14:paraId="028F7513">
            <w:pPr>
              <w:widowControl/>
              <w:spacing w:before="100" w:after="100" w:line="400" w:lineRule="exact"/>
              <w:jc w:val="left"/>
              <w:rPr>
                <w:rFonts w:ascii="宋体" w:hAnsi="宋体" w:cs="宋体"/>
                <w:kern w:val="0"/>
                <w:sz w:val="28"/>
                <w:szCs w:val="28"/>
              </w:rPr>
            </w:pPr>
            <w:r>
              <w:rPr>
                <w:rFonts w:hint="eastAsia" w:ascii="仿宋_GB2312" w:hAnsi="宋体" w:eastAsia="仿宋_GB2312" w:cs="宋体"/>
                <w:kern w:val="0"/>
                <w:sz w:val="28"/>
                <w:szCs w:val="28"/>
              </w:rPr>
              <w:t>地震灾害指标均明显小于较大地震灾害标准，但部分建筑物有一定损坏，造成较大范围群众恐慌。</w:t>
            </w:r>
          </w:p>
        </w:tc>
        <w:tc>
          <w:tcPr>
            <w:tcW w:w="2068" w:type="dxa"/>
            <w:tcBorders>
              <w:top w:val="nil"/>
              <w:left w:val="nil"/>
              <w:bottom w:val="single" w:color="auto" w:sz="6" w:space="0"/>
              <w:right w:val="single" w:color="auto" w:sz="6" w:space="0"/>
            </w:tcBorders>
            <w:tcMar>
              <w:top w:w="0" w:type="dxa"/>
              <w:left w:w="105" w:type="dxa"/>
              <w:bottom w:w="0" w:type="dxa"/>
              <w:right w:w="105" w:type="dxa"/>
            </w:tcMar>
            <w:vAlign w:val="center"/>
          </w:tcPr>
          <w:p w14:paraId="1C9773E6">
            <w:pPr>
              <w:widowControl/>
              <w:spacing w:before="100" w:after="100" w:line="400" w:lineRule="exact"/>
              <w:jc w:val="center"/>
              <w:rPr>
                <w:rFonts w:ascii="宋体" w:hAnsi="宋体" w:cs="宋体"/>
                <w:kern w:val="0"/>
                <w:sz w:val="28"/>
                <w:szCs w:val="28"/>
              </w:rPr>
            </w:pPr>
            <w:r>
              <w:rPr>
                <w:rFonts w:hint="eastAsia" w:ascii="仿宋_GB2312" w:hAnsi="宋体" w:eastAsia="仿宋_GB2312" w:cs="宋体"/>
                <w:kern w:val="0"/>
                <w:sz w:val="28"/>
                <w:szCs w:val="28"/>
              </w:rPr>
              <w:t>4.0≤M&lt;5.0级</w:t>
            </w:r>
          </w:p>
        </w:tc>
      </w:tr>
    </w:tbl>
    <w:p w14:paraId="44B3E9EC">
      <w:pPr>
        <w:spacing w:line="560" w:lineRule="exact"/>
        <w:ind w:firstLine="624" w:firstLineChars="200"/>
        <w:rPr>
          <w:rFonts w:ascii="仿宋_GB2312" w:eastAsia="仿宋_GB2312"/>
          <w:sz w:val="32"/>
          <w:szCs w:val="32"/>
        </w:rPr>
      </w:pPr>
      <w:r>
        <w:rPr>
          <w:rFonts w:hint="eastAsia" w:ascii="楷体_GB2312" w:eastAsia="楷体_GB2312"/>
          <w:sz w:val="32"/>
          <w:szCs w:val="32"/>
        </w:rPr>
        <w:t>（二）响应级别及指挥机构。</w:t>
      </w:r>
      <w:r>
        <w:rPr>
          <w:rFonts w:ascii="仿宋_GB2312" w:eastAsia="仿宋_GB2312"/>
          <w:sz w:val="32"/>
          <w:szCs w:val="32"/>
        </w:rPr>
        <w:t>特别重大地震</w:t>
      </w:r>
      <w:r>
        <w:rPr>
          <w:rFonts w:hint="eastAsia" w:ascii="仿宋_GB2312" w:eastAsia="仿宋_GB2312"/>
          <w:sz w:val="32"/>
          <w:szCs w:val="32"/>
        </w:rPr>
        <w:t>、</w:t>
      </w:r>
      <w:r>
        <w:rPr>
          <w:rFonts w:ascii="仿宋_GB2312" w:eastAsia="仿宋_GB2312"/>
          <w:sz w:val="32"/>
          <w:szCs w:val="32"/>
        </w:rPr>
        <w:t>重大地震</w:t>
      </w:r>
      <w:r>
        <w:rPr>
          <w:rFonts w:hint="eastAsia" w:ascii="仿宋_GB2312" w:eastAsia="仿宋_GB2312"/>
          <w:sz w:val="32"/>
          <w:szCs w:val="32"/>
        </w:rPr>
        <w:t>、</w:t>
      </w:r>
      <w:r>
        <w:rPr>
          <w:rFonts w:ascii="仿宋_GB2312" w:eastAsia="仿宋_GB2312"/>
          <w:sz w:val="32"/>
          <w:szCs w:val="32"/>
        </w:rPr>
        <w:t>较大地震灾害</w:t>
      </w:r>
      <w:r>
        <w:rPr>
          <w:rFonts w:hint="eastAsia" w:ascii="仿宋_GB2312" w:eastAsia="仿宋_GB2312"/>
          <w:sz w:val="32"/>
          <w:szCs w:val="32"/>
        </w:rPr>
        <w:t>事件发生后，启动Ⅰ</w:t>
      </w:r>
      <w:r>
        <w:rPr>
          <w:rFonts w:ascii="仿宋_GB2312" w:eastAsia="仿宋_GB2312"/>
          <w:sz w:val="32"/>
          <w:szCs w:val="32"/>
        </w:rPr>
        <w:t>级</w:t>
      </w:r>
      <w:r>
        <w:rPr>
          <w:rFonts w:hint="eastAsia" w:ascii="仿宋_GB2312" w:eastAsia="仿宋_GB2312"/>
          <w:sz w:val="32"/>
          <w:szCs w:val="32"/>
        </w:rPr>
        <w:t>响应，区指挥部在市抗震救灾指挥部的统一领导下，组织开展抗震救灾工作。</w:t>
      </w:r>
    </w:p>
    <w:p w14:paraId="5BA6AA31">
      <w:pPr>
        <w:spacing w:line="560" w:lineRule="exact"/>
        <w:ind w:firstLine="624" w:firstLineChars="200"/>
        <w:rPr>
          <w:rFonts w:ascii="仿宋_GB2312" w:eastAsia="仿宋_GB2312"/>
          <w:sz w:val="32"/>
          <w:szCs w:val="32"/>
        </w:rPr>
      </w:pPr>
      <w:r>
        <w:rPr>
          <w:rFonts w:ascii="仿宋_GB2312" w:eastAsia="仿宋_GB2312"/>
          <w:sz w:val="32"/>
          <w:szCs w:val="32"/>
        </w:rPr>
        <w:t>一般地震灾害</w:t>
      </w:r>
      <w:r>
        <w:rPr>
          <w:rFonts w:hint="eastAsia" w:ascii="仿宋_GB2312" w:eastAsia="仿宋_GB2312"/>
          <w:sz w:val="32"/>
          <w:szCs w:val="32"/>
        </w:rPr>
        <w:t>发生后，启动Ⅱ</w:t>
      </w:r>
      <w:r>
        <w:rPr>
          <w:rFonts w:ascii="仿宋_GB2312" w:eastAsia="仿宋_GB2312"/>
          <w:sz w:val="32"/>
          <w:szCs w:val="32"/>
        </w:rPr>
        <w:t>级</w:t>
      </w:r>
      <w:r>
        <w:rPr>
          <w:rFonts w:hint="eastAsia" w:ascii="仿宋_GB2312" w:eastAsia="仿宋_GB2312"/>
          <w:sz w:val="32"/>
          <w:szCs w:val="32"/>
        </w:rPr>
        <w:t>响应，区抗震救灾指挥部统一领导，组织开展抗震救灾工作。</w:t>
      </w:r>
    </w:p>
    <w:p w14:paraId="6580108C">
      <w:pPr>
        <w:spacing w:line="560" w:lineRule="exact"/>
        <w:ind w:firstLine="624" w:firstLineChars="200"/>
        <w:rPr>
          <w:rFonts w:ascii="仿宋_GB2312" w:eastAsia="仿宋_GB2312"/>
          <w:sz w:val="32"/>
          <w:szCs w:val="32"/>
        </w:rPr>
      </w:pPr>
      <w:r>
        <w:rPr>
          <w:rFonts w:hint="eastAsia" w:ascii="楷体_GB2312" w:eastAsia="楷体_GB2312"/>
          <w:sz w:val="32"/>
          <w:szCs w:val="32"/>
        </w:rPr>
        <w:t>（三）响应启动。</w:t>
      </w:r>
      <w:r>
        <w:rPr>
          <w:rFonts w:hint="eastAsia" w:ascii="仿宋_GB2312" w:eastAsia="仿宋_GB2312"/>
          <w:sz w:val="32"/>
          <w:szCs w:val="32"/>
        </w:rPr>
        <w:t>区应急分局根据初步掌握的震情、灾情，向区管委汇报并建议启动相应级别的应急响应。区管委依据预案启动应急响应，并立即召开区指挥部紧急会议，区指挥部和成员单位负责人立即到位，组织开展抢险救灾工作。</w:t>
      </w:r>
    </w:p>
    <w:p w14:paraId="199C8775">
      <w:pPr>
        <w:spacing w:line="560" w:lineRule="exact"/>
        <w:ind w:firstLine="624" w:firstLineChars="200"/>
        <w:rPr>
          <w:rFonts w:ascii="楷体_GB2312" w:eastAsia="楷体_GB2312"/>
          <w:sz w:val="32"/>
          <w:szCs w:val="32"/>
        </w:rPr>
      </w:pPr>
      <w:r>
        <w:rPr>
          <w:rFonts w:hint="eastAsia" w:ascii="楷体_GB2312" w:eastAsia="楷体_GB2312"/>
          <w:sz w:val="32"/>
          <w:szCs w:val="32"/>
        </w:rPr>
        <w:t>（四）指挥与协调。</w:t>
      </w:r>
    </w:p>
    <w:p w14:paraId="10D46EDD">
      <w:pPr>
        <w:spacing w:line="560" w:lineRule="exact"/>
        <w:ind w:firstLine="624" w:firstLineChars="200"/>
        <w:rPr>
          <w:rFonts w:ascii="仿宋_GB2312" w:eastAsia="仿宋_GB2312"/>
          <w:sz w:val="32"/>
          <w:szCs w:val="32"/>
        </w:rPr>
      </w:pPr>
      <w:r>
        <w:rPr>
          <w:rFonts w:hint="eastAsia" w:ascii="仿宋_GB2312" w:eastAsia="仿宋_GB2312"/>
          <w:sz w:val="32"/>
          <w:szCs w:val="32"/>
        </w:rPr>
        <w:t>1.区管委召开全区抗震救灾紧急会议。根据震情、灾情，决定启动抗震救灾指挥部机构，确定应急行动规模，宣布灾区进入震后应急期。及时向市政府及上级主管部门报告震情、灾情。</w:t>
      </w:r>
    </w:p>
    <w:p w14:paraId="108985B7">
      <w:pPr>
        <w:spacing w:line="560" w:lineRule="exact"/>
        <w:ind w:firstLine="624" w:firstLineChars="200"/>
        <w:rPr>
          <w:rFonts w:ascii="仿宋_GB2312" w:eastAsia="仿宋_GB2312"/>
          <w:sz w:val="32"/>
          <w:szCs w:val="32"/>
        </w:rPr>
      </w:pPr>
      <w:r>
        <w:rPr>
          <w:rFonts w:hint="eastAsia" w:ascii="仿宋_GB2312" w:eastAsia="仿宋_GB2312"/>
          <w:sz w:val="32"/>
          <w:szCs w:val="32"/>
        </w:rPr>
        <w:t>2.组建抗震救灾现场指挥部，授权直接指挥协调地震现场应急工作。</w:t>
      </w:r>
    </w:p>
    <w:p w14:paraId="2015167D">
      <w:pPr>
        <w:spacing w:line="560" w:lineRule="exact"/>
        <w:ind w:firstLine="624" w:firstLineChars="200"/>
        <w:rPr>
          <w:rFonts w:ascii="仿宋_GB2312" w:eastAsia="仿宋_GB2312"/>
          <w:sz w:val="32"/>
          <w:szCs w:val="32"/>
        </w:rPr>
      </w:pPr>
      <w:r>
        <w:rPr>
          <w:rFonts w:hint="eastAsia" w:ascii="仿宋_GB2312" w:eastAsia="仿宋_GB2312"/>
          <w:sz w:val="32"/>
          <w:szCs w:val="32"/>
        </w:rPr>
        <w:t>3.派遣公安、消防救援和地震现场工作队以及其他专业救援队伍进行应急救援。</w:t>
      </w:r>
    </w:p>
    <w:p w14:paraId="52DFBFE7">
      <w:pPr>
        <w:spacing w:line="560" w:lineRule="exact"/>
        <w:ind w:firstLine="624" w:firstLineChars="200"/>
        <w:rPr>
          <w:rFonts w:ascii="仿宋_GB2312" w:eastAsia="仿宋_GB2312"/>
          <w:sz w:val="32"/>
          <w:szCs w:val="32"/>
        </w:rPr>
      </w:pPr>
      <w:r>
        <w:rPr>
          <w:rFonts w:hint="eastAsia" w:ascii="仿宋_GB2312" w:eastAsia="仿宋_GB2312"/>
          <w:sz w:val="32"/>
          <w:szCs w:val="32"/>
        </w:rPr>
        <w:t>4.督促区相关部门及管理处组织人员抢救、工程抢险、灾民疏散和安置，对党、政机关、银行等重点目标进行保护。</w:t>
      </w:r>
    </w:p>
    <w:p w14:paraId="28E9EC27">
      <w:pPr>
        <w:spacing w:line="560" w:lineRule="exact"/>
        <w:ind w:firstLine="624" w:firstLineChars="200"/>
        <w:rPr>
          <w:rFonts w:ascii="仿宋_GB2312" w:eastAsia="仿宋_GB2312"/>
          <w:sz w:val="32"/>
          <w:szCs w:val="32"/>
        </w:rPr>
      </w:pPr>
      <w:r>
        <w:rPr>
          <w:rFonts w:hint="eastAsia" w:ascii="仿宋_GB2312" w:eastAsia="仿宋_GB2312"/>
          <w:sz w:val="32"/>
          <w:szCs w:val="32"/>
        </w:rPr>
        <w:t>5.根据情况，请求上级政府派遣地震灾害紧急救援队及驻烟部队参加抢险救灾。</w:t>
      </w:r>
    </w:p>
    <w:p w14:paraId="21987C19">
      <w:pPr>
        <w:spacing w:line="560" w:lineRule="exact"/>
        <w:ind w:firstLine="624" w:firstLineChars="200"/>
        <w:rPr>
          <w:rFonts w:ascii="楷体_GB2312" w:eastAsia="楷体_GB2312"/>
          <w:sz w:val="32"/>
          <w:szCs w:val="32"/>
        </w:rPr>
      </w:pPr>
      <w:r>
        <w:rPr>
          <w:rFonts w:hint="eastAsia" w:ascii="楷体_GB2312" w:eastAsia="楷体_GB2312"/>
          <w:sz w:val="32"/>
          <w:szCs w:val="32"/>
        </w:rPr>
        <w:t>（五）应急处置。</w:t>
      </w:r>
    </w:p>
    <w:p w14:paraId="46357BAF">
      <w:pPr>
        <w:spacing w:line="560" w:lineRule="exact"/>
        <w:ind w:firstLine="624" w:firstLineChars="200"/>
        <w:rPr>
          <w:rFonts w:ascii="仿宋_GB2312" w:eastAsia="仿宋_GB2312"/>
          <w:kern w:val="0"/>
          <w:sz w:val="32"/>
          <w:szCs w:val="32"/>
        </w:rPr>
      </w:pPr>
      <w:r>
        <w:rPr>
          <w:rFonts w:hint="eastAsia" w:ascii="仿宋_GB2312" w:eastAsia="仿宋_GB2312"/>
          <w:kern w:val="0"/>
          <w:sz w:val="32"/>
          <w:szCs w:val="32"/>
        </w:rPr>
        <w:t>1.现场指挥部。发生地震灾害后，区指挥部视情成立现场指挥部，在区指挥部的领导下组织、指挥和协调现场地震应急与救灾工作。现场抗震救灾指挥长由管委分管副主任担任。</w:t>
      </w:r>
    </w:p>
    <w:p w14:paraId="1F82CD87">
      <w:pPr>
        <w:spacing w:line="560" w:lineRule="exact"/>
        <w:ind w:firstLine="624" w:firstLineChars="200"/>
        <w:rPr>
          <w:rFonts w:ascii="仿宋_GB2312" w:eastAsia="仿宋_GB2312"/>
          <w:kern w:val="0"/>
          <w:sz w:val="32"/>
          <w:szCs w:val="32"/>
        </w:rPr>
      </w:pPr>
      <w:r>
        <w:rPr>
          <w:rFonts w:hint="eastAsia" w:ascii="仿宋_GB2312" w:eastAsia="仿宋_GB2312"/>
          <w:kern w:val="0"/>
          <w:sz w:val="32"/>
          <w:szCs w:val="32"/>
        </w:rPr>
        <w:t>2.现场工作机构。现场指挥部视情成立若干工作组，分头组织协调开展地震灾区的抢险救灾工作。</w:t>
      </w:r>
    </w:p>
    <w:p w14:paraId="768192E3">
      <w:pPr>
        <w:spacing w:line="560" w:lineRule="exact"/>
        <w:ind w:firstLine="624" w:firstLineChars="200"/>
        <w:rPr>
          <w:rFonts w:ascii="仿宋_GB2312" w:hAnsi="宋体" w:eastAsia="仿宋_GB2312"/>
          <w:kern w:val="0"/>
          <w:sz w:val="32"/>
          <w:szCs w:val="32"/>
        </w:rPr>
      </w:pPr>
      <w:bookmarkStart w:id="0" w:name="_Toc402791574"/>
      <w:r>
        <w:rPr>
          <w:rFonts w:hint="eastAsia" w:ascii="仿宋_GB2312" w:hAnsi="宋体" w:eastAsia="仿宋_GB2312"/>
          <w:kern w:val="0"/>
          <w:sz w:val="32"/>
          <w:szCs w:val="32"/>
        </w:rPr>
        <w:t>（1）综合协调组:由应急分局牵头，</w:t>
      </w:r>
      <w:r>
        <w:rPr>
          <w:rFonts w:hint="eastAsia" w:ascii="仿宋_GB2312" w:hAnsi="仿宋" w:eastAsia="仿宋_GB2312"/>
          <w:kern w:val="0"/>
          <w:sz w:val="32"/>
          <w:szCs w:val="32"/>
        </w:rPr>
        <w:t>综合管理部、经济发展部、财政金融部、消防救援大队</w:t>
      </w:r>
      <w:r>
        <w:rPr>
          <w:rFonts w:hint="eastAsia" w:ascii="仿宋_GB2312" w:hAnsi="宋体" w:eastAsia="仿宋_GB2312"/>
          <w:kern w:val="0"/>
          <w:sz w:val="32"/>
          <w:szCs w:val="32"/>
        </w:rPr>
        <w:t>组成。</w:t>
      </w:r>
    </w:p>
    <w:p w14:paraId="0118A0AC">
      <w:pPr>
        <w:spacing w:line="560" w:lineRule="exact"/>
        <w:ind w:firstLine="624" w:firstLineChars="200"/>
        <w:rPr>
          <w:rFonts w:ascii="仿宋_GB2312" w:hAnsi="宋体" w:eastAsia="仿宋_GB2312"/>
          <w:kern w:val="0"/>
          <w:sz w:val="32"/>
          <w:szCs w:val="32"/>
        </w:rPr>
      </w:pPr>
      <w:r>
        <w:rPr>
          <w:rFonts w:hint="eastAsia" w:ascii="仿宋_GB2312" w:hAnsi="宋体" w:eastAsia="仿宋_GB2312"/>
          <w:kern w:val="0"/>
          <w:sz w:val="32"/>
          <w:szCs w:val="32"/>
        </w:rPr>
        <w:t>主要职责：负责收集和汇总震情、灾情及应急救援情况；协助总指挥组织实施抗震救灾行动；负责向灾区和各有关部门传达国务院和省、市政府的指示、命令；负责提出具体的抗震救灾方案和措施建议；协调各方应急、抢险、救灾工作。部署维护救灾现场交通秩序，协调抢险救灾队伍；协调解决抢险救灾中的重大问题；及时掌握灾情、震情、险情及其发展趋势，协调跨区抗震救灾工作</w:t>
      </w:r>
      <w:r>
        <w:rPr>
          <w:rFonts w:hint="eastAsia" w:ascii="仿宋_GB2312" w:hAnsi="宋体" w:eastAsia="仿宋_GB2312" w:cs="仿宋_GB2312"/>
          <w:kern w:val="0"/>
          <w:sz w:val="32"/>
          <w:szCs w:val="32"/>
        </w:rPr>
        <w:t>，负责指挥部会议、活动和文电等事项的办理。负责组织震情、灾情、抗震救灾信息新闻发布和宣传报道工作；</w:t>
      </w:r>
      <w:r>
        <w:rPr>
          <w:rFonts w:hint="eastAsia" w:ascii="仿宋_GB2312" w:hAnsi="宋体" w:eastAsia="仿宋_GB2312"/>
          <w:kern w:val="0"/>
          <w:sz w:val="32"/>
          <w:szCs w:val="32"/>
        </w:rPr>
        <w:t>负责组织地震灾害的信息发布和舆情引导工作；</w:t>
      </w:r>
      <w:r>
        <w:rPr>
          <w:rFonts w:hint="eastAsia" w:ascii="仿宋_GB2312" w:hAnsi="宋体" w:eastAsia="仿宋_GB2312" w:cs="仿宋_GB2312"/>
          <w:kern w:val="0"/>
          <w:sz w:val="32"/>
          <w:szCs w:val="32"/>
        </w:rPr>
        <w:t>负责灾区群众的应急知识和科普知识宣传工作；负责网络舆情监控；开展舆情收集分析，组织对境外的信息发布，正确引导国内外舆论；及时澄清地震谣传或误传，安定民心。</w:t>
      </w:r>
    </w:p>
    <w:p w14:paraId="43300A60">
      <w:pPr>
        <w:spacing w:line="560" w:lineRule="exact"/>
        <w:ind w:firstLine="624" w:firstLineChars="200"/>
        <w:rPr>
          <w:rFonts w:ascii="仿宋_GB2312" w:hAnsi="宋体" w:eastAsia="仿宋_GB2312"/>
          <w:kern w:val="0"/>
          <w:sz w:val="32"/>
          <w:szCs w:val="32"/>
        </w:rPr>
      </w:pPr>
      <w:r>
        <w:rPr>
          <w:rFonts w:hint="eastAsia" w:ascii="仿宋_GB2312" w:hAnsi="宋体" w:eastAsia="仿宋_GB2312"/>
          <w:kern w:val="0"/>
          <w:sz w:val="32"/>
          <w:szCs w:val="32"/>
        </w:rPr>
        <w:t>（2）抢险救灾及次生灾害防御组：由区应急分局牵头，马山街道办事处、金山湾管理处、区规划国土建设部、综合行政执法局、经济发展部、消防救援大队、生态环境分局等单位组成。</w:t>
      </w:r>
    </w:p>
    <w:p w14:paraId="7FC31116">
      <w:pPr>
        <w:spacing w:line="560" w:lineRule="exact"/>
        <w:ind w:firstLine="624" w:firstLineChars="200"/>
        <w:rPr>
          <w:rFonts w:ascii="仿宋_GB2312" w:hAnsi="宋体" w:eastAsia="仿宋_GB2312"/>
          <w:kern w:val="0"/>
          <w:sz w:val="32"/>
          <w:szCs w:val="32"/>
        </w:rPr>
      </w:pPr>
      <w:r>
        <w:rPr>
          <w:rFonts w:hint="eastAsia" w:ascii="仿宋_GB2312" w:hAnsi="宋体" w:eastAsia="仿宋_GB2312"/>
          <w:kern w:val="0"/>
          <w:sz w:val="32"/>
          <w:szCs w:val="32"/>
        </w:rPr>
        <w:t>主要职责：负责灾区抢险救灾，组织指挥各类救援队伍，组织搜救被困群众和受伤人员；</w:t>
      </w:r>
      <w:r>
        <w:rPr>
          <w:rFonts w:hint="eastAsia" w:ascii="仿宋_GB2312" w:hAnsi="宋体" w:eastAsia="仿宋_GB2312" w:cs="仿宋_GB2312"/>
          <w:kern w:val="0"/>
          <w:sz w:val="32"/>
          <w:szCs w:val="32"/>
        </w:rPr>
        <w:t>组织各类次生灾害处置及特殊建筑物抢险；组织对可能发生次生灾害的地点和设施采取紧急防护措施；组织对重大地质灾害隐患的监测预警和危险化学品等污染物防控。</w:t>
      </w:r>
    </w:p>
    <w:p w14:paraId="60BF3DA0">
      <w:pPr>
        <w:spacing w:line="560" w:lineRule="exact"/>
        <w:ind w:firstLine="624" w:firstLineChars="200"/>
        <w:rPr>
          <w:rFonts w:ascii="仿宋_GB2312" w:hAnsi="宋体" w:eastAsia="仿宋_GB2312"/>
          <w:kern w:val="0"/>
          <w:sz w:val="32"/>
          <w:szCs w:val="32"/>
        </w:rPr>
      </w:pPr>
      <w:r>
        <w:rPr>
          <w:rFonts w:hint="eastAsia" w:ascii="仿宋_GB2312" w:hAnsi="宋体" w:eastAsia="仿宋_GB2312"/>
          <w:kern w:val="0"/>
          <w:sz w:val="32"/>
          <w:szCs w:val="32"/>
        </w:rPr>
        <w:t>（3）医疗救护防疫组：由卫生健康管理办公室牵头，马山街道办事处、金山湾管理处、</w:t>
      </w:r>
      <w:r>
        <w:rPr>
          <w:rFonts w:hint="eastAsia" w:ascii="仿宋_GB2312" w:hAnsi="宋体" w:eastAsia="仿宋_GB2312" w:cs="仿宋_GB2312"/>
          <w:kern w:val="0"/>
          <w:sz w:val="32"/>
          <w:szCs w:val="32"/>
        </w:rPr>
        <w:t>生态环境分局、</w:t>
      </w:r>
      <w:r>
        <w:rPr>
          <w:rFonts w:hint="eastAsia" w:ascii="仿宋_GB2312" w:hAnsi="宋体" w:eastAsia="仿宋_GB2312"/>
          <w:kern w:val="0"/>
          <w:sz w:val="32"/>
          <w:szCs w:val="32"/>
        </w:rPr>
        <w:t>综合行政执法局</w:t>
      </w:r>
      <w:r>
        <w:rPr>
          <w:rFonts w:hint="eastAsia" w:ascii="仿宋_GB2312" w:hAnsi="宋体" w:eastAsia="仿宋_GB2312" w:cs="仿宋_GB2312"/>
          <w:kern w:val="0"/>
          <w:sz w:val="32"/>
          <w:szCs w:val="32"/>
        </w:rPr>
        <w:t>、</w:t>
      </w:r>
      <w:r>
        <w:rPr>
          <w:rFonts w:hint="eastAsia" w:ascii="仿宋_GB2312" w:hAnsi="宋体" w:eastAsia="仿宋_GB2312"/>
          <w:kern w:val="0"/>
          <w:sz w:val="32"/>
          <w:szCs w:val="32"/>
        </w:rPr>
        <w:t>市场监管分局组成。</w:t>
      </w:r>
    </w:p>
    <w:p w14:paraId="3BA8A5BA">
      <w:pPr>
        <w:spacing w:line="560" w:lineRule="exact"/>
        <w:ind w:firstLine="624" w:firstLineChars="200"/>
        <w:rPr>
          <w:rFonts w:ascii="仿宋_GB2312" w:hAnsi="宋体" w:eastAsia="仿宋_GB2312" w:cs="仿宋_GB2312"/>
          <w:kern w:val="0"/>
          <w:sz w:val="32"/>
          <w:szCs w:val="32"/>
        </w:rPr>
      </w:pPr>
      <w:r>
        <w:rPr>
          <w:rFonts w:hint="eastAsia" w:ascii="仿宋_GB2312" w:hAnsi="宋体" w:eastAsia="仿宋_GB2312"/>
          <w:kern w:val="0"/>
          <w:sz w:val="32"/>
          <w:szCs w:val="32"/>
        </w:rPr>
        <w:t>主要职责：</w:t>
      </w:r>
      <w:r>
        <w:rPr>
          <w:rFonts w:hint="eastAsia" w:ascii="仿宋_GB2312" w:hAnsi="宋体" w:eastAsia="仿宋_GB2312" w:cs="仿宋_GB2312"/>
          <w:kern w:val="0"/>
          <w:sz w:val="32"/>
          <w:szCs w:val="32"/>
        </w:rPr>
        <w:t>负责医疗救护和卫生防疫，组织医疗救护队伍，调集医疗器械、药品，对受伤人员进行救治；监督管理灾区生活饮用水、食品卫生和药品安全，预防和控制各种疫情；负责开展对震后动物尸体的无害化处理、饲养场所的消毒，防止人畜共患传染病和动物疫情发生；组织协调殡仪馆，做好遇难人员遗体火化工作。</w:t>
      </w:r>
    </w:p>
    <w:p w14:paraId="7EE6F312">
      <w:pPr>
        <w:spacing w:line="560" w:lineRule="exact"/>
        <w:ind w:firstLine="624" w:firstLineChars="200"/>
        <w:rPr>
          <w:rFonts w:ascii="仿宋_GB2312" w:hAnsi="宋体" w:eastAsia="仿宋_GB2312" w:cs="仿宋_GB2312"/>
          <w:kern w:val="0"/>
          <w:sz w:val="32"/>
          <w:szCs w:val="32"/>
        </w:rPr>
      </w:pPr>
      <w:r>
        <w:rPr>
          <w:rFonts w:hint="eastAsia" w:ascii="仿宋_GB2312" w:hAnsi="宋体" w:eastAsia="仿宋_GB2312"/>
          <w:kern w:val="0"/>
          <w:sz w:val="32"/>
          <w:szCs w:val="32"/>
        </w:rPr>
        <w:t>（4）后勤保障组：由应急分局牵头，马山街道办事处、金山湾管理处、</w:t>
      </w:r>
      <w:r>
        <w:rPr>
          <w:rFonts w:hint="eastAsia" w:ascii="仿宋_GB2312" w:hAnsi="宋体" w:eastAsia="仿宋_GB2312" w:cs="仿宋_GB2312"/>
          <w:kern w:val="0"/>
          <w:sz w:val="32"/>
          <w:szCs w:val="32"/>
        </w:rPr>
        <w:t>经济发展部</w:t>
      </w:r>
      <w:r>
        <w:rPr>
          <w:rFonts w:hint="eastAsia" w:ascii="仿宋_GB2312" w:hAnsi="宋体" w:eastAsia="仿宋_GB2312"/>
          <w:kern w:val="0"/>
          <w:sz w:val="32"/>
          <w:szCs w:val="32"/>
        </w:rPr>
        <w:t>、招商部、</w:t>
      </w:r>
      <w:r>
        <w:rPr>
          <w:rFonts w:hint="eastAsia" w:ascii="仿宋_GB2312" w:hAnsi="宋体" w:eastAsia="仿宋_GB2312" w:cs="仿宋_GB2312"/>
          <w:kern w:val="0"/>
          <w:sz w:val="32"/>
          <w:szCs w:val="32"/>
        </w:rPr>
        <w:t>财政金融部、规划国土建设部、</w:t>
      </w:r>
      <w:r>
        <w:rPr>
          <w:rFonts w:hint="eastAsia" w:ascii="仿宋_GB2312" w:hAnsi="宋体" w:eastAsia="仿宋_GB2312"/>
          <w:kern w:val="0"/>
          <w:sz w:val="32"/>
          <w:szCs w:val="32"/>
        </w:rPr>
        <w:t>综合行政执法局、公安分局</w:t>
      </w:r>
      <w:r>
        <w:rPr>
          <w:rFonts w:hint="eastAsia" w:ascii="仿宋_GB2312" w:hAnsi="宋体" w:eastAsia="仿宋_GB2312" w:cs="仿宋_GB2312"/>
          <w:kern w:val="0"/>
          <w:sz w:val="32"/>
          <w:szCs w:val="32"/>
        </w:rPr>
        <w:t>、教育分局、</w:t>
      </w:r>
      <w:r>
        <w:rPr>
          <w:rFonts w:hint="eastAsia" w:ascii="仿宋_GB2312" w:hAnsi="宋体" w:eastAsia="仿宋_GB2312"/>
          <w:kern w:val="0"/>
          <w:sz w:val="32"/>
          <w:szCs w:val="32"/>
        </w:rPr>
        <w:t>卫生健康管理办公室、生态环境分局、市场监管分局组成。</w:t>
      </w:r>
    </w:p>
    <w:p w14:paraId="26D75DC2">
      <w:pPr>
        <w:spacing w:line="560" w:lineRule="exact"/>
        <w:ind w:firstLine="624"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主要职责：组织实施受灾群众救助工作，做好受灾群众的紧急安置，</w:t>
      </w:r>
      <w:r>
        <w:rPr>
          <w:rFonts w:hint="eastAsia" w:ascii="仿宋_GB2312" w:hAnsi="宋体" w:eastAsia="仿宋_GB2312"/>
          <w:kern w:val="0"/>
          <w:sz w:val="32"/>
          <w:szCs w:val="32"/>
        </w:rPr>
        <w:t>调配帐篷、衣被、食品、</w:t>
      </w:r>
      <w:r>
        <w:rPr>
          <w:rFonts w:hint="eastAsia" w:ascii="仿宋_GB2312" w:hAnsi="宋体" w:eastAsia="仿宋_GB2312" w:cs="仿宋_GB2312"/>
          <w:kern w:val="0"/>
          <w:sz w:val="32"/>
          <w:szCs w:val="32"/>
        </w:rPr>
        <w:t>药品、饮用水、燃料等生活必需品，保障灾区群众及救援人员基本生活需求；保障灾区市场供应；接收和安排国内捐赠，</w:t>
      </w:r>
      <w:r>
        <w:rPr>
          <w:rFonts w:hint="eastAsia" w:ascii="仿宋_GB2312" w:hAnsi="宋体" w:eastAsia="仿宋_GB2312"/>
          <w:kern w:val="0"/>
          <w:sz w:val="32"/>
          <w:szCs w:val="32"/>
        </w:rPr>
        <w:t>管理抗震救灾的捐赠事宜；负责抗震救灾所需专项资金、物资、善款的筹集、使用和管理；组织安排非政府组织和志愿者队伍参与受灾群众救助帮扶等工作。</w:t>
      </w:r>
      <w:r>
        <w:rPr>
          <w:rFonts w:hint="eastAsia" w:ascii="仿宋_GB2312" w:hAnsi="宋体" w:eastAsia="仿宋_GB2312" w:cs="仿宋_GB2312"/>
          <w:kern w:val="0"/>
          <w:sz w:val="32"/>
          <w:szCs w:val="32"/>
        </w:rPr>
        <w:t>负责震情速报、通报，组织专家研判震情趋势，</w:t>
      </w:r>
      <w:r>
        <w:rPr>
          <w:rFonts w:hint="eastAsia" w:ascii="仿宋_GB2312" w:hAnsi="宋体" w:eastAsia="仿宋_GB2312"/>
          <w:kern w:val="0"/>
          <w:sz w:val="32"/>
          <w:szCs w:val="32"/>
        </w:rPr>
        <w:t>提出趋势判定意见；</w:t>
      </w:r>
      <w:r>
        <w:rPr>
          <w:rFonts w:hint="eastAsia" w:ascii="仿宋_GB2312" w:hAnsi="宋体" w:eastAsia="仿宋_GB2312" w:cs="仿宋_GB2312"/>
          <w:kern w:val="0"/>
          <w:sz w:val="32"/>
          <w:szCs w:val="32"/>
        </w:rPr>
        <w:t>利用烈度速报网络对灾情进行快速判断；提供灾区的气象、洪涝、地质灾害及其可能发生的次生灾害等信息；组织震害调查、</w:t>
      </w:r>
      <w:r>
        <w:rPr>
          <w:rFonts w:hint="eastAsia" w:ascii="仿宋_GB2312" w:hAnsi="宋体" w:eastAsia="仿宋_GB2312"/>
          <w:kern w:val="0"/>
          <w:sz w:val="32"/>
          <w:szCs w:val="32"/>
        </w:rPr>
        <w:t>地震宏观异常和地震烈度调查</w:t>
      </w:r>
      <w:r>
        <w:rPr>
          <w:rFonts w:hint="eastAsia" w:ascii="仿宋_GB2312" w:hAnsi="宋体" w:eastAsia="仿宋_GB2312" w:cs="仿宋_GB2312"/>
          <w:kern w:val="0"/>
          <w:sz w:val="32"/>
          <w:szCs w:val="32"/>
        </w:rPr>
        <w:t>；</w:t>
      </w:r>
      <w:r>
        <w:rPr>
          <w:rFonts w:hint="eastAsia" w:ascii="仿宋_GB2312" w:hAnsi="宋体" w:eastAsia="仿宋_GB2312"/>
          <w:kern w:val="0"/>
          <w:sz w:val="32"/>
          <w:szCs w:val="32"/>
        </w:rPr>
        <w:t>编写上报地震调查报告；为抗震救灾指挥部应急指挥决策提供政策法规和技术支撑。</w:t>
      </w:r>
    </w:p>
    <w:p w14:paraId="6ADB0A77">
      <w:pPr>
        <w:spacing w:line="560" w:lineRule="exact"/>
        <w:ind w:firstLine="624" w:firstLineChars="200"/>
        <w:rPr>
          <w:rFonts w:ascii="仿宋_GB2312" w:hAnsi="宋体" w:eastAsia="仿宋_GB2312"/>
          <w:kern w:val="0"/>
          <w:sz w:val="32"/>
          <w:szCs w:val="32"/>
        </w:rPr>
      </w:pPr>
      <w:r>
        <w:rPr>
          <w:rFonts w:hint="eastAsia" w:ascii="仿宋_GB2312" w:hAnsi="宋体" w:eastAsia="仿宋_GB2312"/>
          <w:kern w:val="0"/>
          <w:sz w:val="32"/>
          <w:szCs w:val="32"/>
        </w:rPr>
        <w:t>（5）交通保障及社会治安组：由</w:t>
      </w:r>
      <w:r>
        <w:rPr>
          <w:rFonts w:hint="eastAsia" w:ascii="仿宋_GB2312" w:hAnsi="宋体" w:eastAsia="仿宋_GB2312" w:cs="仿宋_GB2312"/>
          <w:kern w:val="0"/>
          <w:sz w:val="32"/>
          <w:szCs w:val="32"/>
        </w:rPr>
        <w:t>规划国土建设部</w:t>
      </w:r>
      <w:r>
        <w:rPr>
          <w:rFonts w:hint="eastAsia" w:ascii="仿宋_GB2312" w:hAnsi="宋体" w:eastAsia="仿宋_GB2312"/>
          <w:kern w:val="0"/>
          <w:sz w:val="32"/>
          <w:szCs w:val="32"/>
        </w:rPr>
        <w:t>牵头，</w:t>
      </w:r>
      <w:r>
        <w:rPr>
          <w:rFonts w:hint="eastAsia" w:ascii="仿宋_GB2312" w:hAnsi="宋体" w:eastAsia="仿宋_GB2312" w:cs="仿宋_GB2312"/>
          <w:kern w:val="0"/>
          <w:sz w:val="32"/>
          <w:szCs w:val="32"/>
        </w:rPr>
        <w:t>经济发展部、</w:t>
      </w:r>
      <w:r>
        <w:rPr>
          <w:rFonts w:hint="eastAsia" w:ascii="仿宋_GB2312" w:hAnsi="宋体" w:eastAsia="仿宋_GB2312"/>
          <w:kern w:val="0"/>
          <w:sz w:val="32"/>
          <w:szCs w:val="32"/>
        </w:rPr>
        <w:t>综合行政执法局、</w:t>
      </w:r>
      <w:r>
        <w:rPr>
          <w:rFonts w:hint="eastAsia" w:ascii="仿宋_GB2312" w:hAnsi="宋体" w:eastAsia="仿宋_GB2312" w:cs="仿宋_GB2312"/>
          <w:kern w:val="0"/>
          <w:sz w:val="32"/>
          <w:szCs w:val="32"/>
        </w:rPr>
        <w:t>生态环境分局、公安分局、</w:t>
      </w:r>
      <w:r>
        <w:rPr>
          <w:rFonts w:hint="eastAsia" w:ascii="仿宋_GB2312" w:hAnsi="宋体" w:eastAsia="仿宋_GB2312"/>
          <w:kern w:val="0"/>
          <w:sz w:val="32"/>
          <w:szCs w:val="32"/>
        </w:rPr>
        <w:t>马山街道办事处、金山湾管理处、移动公司高新区分公司、联通公司高新区分公司、电信公司高新区分公司组成。</w:t>
      </w:r>
    </w:p>
    <w:p w14:paraId="7619D3FE">
      <w:pPr>
        <w:spacing w:line="560" w:lineRule="exact"/>
        <w:ind w:firstLine="624" w:firstLineChars="200"/>
        <w:rPr>
          <w:rFonts w:ascii="仿宋_GB2312" w:hAnsi="宋体" w:eastAsia="仿宋_GB2312"/>
          <w:kern w:val="0"/>
          <w:sz w:val="32"/>
          <w:szCs w:val="32"/>
        </w:rPr>
      </w:pPr>
      <w:r>
        <w:rPr>
          <w:rFonts w:hint="eastAsia" w:ascii="仿宋_GB2312" w:hAnsi="宋体" w:eastAsia="仿宋_GB2312"/>
          <w:kern w:val="0"/>
          <w:sz w:val="32"/>
          <w:szCs w:val="32"/>
        </w:rPr>
        <w:t>主要职责：负责抢修被毁坏的公路、轨道、桥梁等重要设施；负责交通管制，建立应急救援通道，确保救援车辆通行畅通；紧急调拨运输工具，保障抢险救援人员、物资运输、伤员转运及受灾群众</w:t>
      </w:r>
      <w:r>
        <w:rPr>
          <w:rFonts w:hint="eastAsia" w:ascii="仿宋_GB2312" w:hAnsi="宋体" w:eastAsia="仿宋_GB2312" w:cs="仿宋_GB2312"/>
          <w:kern w:val="0"/>
          <w:sz w:val="32"/>
          <w:szCs w:val="32"/>
        </w:rPr>
        <w:t>和旅游景区的游客疏散</w:t>
      </w:r>
      <w:r>
        <w:rPr>
          <w:rFonts w:hint="eastAsia" w:ascii="仿宋_GB2312" w:hAnsi="宋体" w:eastAsia="仿宋_GB2312"/>
          <w:kern w:val="0"/>
          <w:sz w:val="32"/>
          <w:szCs w:val="32"/>
        </w:rPr>
        <w:t>；负责组织通讯、供水、排水、供电、供气、供热等城市基础设施工程抢修；负责水库安全，组织水利设施抢险抢修，监测水质和防控污染，研究解决饮用水水源安全问题；负责清理灾区现场，对危险建筑物实施工程排险，</w:t>
      </w:r>
      <w:r>
        <w:rPr>
          <w:rFonts w:hint="eastAsia" w:ascii="仿宋_GB2312" w:hAnsi="宋体" w:eastAsia="仿宋_GB2312" w:cs="仿宋_GB2312"/>
          <w:kern w:val="0"/>
          <w:sz w:val="32"/>
          <w:szCs w:val="32"/>
        </w:rPr>
        <w:t>负责组织应急处置后期房屋安全评估。</w:t>
      </w:r>
      <w:r>
        <w:rPr>
          <w:rFonts w:hint="eastAsia" w:ascii="仿宋_GB2312" w:hAnsi="宋体" w:eastAsia="仿宋_GB2312"/>
          <w:kern w:val="0"/>
          <w:sz w:val="32"/>
          <w:szCs w:val="32"/>
        </w:rPr>
        <w:t>负责组织协调、维护震后社会治安秩序，确保人民群众生命财产安全。</w:t>
      </w:r>
      <w:r>
        <w:rPr>
          <w:rFonts w:hint="eastAsia" w:ascii="仿宋_GB2312" w:hAnsi="宋体" w:eastAsia="仿宋_GB2312" w:cs="仿宋_GB2312"/>
          <w:kern w:val="0"/>
          <w:sz w:val="32"/>
          <w:szCs w:val="32"/>
        </w:rPr>
        <w:t>负责灾区治安管理和安全保卫工作，预防和打击</w:t>
      </w:r>
      <w:r>
        <w:rPr>
          <w:rFonts w:hint="eastAsia" w:ascii="仿宋_GB2312" w:hAnsi="宋体" w:eastAsia="仿宋_GB2312"/>
          <w:kern w:val="0"/>
          <w:sz w:val="32"/>
          <w:szCs w:val="32"/>
        </w:rPr>
        <w:t>打砸盗抢等</w:t>
      </w:r>
      <w:r>
        <w:rPr>
          <w:rFonts w:hint="eastAsia" w:ascii="仿宋_GB2312" w:hAnsi="宋体" w:eastAsia="仿宋_GB2312" w:cs="仿宋_GB2312"/>
          <w:kern w:val="0"/>
          <w:sz w:val="32"/>
          <w:szCs w:val="32"/>
        </w:rPr>
        <w:t>各种违法犯罪活动，加强社会治安秩序管控，维护道路交通秩序；协调相关部门疏导解决由地震引发的各种社会矛盾，维护社会秩序稳定；组织对党政机关、要害部门、金融单位、储备仓库等重要场所的警戒。</w:t>
      </w:r>
    </w:p>
    <w:bookmarkEnd w:id="0"/>
    <w:p w14:paraId="040FA56F">
      <w:pPr>
        <w:spacing w:line="560" w:lineRule="exact"/>
        <w:ind w:firstLine="624" w:firstLineChars="200"/>
        <w:rPr>
          <w:rFonts w:ascii="仿宋_GB2312" w:eastAsia="仿宋_GB2312"/>
          <w:kern w:val="0"/>
          <w:sz w:val="32"/>
          <w:szCs w:val="32"/>
        </w:rPr>
      </w:pPr>
      <w:r>
        <w:rPr>
          <w:rFonts w:hint="eastAsia" w:ascii="仿宋_GB2312" w:eastAsia="仿宋_GB2312"/>
          <w:kern w:val="0"/>
          <w:sz w:val="32"/>
          <w:szCs w:val="32"/>
        </w:rPr>
        <w:t>3.工作纪律及规定。严格执行地震现场应急工作纪律，自觉听从指挥，做到统一部署、统一要求、统一调配、统一行动。认真执行地震现场工作规定，坚持统一宣传口径，严守保密规定。各成员单位现场应急工作自我保障能力不低于3日量，各应急小组牵头单位应根据需要搭建应急指挥所。</w:t>
      </w:r>
    </w:p>
    <w:p w14:paraId="01A55D4C">
      <w:pPr>
        <w:spacing w:line="560" w:lineRule="exact"/>
        <w:ind w:firstLine="624" w:firstLineChars="200"/>
        <w:rPr>
          <w:rFonts w:ascii="仿宋_GB2312" w:eastAsia="仿宋_GB2312"/>
          <w:sz w:val="32"/>
          <w:szCs w:val="32"/>
        </w:rPr>
      </w:pPr>
      <w:r>
        <w:rPr>
          <w:rFonts w:hint="eastAsia" w:ascii="仿宋_GB2312" w:eastAsia="仿宋_GB2312"/>
          <w:kern w:val="0"/>
          <w:sz w:val="32"/>
          <w:szCs w:val="32"/>
        </w:rPr>
        <w:t>4.应急结束。当地震灾害事件紧急处置工作基本完成，地震引发次生灾害基本消除或得到有效控制，震情趋势判断结果认为近期没有再次发生破坏性地震的可能，地震灾区生产生活和社会秩序基本稳定时，区指挥部宣布应急期结束，抗震救灾工作转入灾后恢复重建阶段。</w:t>
      </w:r>
    </w:p>
    <w:p w14:paraId="6AA80ADF">
      <w:pPr>
        <w:spacing w:line="560" w:lineRule="exact"/>
        <w:ind w:firstLine="624" w:firstLineChars="200"/>
        <w:rPr>
          <w:rFonts w:ascii="仿宋_GB2312" w:eastAsia="仿宋_GB2312"/>
          <w:sz w:val="32"/>
          <w:szCs w:val="32"/>
        </w:rPr>
      </w:pPr>
      <w:r>
        <w:rPr>
          <w:rFonts w:hint="eastAsia" w:ascii="黑体" w:hAnsi="黑体" w:eastAsia="黑体"/>
          <w:sz w:val="32"/>
          <w:szCs w:val="32"/>
        </w:rPr>
        <w:t>四、应急保障</w:t>
      </w:r>
    </w:p>
    <w:p w14:paraId="06942BEA">
      <w:pPr>
        <w:keepNext/>
        <w:keepLines/>
        <w:spacing w:line="560" w:lineRule="exact"/>
        <w:ind w:firstLine="624" w:firstLineChars="200"/>
        <w:rPr>
          <w:rFonts w:ascii="Cambria" w:hAnsi="Cambria" w:eastAsia="楷体_GB2312"/>
          <w:bCs/>
          <w:sz w:val="32"/>
          <w:szCs w:val="32"/>
        </w:rPr>
      </w:pPr>
      <w:bookmarkStart w:id="1" w:name="_Toc317668463"/>
      <w:bookmarkStart w:id="2" w:name="_Toc31952"/>
      <w:bookmarkStart w:id="3" w:name="_Toc13583"/>
      <w:bookmarkStart w:id="4" w:name="_Toc30399"/>
      <w:bookmarkStart w:id="5" w:name="_Toc15249"/>
      <w:bookmarkStart w:id="6" w:name="_Toc14971"/>
      <w:bookmarkStart w:id="7" w:name="_Toc18509"/>
      <w:bookmarkStart w:id="8" w:name="_Toc4179"/>
      <w:bookmarkStart w:id="9" w:name="_Toc25441"/>
      <w:bookmarkStart w:id="10" w:name="_Toc5326"/>
      <w:bookmarkStart w:id="11" w:name="_Toc2283"/>
      <w:bookmarkStart w:id="12" w:name="_Toc37941935"/>
      <w:bookmarkStart w:id="13" w:name="_Toc37942404"/>
      <w:bookmarkStart w:id="14" w:name="_Toc37942120"/>
      <w:bookmarkStart w:id="15" w:name="_Toc78884531"/>
      <w:bookmarkStart w:id="16" w:name="_Toc101894225"/>
      <w:bookmarkStart w:id="17" w:name="_Toc101939138"/>
      <w:bookmarkStart w:id="18" w:name="_Toc101938818"/>
      <w:bookmarkStart w:id="19" w:name="_Toc76972968"/>
      <w:bookmarkStart w:id="20" w:name="_Toc78943094"/>
      <w:bookmarkStart w:id="21" w:name="_Toc106377111"/>
      <w:bookmarkStart w:id="22" w:name="_Toc79647066"/>
      <w:bookmarkStart w:id="23" w:name="_Toc101938585"/>
      <w:bookmarkStart w:id="24" w:name="_Toc118880938"/>
      <w:bookmarkStart w:id="25" w:name="_Toc101938272"/>
      <w:bookmarkStart w:id="26" w:name="_Toc78812164"/>
      <w:bookmarkStart w:id="27" w:name="_Toc101948290"/>
      <w:bookmarkStart w:id="28" w:name="_Toc101950956"/>
      <w:r>
        <w:rPr>
          <w:rFonts w:hint="eastAsia" w:ascii="Cambria" w:hAnsi="Cambria" w:eastAsia="楷体_GB2312"/>
          <w:bCs/>
          <w:sz w:val="32"/>
          <w:szCs w:val="32"/>
        </w:rPr>
        <w:t>（一）资金、救援装备物资</w:t>
      </w:r>
      <w:bookmarkEnd w:id="1"/>
      <w:bookmarkEnd w:id="2"/>
      <w:bookmarkEnd w:id="3"/>
      <w:bookmarkEnd w:id="4"/>
      <w:bookmarkEnd w:id="5"/>
      <w:bookmarkEnd w:id="6"/>
      <w:bookmarkEnd w:id="7"/>
      <w:bookmarkEnd w:id="8"/>
      <w:bookmarkEnd w:id="9"/>
      <w:bookmarkEnd w:id="10"/>
      <w:bookmarkEnd w:id="11"/>
      <w:r>
        <w:rPr>
          <w:rFonts w:hint="eastAsia" w:ascii="Cambria" w:hAnsi="Cambria" w:eastAsia="楷体_GB2312"/>
          <w:bCs/>
          <w:sz w:val="32"/>
          <w:szCs w:val="32"/>
        </w:rPr>
        <w:t>和交通运输保障</w:t>
      </w:r>
      <w:bookmarkEnd w:id="12"/>
      <w:bookmarkEnd w:id="13"/>
      <w:bookmarkEnd w:id="14"/>
    </w:p>
    <w:p w14:paraId="66D3525C">
      <w:pPr>
        <w:spacing w:line="560" w:lineRule="exact"/>
        <w:ind w:firstLine="608" w:firstLineChars="200"/>
        <w:rPr>
          <w:rFonts w:ascii="仿宋_GB2312" w:hAnsi="宋体" w:eastAsia="仿宋_GB2312"/>
          <w:spacing w:val="-4"/>
          <w:sz w:val="32"/>
          <w:szCs w:val="32"/>
        </w:rPr>
      </w:pPr>
      <w:r>
        <w:rPr>
          <w:rFonts w:hint="eastAsia" w:ascii="仿宋_GB2312" w:hAnsi="宋体" w:eastAsia="仿宋_GB2312"/>
          <w:spacing w:val="-4"/>
          <w:sz w:val="32"/>
          <w:szCs w:val="32"/>
        </w:rPr>
        <w:t>区应急分局、区财政金融部等部门依据有关法律法规要求，安排应急救援资金预算，建立救灾资金保障机制。</w:t>
      </w:r>
      <w:r>
        <w:rPr>
          <w:rFonts w:hint="eastAsia" w:ascii="仿宋_GB2312" w:hAnsi="宋体" w:eastAsia="仿宋_GB2312"/>
          <w:sz w:val="32"/>
          <w:szCs w:val="32"/>
        </w:rPr>
        <w:t>处置突发事件所需各项经费, 按照现行事权、财权划分原则, 由区财政部门负担。</w:t>
      </w:r>
    </w:p>
    <w:p w14:paraId="14E326EE">
      <w:pPr>
        <w:spacing w:line="560" w:lineRule="exact"/>
        <w:ind w:firstLine="608" w:firstLineChars="200"/>
        <w:rPr>
          <w:rFonts w:ascii="仿宋_GB2312" w:hAnsi="宋体" w:eastAsia="仿宋_GB2312"/>
          <w:spacing w:val="-4"/>
          <w:sz w:val="32"/>
          <w:szCs w:val="32"/>
        </w:rPr>
      </w:pPr>
      <w:r>
        <w:rPr>
          <w:rFonts w:hint="eastAsia" w:ascii="仿宋_GB2312" w:hAnsi="宋体" w:eastAsia="仿宋_GB2312"/>
          <w:spacing w:val="-4"/>
          <w:sz w:val="32"/>
          <w:szCs w:val="32"/>
        </w:rPr>
        <w:t>区应急、发改、交通、卫健、商务、工信等部门按照有关规定储备抗震救灾物资、</w:t>
      </w:r>
      <w:r>
        <w:rPr>
          <w:rFonts w:hint="eastAsia" w:ascii="仿宋_GB2312" w:hAnsi="宋体" w:eastAsia="仿宋_GB2312"/>
          <w:sz w:val="32"/>
          <w:szCs w:val="32"/>
        </w:rPr>
        <w:t>救援装备，</w:t>
      </w:r>
      <w:r>
        <w:rPr>
          <w:rFonts w:hint="eastAsia" w:ascii="仿宋_GB2312" w:hAnsi="宋体" w:eastAsia="仿宋_GB2312"/>
          <w:spacing w:val="-4"/>
          <w:sz w:val="32"/>
          <w:szCs w:val="32"/>
        </w:rPr>
        <w:t>建立各类装备、物资、运输工具调用机制；加强各级各类应急救援队伍装备配备；区应急分局会同有关部门调查统计社会现有大型救援装备、设备，建立地震应急救援资源数据库（主要包括大型救援装备及特种救援设备的性能、数量、存放位置、产权等信息）</w:t>
      </w:r>
      <w:bookmarkStart w:id="29" w:name="_Toc25229"/>
      <w:bookmarkStart w:id="30" w:name="_Toc10251"/>
      <w:bookmarkStart w:id="31" w:name="_Toc27956"/>
      <w:bookmarkStart w:id="32" w:name="_Toc7987"/>
      <w:bookmarkStart w:id="33" w:name="_Toc25037"/>
      <w:bookmarkStart w:id="34" w:name="_Toc317668464"/>
      <w:bookmarkStart w:id="35" w:name="_Toc22613"/>
      <w:bookmarkStart w:id="36" w:name="_Toc2131"/>
      <w:bookmarkStart w:id="37" w:name="_Toc16112"/>
      <w:bookmarkStart w:id="38" w:name="_Toc1250"/>
      <w:bookmarkStart w:id="39" w:name="_Toc23830"/>
      <w:r>
        <w:rPr>
          <w:rFonts w:hint="eastAsia" w:ascii="仿宋_GB2312" w:hAnsi="宋体" w:eastAsia="仿宋_GB2312"/>
          <w:spacing w:val="-4"/>
          <w:sz w:val="32"/>
          <w:szCs w:val="32"/>
        </w:rPr>
        <w:t>，以备调用和征用。</w:t>
      </w: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14793B22">
      <w:pPr>
        <w:keepNext/>
        <w:keepLines/>
        <w:spacing w:line="560" w:lineRule="exact"/>
        <w:ind w:firstLine="624" w:firstLineChars="200"/>
        <w:rPr>
          <w:rFonts w:ascii="Cambria" w:hAnsi="Cambria" w:eastAsia="楷体_GB2312"/>
          <w:bCs/>
          <w:sz w:val="32"/>
          <w:szCs w:val="32"/>
        </w:rPr>
      </w:pPr>
      <w:bookmarkStart w:id="40" w:name="_Toc101939148"/>
      <w:bookmarkStart w:id="41" w:name="_Toc20794"/>
      <w:bookmarkStart w:id="42" w:name="_Toc78812172"/>
      <w:bookmarkStart w:id="43" w:name="_Toc13330"/>
      <w:bookmarkStart w:id="44" w:name="_Toc317668466"/>
      <w:bookmarkStart w:id="45" w:name="_Toc28302"/>
      <w:bookmarkStart w:id="46" w:name="_Toc684"/>
      <w:bookmarkStart w:id="47" w:name="_Toc106377121"/>
      <w:bookmarkStart w:id="48" w:name="_Toc2062"/>
      <w:bookmarkStart w:id="49" w:name="_Toc101938282"/>
      <w:bookmarkStart w:id="50" w:name="_Toc79647074"/>
      <w:bookmarkStart w:id="51" w:name="_Toc10120"/>
      <w:bookmarkStart w:id="52" w:name="_Toc20412"/>
      <w:bookmarkStart w:id="53" w:name="_Toc14861"/>
      <w:bookmarkStart w:id="54" w:name="_Toc24123"/>
      <w:bookmarkStart w:id="55" w:name="_Toc37942405"/>
      <w:bookmarkStart w:id="56" w:name="_Toc101938595"/>
      <w:bookmarkStart w:id="57" w:name="_Toc101938828"/>
      <w:bookmarkStart w:id="58" w:name="_Toc25042"/>
      <w:bookmarkStart w:id="59" w:name="_Toc37942121"/>
      <w:bookmarkStart w:id="60" w:name="_Toc101950966"/>
      <w:bookmarkStart w:id="61" w:name="_Toc37941936"/>
      <w:bookmarkStart w:id="62" w:name="_Toc118880940"/>
      <w:bookmarkStart w:id="63" w:name="_Toc78943102"/>
      <w:bookmarkStart w:id="64" w:name="_Toc101894235"/>
      <w:bookmarkStart w:id="65" w:name="_Toc101948300"/>
      <w:bookmarkStart w:id="66" w:name="_Toc76972976"/>
      <w:bookmarkStart w:id="67" w:name="_Toc78884539"/>
      <w:r>
        <w:rPr>
          <w:rFonts w:hint="eastAsia" w:ascii="Cambria" w:hAnsi="Cambria" w:eastAsia="楷体_GB2312"/>
          <w:bCs/>
          <w:sz w:val="32"/>
          <w:szCs w:val="32"/>
        </w:rPr>
        <w:t>（二）应急避难场所</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653DBCF">
      <w:pPr>
        <w:spacing w:line="560" w:lineRule="exact"/>
        <w:ind w:firstLine="624" w:firstLineChars="200"/>
        <w:rPr>
          <w:rFonts w:ascii="仿宋_GB2312" w:hAnsi="宋体" w:eastAsia="仿宋_GB2312"/>
          <w:sz w:val="32"/>
          <w:szCs w:val="32"/>
        </w:rPr>
      </w:pPr>
      <w:r>
        <w:rPr>
          <w:rFonts w:hint="eastAsia" w:ascii="仿宋_GB2312" w:hAnsi="宋体" w:eastAsia="仿宋_GB2312"/>
          <w:sz w:val="32"/>
          <w:szCs w:val="32"/>
        </w:rPr>
        <w:t>把应急避难场所建设纳入当地城乡建设规划，要结合旧城改造和新区建设，规划建设并利用现有的公园、绿地、广场、体育场馆、停车场、学校操场、人防疏散基地以及其他空地设立满足应急避险需求的地震应急避难场所，制定应急疏散方案，并组织疏散演练。</w:t>
      </w:r>
    </w:p>
    <w:p w14:paraId="7EEBB9C5">
      <w:pPr>
        <w:keepNext/>
        <w:keepLines/>
        <w:spacing w:line="560" w:lineRule="exact"/>
        <w:ind w:firstLine="624" w:firstLineChars="200"/>
        <w:rPr>
          <w:rFonts w:ascii="Cambria" w:hAnsi="Cambria" w:eastAsia="楷体_GB2312"/>
          <w:bCs/>
          <w:sz w:val="32"/>
          <w:szCs w:val="32"/>
        </w:rPr>
      </w:pPr>
      <w:bookmarkStart w:id="68" w:name="_Toc37942406"/>
      <w:bookmarkStart w:id="69" w:name="_Toc37942122"/>
      <w:bookmarkStart w:id="70" w:name="_Toc37941937"/>
      <w:r>
        <w:rPr>
          <w:rFonts w:hint="eastAsia" w:ascii="Cambria" w:hAnsi="Cambria" w:eastAsia="楷体_GB2312"/>
          <w:bCs/>
          <w:sz w:val="32"/>
          <w:szCs w:val="32"/>
        </w:rPr>
        <w:t>（三）</w:t>
      </w:r>
      <w:bookmarkEnd w:id="68"/>
      <w:bookmarkEnd w:id="69"/>
      <w:bookmarkEnd w:id="70"/>
      <w:bookmarkStart w:id="71" w:name="_Toc294"/>
      <w:bookmarkStart w:id="72" w:name="_Toc19351"/>
      <w:bookmarkStart w:id="73" w:name="_Toc78812173"/>
      <w:bookmarkStart w:id="74" w:name="_Toc78884540"/>
      <w:bookmarkStart w:id="75" w:name="_Toc16271"/>
      <w:bookmarkStart w:id="76" w:name="_Toc76972977"/>
      <w:bookmarkStart w:id="77" w:name="_Toc101894236"/>
      <w:bookmarkStart w:id="78" w:name="_Toc101938283"/>
      <w:bookmarkStart w:id="79" w:name="_Toc106377124"/>
      <w:bookmarkStart w:id="80" w:name="_Toc104946447"/>
      <w:bookmarkStart w:id="81" w:name="_Toc78943103"/>
      <w:bookmarkStart w:id="82" w:name="_Toc14140"/>
      <w:bookmarkStart w:id="83" w:name="_Toc31658"/>
      <w:bookmarkStart w:id="84" w:name="_Toc101948301"/>
      <w:bookmarkStart w:id="85" w:name="_Toc13918"/>
      <w:bookmarkStart w:id="86" w:name="_Toc101939149"/>
      <w:bookmarkStart w:id="87" w:name="_Toc79647075"/>
      <w:bookmarkStart w:id="88" w:name="_Toc79569053"/>
      <w:bookmarkStart w:id="89" w:name="_Toc79646830"/>
      <w:bookmarkStart w:id="90" w:name="_Toc28368"/>
      <w:bookmarkStart w:id="91" w:name="_Toc101938829"/>
      <w:bookmarkStart w:id="92" w:name="_Toc101938596"/>
      <w:bookmarkStart w:id="93" w:name="_Toc317668467"/>
      <w:bookmarkStart w:id="94" w:name="_Toc79569532"/>
      <w:bookmarkStart w:id="95" w:name="_Toc101950967"/>
      <w:bookmarkStart w:id="96" w:name="_Toc32673"/>
      <w:bookmarkStart w:id="97" w:name="_Toc9274"/>
      <w:bookmarkStart w:id="98" w:name="_Toc6190"/>
      <w:bookmarkStart w:id="99" w:name="_Toc118880941"/>
      <w:bookmarkStart w:id="100" w:name="_Toc37942123"/>
      <w:bookmarkStart w:id="101" w:name="_Toc37942407"/>
      <w:bookmarkStart w:id="102" w:name="_Toc37941938"/>
      <w:bookmarkStart w:id="103" w:name="_Toc101950968"/>
      <w:bookmarkStart w:id="104" w:name="_Toc101939150"/>
      <w:bookmarkStart w:id="105" w:name="_Toc78812174"/>
      <w:bookmarkStart w:id="106" w:name="_Toc101938284"/>
      <w:bookmarkStart w:id="107" w:name="_Toc101938830"/>
      <w:bookmarkStart w:id="108" w:name="_Toc79569054"/>
      <w:bookmarkStart w:id="109" w:name="_Toc78943104"/>
      <w:bookmarkStart w:id="110" w:name="_Toc78884541"/>
      <w:bookmarkStart w:id="111" w:name="_Toc101938597"/>
      <w:bookmarkStart w:id="112" w:name="_Toc79646831"/>
      <w:bookmarkStart w:id="113" w:name="_Toc104946448"/>
      <w:bookmarkStart w:id="114" w:name="_Toc101894237"/>
      <w:bookmarkStart w:id="115" w:name="_Toc106377125"/>
      <w:bookmarkStart w:id="116" w:name="_Toc76972980"/>
      <w:bookmarkStart w:id="117" w:name="_Toc101948302"/>
      <w:bookmarkStart w:id="118" w:name="_Toc79569533"/>
      <w:bookmarkStart w:id="119" w:name="_Toc79647076"/>
      <w:r>
        <w:rPr>
          <w:rFonts w:hint="eastAsia" w:ascii="Cambria" w:hAnsi="Cambria" w:eastAsia="楷体_GB2312"/>
          <w:bCs/>
          <w:sz w:val="32"/>
          <w:szCs w:val="32"/>
        </w:rPr>
        <w:t>应急指挥技术系统</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hint="eastAsia" w:ascii="Cambria" w:hAnsi="Cambria" w:eastAsia="楷体_GB2312"/>
          <w:bCs/>
          <w:sz w:val="32"/>
          <w:szCs w:val="32"/>
        </w:rPr>
        <w:t>、通讯系统及其它技术支撑</w:t>
      </w:r>
      <w:bookmarkEnd w:id="100"/>
      <w:bookmarkEnd w:id="101"/>
      <w:bookmarkEnd w:id="102"/>
    </w:p>
    <w:p w14:paraId="5314C2FD">
      <w:pPr>
        <w:spacing w:line="560" w:lineRule="exact"/>
        <w:ind w:firstLine="608" w:firstLineChars="200"/>
        <w:rPr>
          <w:rFonts w:ascii="仿宋_GB2312" w:hAnsi="宋体" w:eastAsia="仿宋_GB2312"/>
          <w:sz w:val="32"/>
          <w:szCs w:val="32"/>
        </w:rPr>
      </w:pPr>
      <w:r>
        <w:rPr>
          <w:rFonts w:hint="eastAsia" w:ascii="仿宋_GB2312" w:hAnsi="宋体" w:eastAsia="仿宋_GB2312"/>
          <w:spacing w:val="-4"/>
          <w:sz w:val="32"/>
          <w:szCs w:val="32"/>
        </w:rPr>
        <w:t>区应急分局</w:t>
      </w:r>
      <w:r>
        <w:rPr>
          <w:rFonts w:hint="eastAsia" w:ascii="仿宋_GB2312" w:hAnsi="宋体" w:eastAsia="仿宋_GB2312"/>
          <w:sz w:val="32"/>
          <w:szCs w:val="32"/>
        </w:rPr>
        <w:t>负责区应急指挥技术系统的维护、运行与技术更新，形成省、市、区三级互联互通的应急指挥技术平台。</w:t>
      </w:r>
    </w:p>
    <w:p w14:paraId="21530CCC">
      <w:pPr>
        <w:spacing w:line="560" w:lineRule="exact"/>
        <w:ind w:firstLine="624" w:firstLineChars="200"/>
        <w:rPr>
          <w:rFonts w:ascii="仿宋_GB2312" w:hAnsi="宋体" w:eastAsia="仿宋_GB2312"/>
          <w:sz w:val="32"/>
          <w:szCs w:val="32"/>
        </w:rPr>
      </w:pPr>
      <w:r>
        <w:rPr>
          <w:rFonts w:hint="eastAsia" w:ascii="仿宋_GB2312" w:hAnsi="宋体" w:eastAsia="仿宋_GB2312"/>
          <w:sz w:val="32"/>
          <w:szCs w:val="32"/>
        </w:rPr>
        <w:t>区应急分局应当大力推进应急指挥技术系统建设，完善群测群防网络和灾情速报网络，加强维护与管理，确保在紧急情况下，信息畅通，反应迅速，指挥技术系统运行正常。</w:t>
      </w:r>
    </w:p>
    <w:p w14:paraId="470E941B">
      <w:pPr>
        <w:spacing w:line="560" w:lineRule="exact"/>
        <w:ind w:firstLine="624" w:firstLineChars="200"/>
        <w:rPr>
          <w:rFonts w:ascii="仿宋_GB2312" w:hAnsi="宋体" w:eastAsia="仿宋_GB2312"/>
          <w:sz w:val="32"/>
          <w:szCs w:val="32"/>
        </w:rPr>
      </w:pPr>
      <w:r>
        <w:rPr>
          <w:rFonts w:hint="eastAsia" w:ascii="仿宋_GB2312" w:hAnsi="宋体" w:eastAsia="仿宋_GB2312"/>
          <w:sz w:val="32"/>
          <w:szCs w:val="32"/>
        </w:rPr>
        <w:t>区抗震救灾指挥部及其成员单位和各级各类救援力量应配置抗震救灾必要的卫星通信和移动通信等应急通信设备，建立统一的区域应急通讯指挥系统。区抗震救灾指挥部办公室及指挥部各成员单位至少要保证1部专用值班电话，并确保24小时通信畅通。</w:t>
      </w:r>
    </w:p>
    <w:p w14:paraId="5288D2AD">
      <w:pPr>
        <w:keepNext/>
        <w:keepLines/>
        <w:spacing w:line="560" w:lineRule="exact"/>
        <w:ind w:firstLine="624" w:firstLineChars="200"/>
        <w:rPr>
          <w:rFonts w:ascii="Cambria" w:hAnsi="Cambria" w:eastAsia="楷体_GB2312"/>
          <w:bCs/>
          <w:sz w:val="32"/>
          <w:szCs w:val="32"/>
        </w:rPr>
      </w:pPr>
      <w:bookmarkStart w:id="120" w:name="_Toc37942124"/>
      <w:bookmarkStart w:id="121" w:name="_Toc37942408"/>
      <w:bookmarkStart w:id="122" w:name="_Toc37941939"/>
      <w:r>
        <w:rPr>
          <w:rFonts w:hint="eastAsia" w:ascii="Cambria" w:hAnsi="Cambria" w:eastAsia="楷体_GB2312"/>
          <w:bCs/>
          <w:sz w:val="32"/>
          <w:szCs w:val="32"/>
        </w:rPr>
        <w:t>（四）</w:t>
      </w:r>
      <w:bookmarkEnd w:id="120"/>
      <w:bookmarkEnd w:id="121"/>
      <w:bookmarkEnd w:id="122"/>
      <w:bookmarkStart w:id="123" w:name="_Toc37942409"/>
      <w:bookmarkStart w:id="124" w:name="_Toc6988"/>
      <w:bookmarkStart w:id="125" w:name="_Toc21281"/>
      <w:bookmarkStart w:id="126" w:name="_Toc2807"/>
      <w:bookmarkStart w:id="127" w:name="_Toc14900"/>
      <w:bookmarkStart w:id="128" w:name="_Toc29762"/>
      <w:bookmarkStart w:id="129" w:name="_Toc20968"/>
      <w:bookmarkStart w:id="130" w:name="_Toc8795"/>
      <w:bookmarkStart w:id="131" w:name="_Toc317668468"/>
      <w:bookmarkStart w:id="132" w:name="_Toc12769"/>
      <w:bookmarkStart w:id="133" w:name="_Toc37942125"/>
      <w:bookmarkStart w:id="134" w:name="_Toc37941940"/>
      <w:bookmarkStart w:id="135" w:name="_Toc11859"/>
      <w:bookmarkStart w:id="136" w:name="_Toc118880942"/>
      <w:r>
        <w:rPr>
          <w:rFonts w:hint="eastAsia" w:ascii="Cambria" w:hAnsi="Cambria" w:eastAsia="楷体_GB2312"/>
          <w:bCs/>
          <w:sz w:val="32"/>
          <w:szCs w:val="32"/>
        </w:rPr>
        <w:t>宣传、培训和演习</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3C79BA0F">
      <w:pPr>
        <w:spacing w:line="560" w:lineRule="exact"/>
        <w:ind w:firstLine="624" w:firstLineChars="200"/>
        <w:rPr>
          <w:rFonts w:ascii="仿宋_GB2312" w:hAnsi="宋体" w:eastAsia="仿宋_GB2312"/>
          <w:sz w:val="32"/>
          <w:szCs w:val="32"/>
        </w:rPr>
      </w:pPr>
      <w:bookmarkStart w:id="137" w:name="_Toc75771310"/>
      <w:bookmarkStart w:id="138" w:name="_Toc75751140"/>
      <w:bookmarkStart w:id="139" w:name="_Toc75711736"/>
      <w:bookmarkStart w:id="140" w:name="_Toc75328287"/>
      <w:bookmarkStart w:id="141" w:name="_Toc75711491"/>
      <w:bookmarkStart w:id="142" w:name="_Toc75750577"/>
      <w:bookmarkStart w:id="143" w:name="_Toc75752906"/>
      <w:bookmarkStart w:id="144" w:name="_Toc75751923"/>
      <w:r>
        <w:rPr>
          <w:rFonts w:hint="eastAsia" w:ascii="仿宋_GB2312" w:hAnsi="宋体" w:eastAsia="仿宋_GB2312"/>
          <w:sz w:val="32"/>
          <w:szCs w:val="32"/>
        </w:rPr>
        <w:t>宣传、应急、科技、教育、文化、红十字会、广播电视、新闻出版等部门（单位）应加强协作，不断开展防震减灾科学知识普及和宣传教育活动，</w:t>
      </w:r>
      <w:bookmarkEnd w:id="137"/>
      <w:bookmarkEnd w:id="138"/>
      <w:bookmarkEnd w:id="139"/>
      <w:bookmarkEnd w:id="140"/>
      <w:bookmarkEnd w:id="141"/>
      <w:bookmarkEnd w:id="142"/>
      <w:bookmarkEnd w:id="143"/>
      <w:bookmarkEnd w:id="144"/>
      <w:r>
        <w:rPr>
          <w:rFonts w:hint="eastAsia" w:ascii="仿宋_GB2312" w:hAnsi="宋体" w:eastAsia="仿宋_GB2312"/>
          <w:sz w:val="32"/>
          <w:szCs w:val="32"/>
        </w:rPr>
        <w:t>增强社会公众的地震应急意识，加强社会公众的应急培训和演练，提高防震避震、自救互救能力。</w:t>
      </w:r>
      <w:bookmarkStart w:id="145" w:name="_Toc75771312"/>
      <w:bookmarkStart w:id="146" w:name="_Toc75711738"/>
      <w:bookmarkStart w:id="147" w:name="_Toc75750579"/>
      <w:bookmarkStart w:id="148" w:name="_Toc76972982"/>
      <w:bookmarkStart w:id="149" w:name="_Toc75752908"/>
      <w:bookmarkStart w:id="150" w:name="_Toc74534946"/>
      <w:bookmarkStart w:id="151" w:name="_Toc75751925"/>
      <w:bookmarkStart w:id="152" w:name="_Toc75711493"/>
      <w:bookmarkStart w:id="153" w:name="_Toc75751142"/>
      <w:bookmarkStart w:id="154" w:name="_Toc74533941"/>
      <w:bookmarkStart w:id="155" w:name="_Toc75328289"/>
      <w:bookmarkStart w:id="156" w:name="_Toc74562638"/>
    </w:p>
    <w:p w14:paraId="39CB504F">
      <w:pPr>
        <w:spacing w:line="560" w:lineRule="exact"/>
        <w:ind w:firstLine="624" w:firstLineChars="200"/>
        <w:rPr>
          <w:rFonts w:ascii="仿宋_GB2312" w:hAnsi="宋体" w:eastAsia="仿宋_GB2312"/>
          <w:sz w:val="32"/>
          <w:szCs w:val="32"/>
        </w:rPr>
      </w:pPr>
      <w:r>
        <w:rPr>
          <w:rFonts w:hint="eastAsia" w:ascii="仿宋_GB2312" w:hAnsi="宋体" w:eastAsia="仿宋_GB2312"/>
          <w:sz w:val="32"/>
          <w:szCs w:val="32"/>
        </w:rPr>
        <w:t>组织应急管理人员、救援人员、志愿者等进行地震应急知识和技能培训，使其掌握必要的地震应急救援技能，增强应急救援能力。</w:t>
      </w:r>
    </w:p>
    <w:p w14:paraId="1F66B3D0">
      <w:pPr>
        <w:spacing w:line="560" w:lineRule="exact"/>
        <w:ind w:firstLine="624" w:firstLineChars="200"/>
        <w:rPr>
          <w:rFonts w:ascii="仿宋_GB2312" w:hAnsi="宋体" w:eastAsia="仿宋_GB2312"/>
          <w:sz w:val="32"/>
          <w:szCs w:val="32"/>
        </w:rPr>
      </w:pPr>
      <w:r>
        <w:rPr>
          <w:rFonts w:hint="eastAsia" w:ascii="仿宋_GB2312" w:hAnsi="宋体" w:eastAsia="仿宋_GB2312"/>
          <w:sz w:val="32"/>
          <w:szCs w:val="32"/>
        </w:rPr>
        <w:t>区抗震救灾指挥部办公室应适时开展地震应急救援演练，因地制宜组织开展桌面推演、实战演练，并针对演练中存在的问题对预案进行补充完善。</w:t>
      </w:r>
    </w:p>
    <w:p w14:paraId="7684C9C6">
      <w:pPr>
        <w:spacing w:line="560" w:lineRule="exact"/>
        <w:ind w:firstLine="624" w:firstLineChars="200"/>
        <w:rPr>
          <w:rFonts w:ascii="仿宋_GB2312" w:hAnsi="宋体" w:eastAsia="仿宋_GB2312"/>
          <w:sz w:val="32"/>
          <w:szCs w:val="32"/>
        </w:rPr>
      </w:pPr>
      <w:r>
        <w:rPr>
          <w:rFonts w:hint="eastAsia" w:ascii="仿宋_GB2312" w:hAnsi="宋体" w:eastAsia="仿宋_GB2312"/>
          <w:sz w:val="32"/>
          <w:szCs w:val="32"/>
        </w:rPr>
        <w:t>各成员单位应积极做好地震灾害的防御工作，加强应急演练和物资储备工作。</w:t>
      </w:r>
    </w:p>
    <w:bookmarkEnd w:id="145"/>
    <w:bookmarkEnd w:id="146"/>
    <w:bookmarkEnd w:id="147"/>
    <w:bookmarkEnd w:id="148"/>
    <w:bookmarkEnd w:id="149"/>
    <w:bookmarkEnd w:id="150"/>
    <w:bookmarkEnd w:id="151"/>
    <w:bookmarkEnd w:id="152"/>
    <w:bookmarkEnd w:id="153"/>
    <w:bookmarkEnd w:id="154"/>
    <w:bookmarkEnd w:id="155"/>
    <w:bookmarkEnd w:id="156"/>
    <w:p w14:paraId="2F0BB673">
      <w:pPr>
        <w:spacing w:line="560" w:lineRule="exact"/>
        <w:ind w:firstLine="624" w:firstLineChars="200"/>
        <w:rPr>
          <w:rFonts w:ascii="黑体" w:hAnsi="黑体" w:eastAsia="黑体" w:cs="黑体"/>
          <w:sz w:val="32"/>
          <w:szCs w:val="32"/>
        </w:rPr>
      </w:pPr>
      <w:bookmarkStart w:id="157" w:name="_Toc37942126"/>
      <w:bookmarkStart w:id="158" w:name="_Toc37941941"/>
      <w:bookmarkStart w:id="159" w:name="_Toc37942410"/>
      <w:r>
        <w:rPr>
          <w:rFonts w:hint="eastAsia" w:ascii="黑体" w:hAnsi="黑体" w:eastAsia="黑体" w:cs="黑体"/>
          <w:sz w:val="32"/>
          <w:szCs w:val="32"/>
        </w:rPr>
        <w:t>五、信息报告</w:t>
      </w:r>
      <w:bookmarkEnd w:id="157"/>
      <w:bookmarkEnd w:id="158"/>
      <w:bookmarkEnd w:id="159"/>
    </w:p>
    <w:p w14:paraId="61348F61">
      <w:pPr>
        <w:spacing w:line="560" w:lineRule="exact"/>
        <w:ind w:firstLine="624" w:firstLineChars="200"/>
        <w:rPr>
          <w:rFonts w:ascii="楷体_GB2312" w:hAnsi="楷体_GB2312" w:eastAsia="楷体_GB2312" w:cs="楷体_GB2312"/>
          <w:sz w:val="32"/>
          <w:szCs w:val="32"/>
        </w:rPr>
      </w:pPr>
      <w:bookmarkStart w:id="160" w:name="_Toc37941942"/>
      <w:bookmarkStart w:id="161" w:name="_Toc37942411"/>
      <w:bookmarkStart w:id="162" w:name="_Toc37942127"/>
      <w:r>
        <w:rPr>
          <w:rFonts w:hint="eastAsia" w:ascii="楷体_GB2312" w:hAnsi="楷体_GB2312" w:eastAsia="楷体_GB2312" w:cs="楷体_GB2312"/>
          <w:sz w:val="32"/>
          <w:szCs w:val="32"/>
        </w:rPr>
        <w:t>（一）报告责任主体</w:t>
      </w:r>
      <w:bookmarkEnd w:id="160"/>
      <w:bookmarkEnd w:id="161"/>
      <w:bookmarkEnd w:id="162"/>
    </w:p>
    <w:p w14:paraId="2E6423C3">
      <w:pPr>
        <w:spacing w:line="560" w:lineRule="exact"/>
        <w:ind w:firstLine="624" w:firstLineChars="200"/>
        <w:rPr>
          <w:rFonts w:ascii="仿宋_GB2312" w:hAnsi="宋体" w:eastAsia="仿宋_GB2312"/>
          <w:sz w:val="32"/>
          <w:szCs w:val="32"/>
        </w:rPr>
      </w:pPr>
      <w:r>
        <w:rPr>
          <w:rFonts w:hint="eastAsia" w:ascii="仿宋_GB2312" w:hAnsi="宋体" w:eastAsia="仿宋_GB2312"/>
          <w:sz w:val="32"/>
          <w:szCs w:val="32"/>
        </w:rPr>
        <w:t xml:space="preserve">区应急分局是受理报告和向烟台市应急局报告地震灾害的责任主体。地震事件发生后，接报后要立即将有关情况通过电话向烟台市应急局进行报告，并同时报告区管委。  </w:t>
      </w:r>
    </w:p>
    <w:p w14:paraId="5288AEE9">
      <w:pPr>
        <w:spacing w:line="560" w:lineRule="exact"/>
        <w:ind w:firstLine="624" w:firstLineChars="200"/>
        <w:rPr>
          <w:rFonts w:ascii="楷体_GB2312" w:hAnsi="楷体_GB2312" w:eastAsia="楷体_GB2312" w:cs="楷体_GB2312"/>
          <w:sz w:val="32"/>
          <w:szCs w:val="32"/>
        </w:rPr>
      </w:pPr>
      <w:bookmarkStart w:id="163" w:name="_Toc37942128"/>
      <w:bookmarkStart w:id="164" w:name="_Toc37942412"/>
      <w:bookmarkStart w:id="165" w:name="_Toc37941943"/>
      <w:r>
        <w:rPr>
          <w:rFonts w:hint="eastAsia" w:ascii="楷体_GB2312" w:hAnsi="楷体_GB2312" w:eastAsia="楷体_GB2312" w:cs="楷体_GB2312"/>
          <w:sz w:val="32"/>
          <w:szCs w:val="32"/>
        </w:rPr>
        <w:t>（二）报告时限和程序</w:t>
      </w:r>
      <w:bookmarkEnd w:id="163"/>
      <w:bookmarkEnd w:id="164"/>
      <w:bookmarkEnd w:id="165"/>
    </w:p>
    <w:p w14:paraId="75920970">
      <w:pPr>
        <w:spacing w:line="560" w:lineRule="exact"/>
        <w:ind w:firstLine="624" w:firstLineChars="200"/>
        <w:rPr>
          <w:rFonts w:ascii="仿宋_GB2312" w:hAnsi="宋体" w:eastAsia="仿宋_GB2312"/>
          <w:sz w:val="32"/>
          <w:szCs w:val="32"/>
        </w:rPr>
      </w:pPr>
      <w:r>
        <w:rPr>
          <w:rFonts w:hint="eastAsia" w:ascii="仿宋_GB2312" w:hAnsi="宋体" w:eastAsia="仿宋_GB2312"/>
          <w:sz w:val="32"/>
          <w:szCs w:val="32"/>
        </w:rPr>
        <w:t>地震事件发生后,区应急分局应立即核实并在30分钟内先电话后书面（首次书面报告最迟不得晚于突发事件发生后1个小时）向市应急局报告。紧急信息要边处置、边核实、边报告，最新处置进展情况要及时续报，事件处置结束后要尽快提供书面终报。报送、报告突发事件信息，应当做到及时、客观、真实，不得迟报、谎报、瞒报和漏报。</w:t>
      </w:r>
    </w:p>
    <w:p w14:paraId="144E23EB">
      <w:pPr>
        <w:spacing w:line="560" w:lineRule="exact"/>
        <w:ind w:firstLine="624" w:firstLineChars="200"/>
        <w:rPr>
          <w:rFonts w:ascii="仿宋_GB2312" w:hAnsi="宋体" w:eastAsia="仿宋_GB2312"/>
          <w:sz w:val="32"/>
          <w:szCs w:val="32"/>
        </w:rPr>
      </w:pPr>
      <w:r>
        <w:rPr>
          <w:rFonts w:hint="eastAsia" w:ascii="仿宋_GB2312" w:hAnsi="宋体" w:eastAsia="仿宋_GB2312"/>
          <w:sz w:val="32"/>
          <w:szCs w:val="32"/>
        </w:rPr>
        <w:t>对于事件本身比较敏感，或发生在敏感时间、敏感地点，或涉及敏感群体,以及可能有次生或衍生危害性的地震突发事件,不受分级标准限制，应在15分钟内向市应急局、市政府进行报告。</w:t>
      </w:r>
    </w:p>
    <w:p w14:paraId="4F26B3FC">
      <w:pPr>
        <w:keepNext/>
        <w:keepLines/>
        <w:spacing w:line="560" w:lineRule="exact"/>
        <w:ind w:firstLine="624" w:firstLineChars="200"/>
        <w:rPr>
          <w:rFonts w:ascii="仿宋_GB2312" w:hAnsi="宋体" w:eastAsia="楷体_GB2312"/>
          <w:bCs/>
          <w:sz w:val="32"/>
          <w:szCs w:val="32"/>
        </w:rPr>
      </w:pPr>
      <w:bookmarkStart w:id="166" w:name="_Toc37942129"/>
      <w:bookmarkStart w:id="167" w:name="_Toc37941944"/>
      <w:bookmarkStart w:id="168" w:name="_Toc37942413"/>
      <w:r>
        <w:rPr>
          <w:rFonts w:hint="eastAsia" w:ascii="Cambria" w:hAnsi="Cambria" w:eastAsia="楷体_GB2312"/>
          <w:bCs/>
          <w:sz w:val="32"/>
          <w:szCs w:val="32"/>
        </w:rPr>
        <w:t>（三）报告内容</w:t>
      </w:r>
      <w:bookmarkEnd w:id="166"/>
      <w:bookmarkEnd w:id="167"/>
      <w:bookmarkEnd w:id="168"/>
    </w:p>
    <w:p w14:paraId="0882A3E4">
      <w:pPr>
        <w:spacing w:line="560" w:lineRule="exact"/>
        <w:ind w:firstLine="624" w:firstLineChars="200"/>
        <w:rPr>
          <w:rFonts w:ascii="仿宋_GB2312" w:hAnsi="宋体" w:eastAsia="仿宋_GB2312"/>
          <w:sz w:val="32"/>
          <w:szCs w:val="32"/>
        </w:rPr>
      </w:pPr>
      <w:r>
        <w:rPr>
          <w:rFonts w:hint="eastAsia" w:ascii="仿宋_GB2312" w:hAnsi="宋体" w:eastAsia="仿宋_GB2312"/>
          <w:sz w:val="32"/>
          <w:szCs w:val="32"/>
        </w:rPr>
        <w:t>地震事件发生的时间、地点、信息来源、事件类别、基本过程、财产损失、人员伤亡情况，对事件的初判级别，已经采取的措施，有无次生或衍生危害、周边有无危险源、警报发布情况、是否需要疏散群众，需要支援事项和亟需帮助解决的问题，现场负责人和报告人的姓名、单位和联系电话等。</w:t>
      </w:r>
    </w:p>
    <w:p w14:paraId="1125E7E4">
      <w:pPr>
        <w:spacing w:line="560" w:lineRule="exact"/>
        <w:ind w:firstLine="624" w:firstLineChars="200"/>
        <w:rPr>
          <w:rFonts w:ascii="仿宋_GB2312" w:hAnsi="宋体" w:eastAsia="仿宋_GB2312"/>
          <w:sz w:val="32"/>
          <w:szCs w:val="32"/>
        </w:rPr>
      </w:pPr>
      <w:r>
        <w:rPr>
          <w:rFonts w:hint="eastAsia" w:ascii="仿宋_GB2312" w:hAnsi="宋体" w:eastAsia="仿宋_GB2312"/>
          <w:sz w:val="32"/>
          <w:szCs w:val="32"/>
        </w:rPr>
        <w:t>接到国家、省、市领导批示的，办理情况也应及时向市应急局报告。</w:t>
      </w:r>
    </w:p>
    <w:p w14:paraId="6918A611">
      <w:pPr>
        <w:spacing w:line="560" w:lineRule="exact"/>
        <w:ind w:firstLine="624" w:firstLineChars="200"/>
        <w:rPr>
          <w:rFonts w:ascii="黑体" w:hAnsi="黑体" w:eastAsia="黑体" w:cs="黑体"/>
          <w:sz w:val="32"/>
          <w:szCs w:val="32"/>
        </w:rPr>
      </w:pPr>
      <w:bookmarkStart w:id="169" w:name="_Toc37942414"/>
      <w:bookmarkStart w:id="170" w:name="_Toc37941945"/>
      <w:bookmarkStart w:id="171" w:name="_Toc37942130"/>
      <w:bookmarkStart w:id="172" w:name="_Toc402791622"/>
      <w:r>
        <w:rPr>
          <w:rFonts w:hint="eastAsia" w:ascii="黑体" w:hAnsi="黑体" w:eastAsia="黑体" w:cs="黑体"/>
          <w:sz w:val="32"/>
          <w:szCs w:val="32"/>
        </w:rPr>
        <w:t>六、附则</w:t>
      </w:r>
      <w:bookmarkEnd w:id="169"/>
      <w:bookmarkEnd w:id="170"/>
      <w:bookmarkEnd w:id="171"/>
    </w:p>
    <w:p w14:paraId="0F19D877">
      <w:pPr>
        <w:spacing w:line="560" w:lineRule="exact"/>
        <w:ind w:firstLine="624" w:firstLineChars="200"/>
        <w:rPr>
          <w:rFonts w:ascii="楷体_GB2312" w:hAnsi="楷体_GB2312" w:eastAsia="楷体_GB2312" w:cs="楷体_GB2312"/>
          <w:sz w:val="32"/>
          <w:szCs w:val="32"/>
        </w:rPr>
      </w:pPr>
      <w:bookmarkStart w:id="173" w:name="_Toc37941946"/>
      <w:bookmarkStart w:id="174" w:name="_Toc37942131"/>
      <w:bookmarkStart w:id="175" w:name="_Toc37942415"/>
      <w:r>
        <w:rPr>
          <w:rFonts w:hint="eastAsia" w:ascii="楷体_GB2312" w:hAnsi="楷体_GB2312" w:eastAsia="楷体_GB2312" w:cs="楷体_GB2312"/>
          <w:sz w:val="32"/>
          <w:szCs w:val="32"/>
        </w:rPr>
        <w:t>（一）预案制定</w:t>
      </w:r>
      <w:bookmarkEnd w:id="172"/>
      <w:r>
        <w:rPr>
          <w:rFonts w:hint="eastAsia" w:ascii="楷体_GB2312" w:hAnsi="楷体_GB2312" w:eastAsia="楷体_GB2312" w:cs="楷体_GB2312"/>
          <w:sz w:val="32"/>
          <w:szCs w:val="32"/>
        </w:rPr>
        <w:t>与修订</w:t>
      </w:r>
      <w:bookmarkEnd w:id="173"/>
      <w:bookmarkEnd w:id="174"/>
      <w:bookmarkEnd w:id="175"/>
    </w:p>
    <w:p w14:paraId="03572CAC">
      <w:pPr>
        <w:spacing w:line="560" w:lineRule="exact"/>
        <w:ind w:firstLine="624" w:firstLineChars="200"/>
        <w:rPr>
          <w:rFonts w:ascii="仿宋_GB2312" w:hAnsi="宋体" w:eastAsia="仿宋_GB2312"/>
          <w:sz w:val="32"/>
          <w:szCs w:val="32"/>
        </w:rPr>
      </w:pPr>
      <w:r>
        <w:rPr>
          <w:rFonts w:hint="eastAsia" w:ascii="仿宋_GB2312" w:hAnsi="宋体" w:eastAsia="仿宋_GB2312"/>
          <w:sz w:val="32"/>
          <w:szCs w:val="32"/>
        </w:rPr>
        <w:t>本预案由区应急分局负责制定、解释，由区管委批准发布，并报市应急局备案。</w:t>
      </w:r>
    </w:p>
    <w:p w14:paraId="59A73E27">
      <w:pPr>
        <w:keepNext/>
        <w:keepLines/>
        <w:spacing w:line="560" w:lineRule="exact"/>
        <w:ind w:firstLine="624" w:firstLineChars="200"/>
        <w:rPr>
          <w:rFonts w:ascii="Cambria" w:hAnsi="Cambria" w:eastAsia="楷体_GB2312"/>
          <w:bCs/>
          <w:sz w:val="32"/>
          <w:szCs w:val="32"/>
        </w:rPr>
      </w:pPr>
      <w:bookmarkStart w:id="176" w:name="_Toc402791623"/>
      <w:bookmarkStart w:id="177" w:name="_Toc37942416"/>
      <w:bookmarkStart w:id="178" w:name="_Toc37942132"/>
      <w:bookmarkStart w:id="179" w:name="_Toc37941947"/>
      <w:r>
        <w:rPr>
          <w:rFonts w:hint="eastAsia" w:ascii="Cambria" w:hAnsi="Cambria" w:eastAsia="楷体_GB2312"/>
          <w:bCs/>
          <w:sz w:val="32"/>
          <w:szCs w:val="32"/>
        </w:rPr>
        <w:t>（二）</w:t>
      </w:r>
      <w:bookmarkEnd w:id="176"/>
      <w:bookmarkEnd w:id="177"/>
      <w:bookmarkEnd w:id="178"/>
      <w:bookmarkEnd w:id="179"/>
      <w:bookmarkStart w:id="180" w:name="_Toc37942133"/>
      <w:bookmarkStart w:id="181" w:name="_Toc402791624"/>
      <w:bookmarkStart w:id="182" w:name="_Toc37942417"/>
      <w:bookmarkStart w:id="183" w:name="_Toc37941948"/>
      <w:r>
        <w:rPr>
          <w:rFonts w:hint="eastAsia" w:ascii="Cambria" w:hAnsi="Cambria" w:eastAsia="楷体_GB2312"/>
          <w:bCs/>
          <w:sz w:val="32"/>
          <w:szCs w:val="32"/>
        </w:rPr>
        <w:t>预案实施</w:t>
      </w:r>
      <w:bookmarkEnd w:id="180"/>
      <w:bookmarkEnd w:id="181"/>
      <w:bookmarkEnd w:id="182"/>
      <w:bookmarkEnd w:id="183"/>
    </w:p>
    <w:p w14:paraId="5D791E99">
      <w:pPr>
        <w:spacing w:line="560" w:lineRule="exact"/>
        <w:ind w:firstLine="624" w:firstLineChars="200"/>
        <w:rPr>
          <w:rFonts w:ascii="仿宋_GB2312" w:hAnsi="宋体" w:eastAsia="仿宋_GB2312"/>
          <w:sz w:val="32"/>
          <w:szCs w:val="32"/>
        </w:rPr>
      </w:pPr>
      <w:r>
        <w:rPr>
          <w:rFonts w:hint="eastAsia" w:ascii="仿宋_GB2312" w:hAnsi="宋体" w:eastAsia="仿宋_GB2312"/>
          <w:sz w:val="32"/>
          <w:szCs w:val="32"/>
        </w:rPr>
        <w:t>本预案自印发之日起实行。</w:t>
      </w:r>
    </w:p>
    <w:p w14:paraId="195F022C">
      <w:pPr>
        <w:spacing w:line="560" w:lineRule="exact"/>
        <w:jc w:val="left"/>
        <w:rPr>
          <w:rFonts w:ascii="仿宋_GB2312" w:hAnsi="仿宋_GB2312" w:eastAsia="仿宋_GB2312" w:cs="仿宋_GB2312"/>
          <w:sz w:val="32"/>
          <w:szCs w:val="32"/>
        </w:rPr>
      </w:pPr>
    </w:p>
    <w:p w14:paraId="088A1B6E">
      <w:pPr>
        <w:spacing w:line="560" w:lineRule="exact"/>
        <w:ind w:firstLine="810"/>
        <w:rPr>
          <w:rFonts w:ascii="仿宋_GB2312" w:eastAsia="仿宋_GB2312"/>
          <w:sz w:val="32"/>
          <w:szCs w:val="32"/>
        </w:rPr>
      </w:pPr>
    </w:p>
    <w:p w14:paraId="10BCCFAC">
      <w:pPr>
        <w:spacing w:line="560" w:lineRule="exact"/>
        <w:ind w:firstLine="810"/>
        <w:rPr>
          <w:rFonts w:ascii="仿宋_GB2312" w:eastAsia="仿宋_GB2312"/>
          <w:sz w:val="32"/>
          <w:szCs w:val="32"/>
        </w:rPr>
      </w:pPr>
    </w:p>
    <w:p w14:paraId="065335CD">
      <w:pPr>
        <w:spacing w:line="560" w:lineRule="exact"/>
        <w:ind w:firstLine="810"/>
        <w:rPr>
          <w:rFonts w:ascii="仿宋_GB2312" w:eastAsia="仿宋_GB2312"/>
          <w:sz w:val="32"/>
          <w:szCs w:val="32"/>
        </w:rPr>
      </w:pPr>
    </w:p>
    <w:p w14:paraId="3DFE0DD1">
      <w:pPr>
        <w:spacing w:line="560" w:lineRule="exact"/>
      </w:pPr>
    </w:p>
    <w:p w14:paraId="409E032D">
      <w:pPr>
        <w:spacing w:line="560" w:lineRule="exact"/>
      </w:pPr>
    </w:p>
    <w:p w14:paraId="588D46C8">
      <w:pPr>
        <w:spacing w:line="560" w:lineRule="exact"/>
      </w:pPr>
    </w:p>
    <w:p w14:paraId="4494C2EE">
      <w:pPr>
        <w:spacing w:line="560" w:lineRule="exact"/>
      </w:pPr>
    </w:p>
    <w:p w14:paraId="682C8A85">
      <w:pPr>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烟台高新区森林火灾</w:t>
      </w:r>
      <w:r>
        <w:rPr>
          <w:rFonts w:hint="eastAsia" w:ascii="方正小标宋简体" w:hAnsi="Helvetica" w:eastAsia="方正小标宋简体" w:cs="Helvetica"/>
          <w:sz w:val="44"/>
          <w:szCs w:val="44"/>
        </w:rPr>
        <w:t>专项</w:t>
      </w:r>
      <w:r>
        <w:rPr>
          <w:rFonts w:hint="eastAsia" w:ascii="方正小标宋简体" w:hAnsi="方正小标宋简体" w:eastAsia="方正小标宋简体" w:cs="方正小标宋简体"/>
          <w:kern w:val="0"/>
          <w:sz w:val="44"/>
          <w:szCs w:val="44"/>
        </w:rPr>
        <w:t>应急预案</w:t>
      </w:r>
    </w:p>
    <w:p w14:paraId="02591E26">
      <w:pPr>
        <w:spacing w:line="560" w:lineRule="exact"/>
        <w:rPr>
          <w:rFonts w:ascii="仿宋_GB2312" w:hAnsi="仿宋_GB2312" w:eastAsia="仿宋_GB2312" w:cs="仿宋_GB2312"/>
          <w:kern w:val="0"/>
          <w:sz w:val="32"/>
          <w:szCs w:val="32"/>
        </w:rPr>
      </w:pPr>
    </w:p>
    <w:p w14:paraId="2BF45B31">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1.总 则 </w:t>
      </w:r>
    </w:p>
    <w:p w14:paraId="345B70BA">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1.1  编制目的 </w:t>
      </w:r>
    </w:p>
    <w:p w14:paraId="3DB96127">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贯彻落实习近平总书记关于加强应急管理、防灾减灾救灾和森林防灭火工作的重要指示精神，全面提高应对森林火灾应急救援能力，坚持人民至上、生命至上，进一步完善森林防灭火工作机制，依法、有序、高效处置森林火灾，最大程度减少人员伤亡和财产损失，保护森林资源，维护生态安全。依据《中华人民共和国森林法》《森林防火条例》《山东省森林火灾应急预案》《烟台市森林火灾应急预案》《烟台市突发事件总体应急预案》和</w:t>
      </w:r>
      <w:r>
        <w:rPr>
          <w:rFonts w:hint="eastAsia" w:ascii="仿宋_GB2312" w:eastAsia="仿宋_GB2312" w:cs="仿宋_GB2312"/>
          <w:kern w:val="0"/>
          <w:sz w:val="32"/>
          <w:szCs w:val="32"/>
        </w:rPr>
        <w:t>《烟台高新区突发事件总体应急预案》</w:t>
      </w:r>
      <w:r>
        <w:rPr>
          <w:rFonts w:hint="eastAsia" w:ascii="仿宋_GB2312" w:hAnsi="仿宋_GB2312" w:eastAsia="仿宋_GB2312" w:cs="仿宋_GB2312"/>
          <w:kern w:val="0"/>
          <w:sz w:val="32"/>
          <w:szCs w:val="32"/>
        </w:rPr>
        <w:t>等法律、法规和相关规定，制定本预案。</w:t>
      </w:r>
    </w:p>
    <w:p w14:paraId="565E4DD5">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1.2 适用范围 </w:t>
      </w:r>
    </w:p>
    <w:p w14:paraId="1BAF9090">
      <w:pPr>
        <w:spacing w:line="560" w:lineRule="exact"/>
        <w:ind w:firstLine="624" w:firstLineChars="200"/>
        <w:rPr>
          <w:rFonts w:ascii="仿宋_GB2312" w:hAnsi="仿宋_GB2312" w:eastAsia="仿宋_GB2312" w:cs="仿宋_GB2312"/>
          <w:kern w:val="0"/>
          <w:sz w:val="32"/>
          <w:szCs w:val="32"/>
        </w:rPr>
      </w:pPr>
      <w:r>
        <w:rPr>
          <w:rFonts w:hint="eastAsia" w:ascii="仿宋_GB2312" w:eastAsia="仿宋_GB2312" w:cs="仿宋_GB2312"/>
          <w:kern w:val="0"/>
          <w:sz w:val="32"/>
          <w:szCs w:val="32"/>
        </w:rPr>
        <w:t>本预案适用于高新区辖区内发生的森林火灾应对工作。</w:t>
      </w:r>
      <w:r>
        <w:rPr>
          <w:rFonts w:hint="eastAsia" w:ascii="仿宋_GB2312" w:hAnsi="仿宋_GB2312" w:eastAsia="仿宋_GB2312" w:cs="仿宋_GB2312"/>
          <w:kern w:val="0"/>
          <w:sz w:val="32"/>
          <w:szCs w:val="32"/>
        </w:rPr>
        <w:t xml:space="preserve"> </w:t>
      </w:r>
    </w:p>
    <w:p w14:paraId="68EB6FF8">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1.3 工作原则 </w:t>
      </w:r>
    </w:p>
    <w:p w14:paraId="66611885">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森林防灭火工作坚持统一领导、协调联动，分级负责、属地为主，专业指挥、科学扑救，快速反应、安全高效原则。实行管委领导负责制，管委是应对本区域一般森林火灾的主体。 </w:t>
      </w:r>
    </w:p>
    <w:p w14:paraId="26A59669">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1.4 灾害分级 </w:t>
      </w:r>
    </w:p>
    <w:p w14:paraId="5BAFCFC9">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按照受害森林面积、伤亡人数和直接经济损失，森林火灾分为一般、较大、重大和特别重大四个等级。 </w:t>
      </w:r>
    </w:p>
    <w:p w14:paraId="7B6EC488">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1.4.1 一般森林火灾 </w:t>
      </w:r>
    </w:p>
    <w:p w14:paraId="0DA4193B">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受害森林面积在 1 公顷以下或者其他林地起火的，或者死亡1人以上3人以下的，或者重伤1人以上10人以下的。 </w:t>
      </w:r>
    </w:p>
    <w:p w14:paraId="6EBB079A">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1.4.2 较大森林火灾 </w:t>
      </w:r>
    </w:p>
    <w:p w14:paraId="4F9D3D35">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受害森林面积在1公顷以上100公顷以下的，或者死亡 3人以上10人以下的，或者重伤10人以上50人以下的。 </w:t>
      </w:r>
    </w:p>
    <w:p w14:paraId="2335F65B">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1.4.3 重大森林火灾 </w:t>
      </w:r>
    </w:p>
    <w:p w14:paraId="54669797">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受害森林面积在100公顷以上1000公顷以下的，或者死亡10人以上30人以下的，或者重伤50人以上100人以下的。 </w:t>
      </w:r>
    </w:p>
    <w:p w14:paraId="7CFEFFE3">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1.4.4 特别重大森林火灾 </w:t>
      </w:r>
    </w:p>
    <w:p w14:paraId="37763FB9">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受害森林面积在1000公顷以上的，或者死亡30人以上的，或者重伤100人以上的。</w:t>
      </w:r>
    </w:p>
    <w:p w14:paraId="225D008E">
      <w:pPr>
        <w:spacing w:line="56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 xml:space="preserve">2.组织指挥体系 </w:t>
      </w:r>
    </w:p>
    <w:p w14:paraId="4A6989E9">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2.1 森林防灭火指挥机构 </w:t>
      </w:r>
    </w:p>
    <w:p w14:paraId="272B5690">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区森林防灭火指挥部（以下简称区森防指）在区工委、管委直接领导下，按照“统一指挥、分级负责、专业处置”的原则，负责组织、协调和指导全区森林火灾预防和扑救工作。其组成如下： </w:t>
      </w:r>
    </w:p>
    <w:p w14:paraId="2566D9C4">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指  挥：管委主任 </w:t>
      </w:r>
    </w:p>
    <w:p w14:paraId="30C0CB08">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副指挥：分管自然资源和规划工作的副主任 </w:t>
      </w:r>
    </w:p>
    <w:p w14:paraId="60AF2163">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分管应急管理工作的副主任 </w:t>
      </w:r>
    </w:p>
    <w:p w14:paraId="4557EC6B">
      <w:pPr>
        <w:spacing w:line="560" w:lineRule="exact"/>
        <w:ind w:firstLine="624"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成 员：</w:t>
      </w:r>
      <w:r>
        <w:rPr>
          <w:rFonts w:hint="eastAsia" w:ascii="仿宋_GB2312" w:hAnsi="仿宋_GB2312" w:eastAsia="仿宋_GB2312" w:cs="仿宋_GB2312"/>
          <w:kern w:val="0"/>
          <w:sz w:val="32"/>
          <w:szCs w:val="32"/>
        </w:rPr>
        <w:t>区综合管理部、党群工作部、经济发展部、教育分局、公安分局、社会事务管理服务中心、财政金融部、规划国土建设部、综合行政执法局、招商部、应急分局、消防救援大队、区供电所等部门和单位主要领导或负责领导担任。区森林防灭火指挥部办公室设在区应急分局，承担指挥部的日常工作，</w:t>
      </w:r>
      <w:r>
        <w:rPr>
          <w:rFonts w:hint="eastAsia" w:ascii="仿宋_GB2312" w:hAnsi="仿宋_GB2312" w:eastAsia="仿宋_GB2312" w:cs="仿宋_GB2312"/>
          <w:bCs/>
          <w:kern w:val="0"/>
          <w:sz w:val="32"/>
          <w:szCs w:val="32"/>
        </w:rPr>
        <w:t>应急分局局长兼任办公室主任</w:t>
      </w:r>
      <w:r>
        <w:rPr>
          <w:rFonts w:hint="eastAsia" w:ascii="仿宋_GB2312" w:hAnsi="仿宋_GB2312" w:eastAsia="仿宋_GB2312" w:cs="仿宋_GB2312"/>
          <w:kern w:val="0"/>
          <w:sz w:val="32"/>
          <w:szCs w:val="32"/>
        </w:rPr>
        <w:t xml:space="preserve">。必要时，区规划国土建设部可以按程序提请以区森防指名义部署相关防火工作。街道按照“上下基本对应”的要求，设立森林防灭火指挥机构，负责组织、协调和指导属地森林防灭火工作。 </w:t>
      </w:r>
    </w:p>
    <w:p w14:paraId="62CA56A9">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2.2 成员单位职责 </w:t>
      </w:r>
    </w:p>
    <w:p w14:paraId="385CC770">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各成员单位在区森防指统一领导下履行相应的森林火灾应对职责：</w:t>
      </w:r>
    </w:p>
    <w:p w14:paraId="17272C03">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应急分局：综合指导区林业部门开展森林火灾防范工作，会同区林业部门等部门构建统一防灭火信息平台，共享森林防灭火信息；负责森林火灾火情综合监测预警工作，发布森林火险、火灾信息；负责森林航空消防工作，协调航空消防救援力量开展巡护、扑救有关工作；负责修订《烟台高新区森林火灾应急预案》，组织开展预案演练；按照分级负责的原则，指导森林火灾应急救援，承担一般森林火灾扑救指挥的现场协调保障工作，协助有关领导组织森林火灾应急处置工作；督促火灾发生地做好灾情损失的评估上报工作；协助做好受灾人员紧急转移安置和灾民生活救助工作；协调有关部门调拨应急救援装备和物资；承担区森防指日常协调工作。 </w:t>
      </w:r>
    </w:p>
    <w:p w14:paraId="649B943A">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规划国土建设部：组织编制全区森林火灾防治规划和防护标准并指导实施；指导开展森林防火巡护、火源管理、防火设施建设；组织指导国有林场、林区开展防火宣传教育、监测预警、督促检查等工作；指导做好区级森林防灭火巡查员队伍建设；协助区应急分局修订完善区级森林火灾应急预案；指导做好森林火灾先期处置，按照应急响应级别，参与全区森林火灾处置工作；负责提供火场及周边地理信息数据；参与综合性森林火灾扑救演练；指导开展打击野外违法用火行为，协助做好火灾案件的侦破和火灾事故调查工作；协助做好灾情损失的评估上报工作；负责火烧迹地生态恢复工作（林业）。负责组织协调运力，为扑火人员和物资快速运输提供支持保障；做好森林防灭火车辆道路通行保障和悬挂应急救援专用号牌的国家综合性消防救援车辆免缴通行费等工作；负责做好公路、铁路沿线森林火灾危险地段的防火工作。（交通） </w:t>
      </w:r>
    </w:p>
    <w:p w14:paraId="021250BC">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综合管理部：指导有关部门做好森林火灾信息发布和舆论引导；负责森林防火宣传、新闻报道的协调组织工作。</w:t>
      </w:r>
    </w:p>
    <w:p w14:paraId="039F9CFE">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济发展部：负责将森林防灭火基础设施建设纳入国民经济计划和社会发展规划；承担区级生活类救灾物资的收储、轮换和日常管理，根据区应急分局的动用指令按程序组织调出（发改）。协调有关单位做好火灾发生地通信安全畅通（工信）。负责督导A级旅游景区制定森林防灭火应急预案，指导A级旅游景区森林火灾应急处置、人员疏导等相关工作（文旅）。</w:t>
      </w:r>
    </w:p>
    <w:p w14:paraId="4A2AC5A4">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教育分局：负责对区属学校在校师生进行森林防火宣传教育工作，组织以师生为主体的志愿者开展森林防火宣传教育工作。 </w:t>
      </w:r>
    </w:p>
    <w:p w14:paraId="3CFBA068">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区公安分局：负责打击森林火灾违法犯罪行为，开展案件侦破，协同开展违规用火查处；负责火场警戒、治安维护、火案侦破等工作，协助做好灾区群众安全撤离和转移工作。 </w:t>
      </w:r>
    </w:p>
    <w:p w14:paraId="280F13EB">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社会事业管理服务中心：做好死（伤）亡人员有关殡葬服务工作，做好因火灾导致基本生活暂时出现严重困难的家庭和个人的临时救助工作（民政）负责林区耕地秸秆焚烧、农事用火、野外生产用火等职责范围内的防灭火工作（农业农村）。负责提供森林防火期气象预报和森林火险气象等级预报，提供火场周边气象服务，根据天气条件择机组织开展人工增雨（雪）作业（气象）。 </w:t>
      </w:r>
    </w:p>
    <w:p w14:paraId="7694E550">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财政金融部：筹集拨付区级扑救森林火灾所需资金。 </w:t>
      </w:r>
    </w:p>
    <w:p w14:paraId="6DB64763">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党群工作部：协助区应急分局做好综合性应急救援队伍建设管理工作，会同有关部门对森林防灭火工作中做出突出 贡献的单位和个人按照有关规定进行表彰奖励。在区森防指统一部署下，组织志愿者开展森林防火宣传教育，配合有关部门做好森林火灾扑救的后勤服务保障工作。 </w:t>
      </w:r>
    </w:p>
    <w:p w14:paraId="3AA96CDD">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综合行政执法局：负责直接管理的公园、以及公园内林区和历史优秀建筑区域内的森林防灭火工作（城管）。指导在水利基础设施建设中兼顾森林防灭火工作，提供小型水库和水源地等相关资料（水利）。  </w:t>
      </w:r>
    </w:p>
    <w:p w14:paraId="646EC7DE">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招商部：负责协调森林火灾扑救中生活必需品应急调配工作。 </w:t>
      </w:r>
    </w:p>
    <w:p w14:paraId="61EC3C81">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区消防救援大队：负责指导全区森林消防专业队伍建设，组织指挥国家综合救援队伍参与森林火灾扑救工作，协助区森防指做好森林火灾扑救工作。 </w:t>
      </w:r>
    </w:p>
    <w:p w14:paraId="3E2C5078">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区供电所：负责全区林区供电公司产权的输配电线路隐患排查整治工作，做好森林火灾现场电力输送控制工作。 </w:t>
      </w:r>
    </w:p>
    <w:p w14:paraId="04312A59">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2.3 扑救组织 </w:t>
      </w:r>
    </w:p>
    <w:p w14:paraId="1AEAFD54">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2.3.1 指挥机构 </w:t>
      </w:r>
    </w:p>
    <w:p w14:paraId="69655B85">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森林火灾扑救工作由区森林防灭火指挥部负责指挥。 </w:t>
      </w:r>
    </w:p>
    <w:p w14:paraId="161EC5FF">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2.4 扑救指挥 </w:t>
      </w:r>
    </w:p>
    <w:p w14:paraId="21121CB0">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2.4.1 火场前线指挥部 </w:t>
      </w:r>
    </w:p>
    <w:p w14:paraId="4B645B09">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生一般火灾后，区森林防灭火指挥部应根据需要，在森林火灾现场及时成立火场前线指挥部，规范现场指挥机制，由区管委主任担任总指挥，合理配置工作组，充分发挥专家作用。火场前线指挥部的主要职责是：负责掌握火灾情况，分析火情发展趋势，制定扑救方案；组织扑火力量，科学扑救森林火灾；向社会及时发布火情及扑救信息。发生一般以下的森林火灾，由街道依据区级行动方案成立火场前线指挥部，及时处置火情。</w:t>
      </w:r>
    </w:p>
    <w:p w14:paraId="721F516E">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火场前线指挥部应明确有扑火经验的领导同志担任专职副总指挥，负责统筹火场的组织扑救工作，调度指挥各方力量对火灾实施有效扑救，督促落实前线总指挥的有关指令、各项工作方案和扑救措施。 </w:t>
      </w:r>
    </w:p>
    <w:p w14:paraId="0180EEFB">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有国家综合性消防救援队伍参与灭火的，最高指挥员进入火场前线指挥部，参与决策和现场组织指挥，发挥专业作用；根据任务变化和救援力量规模，相应提高指挥等级。参加前方扑火的单位和个人要服从火场前线指挥部的统一指挥。 </w:t>
      </w:r>
    </w:p>
    <w:p w14:paraId="36F9C296">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2.4.2 任务分工 </w:t>
      </w:r>
    </w:p>
    <w:p w14:paraId="6E49CBFD">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前线指挥部可根据应急响应级别，适时组建相应工作组，主要包括综合协调组、火灾扑救组、治安交通组、通信保障组、气象保障组、医疗救治组、后勤保障组、新闻发布组和专家咨询组等（指挥部可根据工作实际，对前线指挥部各工作组设置进行调整）。</w:t>
      </w:r>
    </w:p>
    <w:p w14:paraId="0A248F0C">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综合协调组：综合管理部牵头，应急分局、公安分局、规划国土建设部、消防救援大队等相关部门和单位参加。主要职责：承担前指的组织、协调、保障工作；传达贯彻上级指示要求；统一收集、汇总、分析各组工作情况和事件信息，按规定区工委、管委、区应急分局应急指挥中心报送重要信息；审核向社会发布的火灾信息；承办前指各类会议；组织开展事故调查及火案侦破工作。 </w:t>
      </w:r>
    </w:p>
    <w:p w14:paraId="3EA5ABF1">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火灾扑救组：由区应急分局牵头，区规划国土建设部、区消防救援大队、参加火灾扑救的森林消防队伍主要指挥员等部门和单位参加。主要职责：承担前指下达的扑救任务；科学分析研判火场态势，提出扑救意见建议，制定扑救方案，组织指挥扑救行动；向前指报告扑火进展情况及扑救人力、物资需求计划；组织火场清理、看守及交接工作。 </w:t>
      </w:r>
    </w:p>
    <w:p w14:paraId="2CE584A0">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治安交通组：由公安分局牵头组织，会同交警五大队、规划国土建设部和街道等单位组成。主要职责：对现场实施安全警戒，疏散救助群众；协调现场交通保障，疏导周边交通，开辟应急通道，保障应急处置人员、车辆和物资装备应急通行；组织协调公共交通运营路线改线、运力调整、恢复被毁交通路线等工作。 </w:t>
      </w:r>
    </w:p>
    <w:p w14:paraId="17089E44">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通信保障组：由经济发展部牵头组织。主要职责：协调保障扑救现场及后方应急指挥的联络畅通。 </w:t>
      </w:r>
    </w:p>
    <w:p w14:paraId="1E5248FA">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气象保障组：由社会事业管理服务中心根据需要组织。主要职责：负责火场周边气象实时监测和预报，根据天气条件择机组织开展人工增雨（雪）作业。 </w:t>
      </w:r>
    </w:p>
    <w:p w14:paraId="7B93130F">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医疗救治组：由卫生健康管理办公室牵头组织。主要职责：负责现场医疗保障，协调相关单位做好伤病员的医疗救治和卫生防疫工作。 </w:t>
      </w:r>
    </w:p>
    <w:p w14:paraId="41A0C97E">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后勤保障组：由火灾发生地街道办事处牵头组织。主要职责：负责协调组织设立前指办公场所，为扑救森林火灾人员提供生活后勤保障，负责跨区域增援工作补偿工作，按照相关规定处置伤亡事故及善后事宜。 </w:t>
      </w:r>
    </w:p>
    <w:p w14:paraId="4ADCD883">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新闻发布组：由综合管理部牵头组织。主要职责：负责制定新闻发布方案，通报火灾情况，起草新闻发布通稿，组织接待记者，适时组织新闻发布；组织开展舆情监测研判，加强舆情管控；指导做好森林火灾预防和安全扑救科普宣传。 </w:t>
      </w:r>
    </w:p>
    <w:p w14:paraId="3F67E253">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专家咨询组：区森防指会同有关部门和单位建立专家组和专家咨询机制。主要职责：在森林火灾预防、森林消防队伍建设、应急预案编审、灭火组织指挥、力量调动使用、灭火措施及保障、火灾调查评估规划等方面提出咨询意见。 </w:t>
      </w:r>
    </w:p>
    <w:p w14:paraId="4A0BD0BC">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2.4.3 指挥权 </w:t>
      </w:r>
    </w:p>
    <w:p w14:paraId="38F46297">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各类扑火队伍、国家综合性消防救援队伍执行森林火灾扑救任务，接受区森林防灭火指挥部指挥。 </w:t>
      </w:r>
    </w:p>
    <w:p w14:paraId="6DBC4E2F">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2.4.4 解放军和武警部队 </w:t>
      </w:r>
    </w:p>
    <w:p w14:paraId="3F1E5068">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解放军和武警部队遂行森林火灾扑救任务，由区森林防灭火指挥部统一领导，部队行动按照军队指挥关系和指挥权限组织实施。 </w:t>
      </w:r>
    </w:p>
    <w:p w14:paraId="54947759">
      <w:pPr>
        <w:spacing w:line="56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 xml:space="preserve">3.主要任务 </w:t>
      </w:r>
    </w:p>
    <w:p w14:paraId="73DCC9F4">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3.1 组织灭火行动 </w:t>
      </w:r>
    </w:p>
    <w:p w14:paraId="3969AD90">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科学判断扑救风险，合理使用扑火力量，有效利用灭火资源，组织森林消防专业队伍扑火头、灭明火、攻险段、保重点，突出运用以水灭火、地面阻隔灭火等手段，提高灭火效率，严防次生灾害发生。 </w:t>
      </w:r>
    </w:p>
    <w:p w14:paraId="5AD88958">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3.2 解救疏散人员 </w:t>
      </w:r>
    </w:p>
    <w:p w14:paraId="6F5E0443">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森林火灾对居民区、工厂等人员密集目标构成威胁时，及时发出预警信号，提示相关单位做好安全防范措施；突发紧急情况下，及时组织涉险人员转移、疏散到安全区域避险，妥善做好安置和医疗救治工作。 </w:t>
      </w:r>
    </w:p>
    <w:p w14:paraId="64E0B365">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3.3 保护重要目标 </w:t>
      </w:r>
    </w:p>
    <w:p w14:paraId="495DE832">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森林火灾对自然风景区、名胜古迹、民生设施、军事设施、重大危险源等重要目标构成威胁时，集中消防专业力量采取预设隔离、湿化作业等手段实施有效保护。 </w:t>
      </w:r>
    </w:p>
    <w:p w14:paraId="1BEC32A7">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3.4 转移重要物资 </w:t>
      </w:r>
    </w:p>
    <w:p w14:paraId="6A20FC7B">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森林火灾对储备仓库、文物保护单位等目标构成威胁时，及时组织运输力量协助目标单位抢救、运送、转移重要物资。 </w:t>
      </w:r>
    </w:p>
    <w:p w14:paraId="76F60D06">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3.5 维护社会稳定 </w:t>
      </w:r>
    </w:p>
    <w:p w14:paraId="1954364B">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加强火灾发生地区及周边社会治安和公共安全工作，严密防范打击各类违法犯罪行为，对重点目标实施守卫和治安巡逻，维护社会秩序稳定。 </w:t>
      </w:r>
    </w:p>
    <w:p w14:paraId="42A41066">
      <w:pPr>
        <w:spacing w:line="56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 xml:space="preserve">4.处置力量 </w:t>
      </w:r>
    </w:p>
    <w:p w14:paraId="69956203">
      <w:pPr>
        <w:spacing w:line="560" w:lineRule="exact"/>
        <w:ind w:firstLine="624"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4.1 力量编成</w:t>
      </w:r>
      <w:r>
        <w:rPr>
          <w:rFonts w:hint="eastAsia" w:ascii="仿宋_GB2312" w:hAnsi="仿宋_GB2312" w:eastAsia="仿宋_GB2312" w:cs="仿宋_GB2312"/>
          <w:kern w:val="0"/>
          <w:sz w:val="32"/>
          <w:szCs w:val="32"/>
        </w:rPr>
        <w:t xml:space="preserve"> </w:t>
      </w:r>
    </w:p>
    <w:p w14:paraId="393FE652">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扑救森林火灾以区专业防扑火队伍、国家综合性消防救援队伍等受过专业培训的扑火力量为主，解放军和武警部队支援力量为辅，社会救援力量为补充。必要时可动员区机关干部、职工及当地群众等力量协助做好余火扑救工作。 </w:t>
      </w:r>
    </w:p>
    <w:p w14:paraId="7D1F1E49">
      <w:pPr>
        <w:spacing w:line="560" w:lineRule="exact"/>
        <w:ind w:firstLine="624"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4.2 力量调动</w:t>
      </w:r>
      <w:r>
        <w:rPr>
          <w:rFonts w:hint="eastAsia" w:ascii="仿宋_GB2312" w:hAnsi="仿宋_GB2312" w:eastAsia="仿宋_GB2312" w:cs="仿宋_GB2312"/>
          <w:kern w:val="0"/>
          <w:sz w:val="32"/>
          <w:szCs w:val="32"/>
        </w:rPr>
        <w:t xml:space="preserve"> </w:t>
      </w:r>
    </w:p>
    <w:p w14:paraId="1AED4626">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森林火灾应对需要，应首先调动属地扑火力量，相邻区域扑火力量作为增援力量。需要调用森林航空消防直升机时，由区森林防灭火指挥部向烟台市应急局申请协调办理。扑火力量不足时，依据市级预案进行力量调动。</w:t>
      </w:r>
    </w:p>
    <w:p w14:paraId="31FD5A87">
      <w:pPr>
        <w:spacing w:line="56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 xml:space="preserve">5.预警和信息报告 </w:t>
      </w:r>
    </w:p>
    <w:p w14:paraId="63CFAE64">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5.1 预警分级 </w:t>
      </w:r>
    </w:p>
    <w:p w14:paraId="1591F4EC">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根据森林火险等级、火行为特征和可能造成的危害程度，将森林火险预警级别划分为三个等级，分别由高到低用红色、橙色、黄色表示。 </w:t>
      </w:r>
    </w:p>
    <w:p w14:paraId="75F5A345">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5.1.1 预警发布 </w:t>
      </w:r>
    </w:p>
    <w:p w14:paraId="6A2C2DD2">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森防指办公室组织应急、自然资源和规划、气象等部门加强会商，依据会商意见适时向区森林防灭火指挥部各成员单位发布黄色森林火险预警信息，区森林防灭火指挥部办公室要将预警信息传达到各街道和各有关部门，并通过新闻媒体向社会发布。其中烟台市范围内需要发布红色、橙色森林火险预警信号的，由烟台市森防指办公室负责在全市范围内发布。 </w:t>
      </w:r>
    </w:p>
    <w:p w14:paraId="366533CA">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5.1.2 预警响应 </w:t>
      </w:r>
    </w:p>
    <w:p w14:paraId="328D11B0">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发布黄色预警信息后，区管委及其有关部门密切关注天气情况和森林火险预警变化，加强森林防火巡护、卫星林火监测和瞭望监测，做好预警信息发布和森林防火宣传工作， 加强火源管理，落实防火装备、物资等各项扑火准备；专业防扑火队伍进入待命状态。发布橙色、红色预警信息后，区管委及其有关部门在黄色预警响应措施的基础上，进一步加强野外火源管理，开展森林防火检查，加大预警信息播报次数，做好物资调拨准备；区专业防扑火队伍、区消防救援大队视情对力量部署进行调整，靠前驻防。区森林防灭火指挥部办公室应及时和有关单位及应急增援力量进行协调沟通，做好应急准备。各级森林防灭火机构视情对预警地区森林防灭火工作进行督促、指导、检查。 </w:t>
      </w:r>
    </w:p>
    <w:p w14:paraId="0EE64280">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5.2 动态监测 </w:t>
      </w:r>
    </w:p>
    <w:p w14:paraId="51ED9095">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区森防指办公室利用卫星监测系统，及时接收卫星热点监测图像和预警。火灾发生地充分利用林火视频监控、飞机巡护、人工瞭望、护林员巡查等手段，密切监视火情，及时向区应急分局指挥中心报告火情动态。 </w:t>
      </w:r>
    </w:p>
    <w:p w14:paraId="2234B14F">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5.3 信息报告 </w:t>
      </w:r>
    </w:p>
    <w:p w14:paraId="1D8CD818">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森林火灾信息由各级森林防灭火指挥部办公室归口管理，按照“有火必报、报扑同步”原则，及时、准确、逐级规范报告森林火灾信息。通报受威胁地区有关单位和相邻行政区域森林防灭火指挥机构。 </w:t>
      </w:r>
    </w:p>
    <w:p w14:paraId="59CECB82">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5.3.1 报告程序 </w:t>
      </w:r>
    </w:p>
    <w:p w14:paraId="28643F28">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街道对接到报告、巡护、卫星监测中发现的火情，无论火势大小，立即报告区规划国土建设部、区森林防灭火指挥部办公室，并迅速开展先期处置。</w:t>
      </w:r>
    </w:p>
    <w:p w14:paraId="016F1B40">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区规划国土建设部、区公安分局、区消防救援大队接到的火情举报后，第一时间报告区森林防灭火指挥部办公室。 </w:t>
      </w:r>
    </w:p>
    <w:p w14:paraId="3434457A">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火灾发生后，街道要立即核实，并立即报区森防指办公室，区森防指办公室在30分钟内报市森防指办公室和市应急指挥中心。预案启动后，区森林防灭火指挥部办公室应每隔1小时向市应急指挥中心报送火场综合情况，遇有紧急情况，应立即上报。 </w:t>
      </w:r>
    </w:p>
    <w:p w14:paraId="197DA229">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5.3.2 报告要求 </w:t>
      </w:r>
    </w:p>
    <w:p w14:paraId="49A2ED2A">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以下信息由街道办事处核实后，向区森防指办公室报告：</w:t>
      </w:r>
    </w:p>
    <w:p w14:paraId="224D3C49">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（1）预判有可能造成较大影响或较大损失的森林火灾； </w:t>
      </w:r>
    </w:p>
    <w:p w14:paraId="37B3687B">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（2）造成人员伤亡的森林火灾； </w:t>
      </w:r>
    </w:p>
    <w:p w14:paraId="0748FFF6">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（3）威胁村庄、居民区和重要单位、设施的森林火灾； </w:t>
      </w:r>
    </w:p>
    <w:p w14:paraId="4AB4B2C6">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（4）发生在区市交界地区的森林火灾； </w:t>
      </w:r>
    </w:p>
    <w:p w14:paraId="5D1498FE">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（5）发生在国有林场、市级以上自然保护区的森林火灾；</w:t>
      </w:r>
    </w:p>
    <w:p w14:paraId="4FD2BE0B">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（6）经研判需要报告的其他重要森林火灾。 </w:t>
      </w:r>
    </w:p>
    <w:p w14:paraId="67159C90">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上述核实的森林火灾信息，区森林防灭火指挥部应在30分钟内将初步情况电话报告市森防指办公室、市应急指挥中心和区综合管理部，事发后1小时内，必须书面报告初步核实的概况。对区森防指办公室要求核查的火情，应按照街道、村（居）的顺序逐级进行核查，对确认发生的火灾，区森林防灭火指挥部办公室在上报核查信息的同时，必须立即通知林业部门和扑救力量进行早期火灾处置，通知区公安分局进行火案侦查，确保“报、扑、查同步”，在科学组织、确保安全的前提下实现“打早、打小、打了”。 </w:t>
      </w:r>
    </w:p>
    <w:p w14:paraId="61C2E7BE">
      <w:pPr>
        <w:spacing w:line="56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 xml:space="preserve">6.应急响应 </w:t>
      </w:r>
    </w:p>
    <w:p w14:paraId="258EFBA3">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6.1 应急响应启动</w:t>
      </w:r>
    </w:p>
    <w:p w14:paraId="1A452138">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森林火灾扑救工作由区森林防灭火指挥部负责指挥，根据响应等级做好扑火力量组织动员、火灾扑救、扑救兵力调动、转移安置人员、伤员救治、重要目标保护、扑火安全防范、善后处置、社会治安维护、信息发布、火场清理、应急结束等工作。 </w:t>
      </w:r>
    </w:p>
    <w:p w14:paraId="6CB97A34">
      <w:pPr>
        <w:spacing w:line="560" w:lineRule="exact"/>
        <w:ind w:firstLine="624" w:firstLineChars="200"/>
        <w:rPr>
          <w:rFonts w:ascii="仿宋_GB2312" w:eastAsia="仿宋_GB2312"/>
          <w:kern w:val="0"/>
          <w:sz w:val="32"/>
          <w:szCs w:val="32"/>
        </w:rPr>
      </w:pPr>
      <w:r>
        <w:rPr>
          <w:rFonts w:hint="eastAsia" w:ascii="仿宋_GB2312" w:eastAsia="仿宋_GB2312" w:cs="仿宋_GB2312"/>
          <w:kern w:val="0"/>
          <w:sz w:val="32"/>
          <w:szCs w:val="32"/>
        </w:rPr>
        <w:t>启动森林火灾扑救响应机制，不区分响应等级，即：一旦发生森林火灾，符合下述条件之一，区森防指立即下达进入Ⅰ级响应级别（最高等级）的指令。</w:t>
      </w:r>
    </w:p>
    <w:p w14:paraId="7F64C263">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6.2 启动条件 </w:t>
      </w:r>
    </w:p>
    <w:p w14:paraId="3E3CB5FB">
      <w:pPr>
        <w:spacing w:line="560" w:lineRule="exact"/>
        <w:ind w:firstLine="624" w:firstLineChars="200"/>
        <w:rPr>
          <w:rFonts w:ascii="仿宋_GB2312" w:eastAsia="仿宋_GB2312"/>
          <w:kern w:val="0"/>
          <w:sz w:val="32"/>
          <w:szCs w:val="32"/>
        </w:rPr>
      </w:pPr>
      <w:r>
        <w:rPr>
          <w:rFonts w:hint="eastAsia" w:ascii="仿宋_GB2312" w:hAnsi="仿宋_GB2312" w:eastAsia="仿宋_GB2312" w:cs="仿宋_GB2312"/>
          <w:kern w:val="0"/>
          <w:sz w:val="32"/>
          <w:szCs w:val="32"/>
        </w:rPr>
        <w:t>（1）</w:t>
      </w:r>
      <w:r>
        <w:rPr>
          <w:rFonts w:hint="eastAsia" w:ascii="仿宋_GB2312" w:eastAsia="仿宋_GB2312" w:cs="仿宋_GB2312"/>
          <w:kern w:val="0"/>
          <w:sz w:val="32"/>
          <w:szCs w:val="32"/>
        </w:rPr>
        <w:t>沿海防护林或其他林区起火</w:t>
      </w:r>
      <w:r>
        <w:rPr>
          <w:rFonts w:hint="eastAsia" w:ascii="仿宋_GB2312" w:hAnsi="仿宋_GB2312" w:eastAsia="仿宋_GB2312" w:cs="仿宋_GB2312"/>
          <w:kern w:val="0"/>
          <w:sz w:val="32"/>
          <w:szCs w:val="32"/>
        </w:rPr>
        <w:t>30分钟尚未扑灭明火</w:t>
      </w:r>
      <w:r>
        <w:rPr>
          <w:rFonts w:hint="eastAsia" w:ascii="仿宋_GB2312" w:eastAsia="仿宋_GB2312" w:cs="仿宋_GB2312"/>
          <w:kern w:val="0"/>
          <w:sz w:val="32"/>
          <w:szCs w:val="32"/>
        </w:rPr>
        <w:t>森林火灾；</w:t>
      </w:r>
    </w:p>
    <w:p w14:paraId="3BA2A0E2">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eastAsia="仿宋_GB2312" w:cs="仿宋_GB2312"/>
          <w:kern w:val="0"/>
          <w:sz w:val="32"/>
          <w:szCs w:val="32"/>
        </w:rPr>
        <w:t>过火林地面积初步判断超过</w:t>
      </w:r>
      <w:r>
        <w:rPr>
          <w:rFonts w:ascii="仿宋_GB2312" w:eastAsia="仿宋_GB2312" w:cs="仿宋_GB2312"/>
          <w:kern w:val="0"/>
          <w:sz w:val="32"/>
          <w:szCs w:val="32"/>
        </w:rPr>
        <w:t>1</w:t>
      </w:r>
      <w:r>
        <w:rPr>
          <w:rFonts w:hint="eastAsia" w:ascii="仿宋_GB2312" w:eastAsia="仿宋_GB2312" w:cs="仿宋_GB2312"/>
          <w:kern w:val="0"/>
          <w:sz w:val="32"/>
          <w:szCs w:val="32"/>
        </w:rPr>
        <w:t>公顷，仍无法得到有效控制；</w:t>
      </w:r>
    </w:p>
    <w:p w14:paraId="1C844D42">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符合上述条件之一，区森防指启动</w:t>
      </w:r>
      <w:r>
        <w:rPr>
          <w:rFonts w:hint="eastAsia" w:ascii="仿宋_GB2312" w:eastAsia="仿宋_GB2312" w:cs="仿宋_GB2312"/>
          <w:kern w:val="0"/>
          <w:sz w:val="32"/>
          <w:szCs w:val="32"/>
        </w:rPr>
        <w:t>Ⅰ级</w:t>
      </w:r>
      <w:r>
        <w:rPr>
          <w:rFonts w:hint="eastAsia" w:ascii="仿宋_GB2312" w:hAnsi="仿宋_GB2312" w:eastAsia="仿宋_GB2312" w:cs="仿宋_GB2312"/>
          <w:kern w:val="0"/>
          <w:sz w:val="32"/>
          <w:szCs w:val="32"/>
        </w:rPr>
        <w:t xml:space="preserve">响应。 </w:t>
      </w:r>
    </w:p>
    <w:p w14:paraId="1BBE1AC1">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6.3 响应措施 </w:t>
      </w:r>
    </w:p>
    <w:p w14:paraId="25F35BB7">
      <w:pPr>
        <w:spacing w:line="560" w:lineRule="exact"/>
        <w:ind w:firstLine="624" w:firstLineChars="200"/>
        <w:rPr>
          <w:rFonts w:ascii="仿宋_GB2312" w:eastAsia="仿宋_GB2312" w:cs="仿宋_GB2312"/>
          <w:kern w:val="0"/>
          <w:sz w:val="32"/>
          <w:szCs w:val="32"/>
        </w:rPr>
      </w:pPr>
      <w:r>
        <w:rPr>
          <w:rFonts w:hint="eastAsia" w:ascii="仿宋_GB2312" w:eastAsia="仿宋_GB2312" w:cs="仿宋_GB2312"/>
          <w:kern w:val="0"/>
          <w:sz w:val="32"/>
          <w:szCs w:val="32"/>
        </w:rPr>
        <w:t>（1）区森防指办进入应急状态，研判火情发展态势，加强火情监测，及时调度火情信息；</w:t>
      </w:r>
    </w:p>
    <w:p w14:paraId="6F16A755">
      <w:pPr>
        <w:spacing w:line="560" w:lineRule="exact"/>
        <w:ind w:firstLine="624" w:firstLineChars="200"/>
        <w:rPr>
          <w:rFonts w:ascii="仿宋_GB2312" w:eastAsia="仿宋_GB2312"/>
          <w:kern w:val="0"/>
          <w:sz w:val="32"/>
          <w:szCs w:val="32"/>
        </w:rPr>
      </w:pPr>
      <w:r>
        <w:rPr>
          <w:rFonts w:hint="eastAsia" w:ascii="仿宋_GB2312" w:eastAsia="仿宋_GB2312" w:cs="仿宋_GB2312"/>
          <w:kern w:val="0"/>
          <w:sz w:val="32"/>
          <w:szCs w:val="32"/>
        </w:rPr>
        <w:t>（2）区森防指指挥长、副指挥长和相关成员单位负责人赶赴火场第一线，前线指挥部开始运行。区森防指成员单位根据区森防指分工开展森林火灾应急处置工作；</w:t>
      </w:r>
    </w:p>
    <w:p w14:paraId="27A493A7">
      <w:pPr>
        <w:spacing w:line="560" w:lineRule="exact"/>
        <w:ind w:firstLine="624" w:firstLineChars="200"/>
        <w:rPr>
          <w:rFonts w:ascii="仿宋_GB2312" w:eastAsia="仿宋_GB2312"/>
          <w:kern w:val="0"/>
          <w:sz w:val="32"/>
          <w:szCs w:val="32"/>
        </w:rPr>
      </w:pPr>
      <w:r>
        <w:rPr>
          <w:rFonts w:hint="eastAsia" w:ascii="仿宋_GB2312" w:eastAsia="仿宋_GB2312" w:cs="仿宋_GB2312"/>
          <w:kern w:val="0"/>
          <w:sz w:val="32"/>
          <w:szCs w:val="32"/>
        </w:rPr>
        <w:t>（3）前线指挥部组织森林扑火专家组成员立即开展火情会商，分析火灾发生地火险形势，研判火灾发展态势，提出科学有效的扑救意见或建议，形成扑救方案；</w:t>
      </w:r>
    </w:p>
    <w:p w14:paraId="4DB02CB2">
      <w:pPr>
        <w:spacing w:line="560" w:lineRule="exact"/>
        <w:ind w:firstLine="624" w:firstLineChars="200"/>
        <w:rPr>
          <w:rFonts w:ascii="仿宋_GB2312" w:eastAsia="仿宋_GB2312"/>
          <w:kern w:val="0"/>
          <w:sz w:val="32"/>
          <w:szCs w:val="32"/>
        </w:rPr>
      </w:pPr>
      <w:r>
        <w:rPr>
          <w:rFonts w:hint="eastAsia" w:ascii="仿宋_GB2312" w:eastAsia="仿宋_GB2312" w:cs="仿宋_GB2312"/>
          <w:kern w:val="0"/>
          <w:sz w:val="32"/>
          <w:szCs w:val="32"/>
        </w:rPr>
        <w:t>（4）加强重要目标物和重大危险源的保护，防止次生灾害；</w:t>
      </w:r>
    </w:p>
    <w:p w14:paraId="707741F4">
      <w:pPr>
        <w:spacing w:line="560" w:lineRule="exact"/>
        <w:ind w:firstLine="624" w:firstLineChars="200"/>
        <w:rPr>
          <w:rFonts w:ascii="仿宋_GB2312" w:eastAsia="仿宋_GB2312"/>
          <w:kern w:val="0"/>
          <w:sz w:val="32"/>
          <w:szCs w:val="32"/>
        </w:rPr>
      </w:pPr>
      <w:r>
        <w:rPr>
          <w:rFonts w:hint="eastAsia" w:ascii="仿宋_GB2312" w:eastAsia="仿宋_GB2312" w:cs="仿宋_GB2312"/>
          <w:kern w:val="0"/>
          <w:sz w:val="32"/>
          <w:szCs w:val="32"/>
        </w:rPr>
        <w:t>（5）视情向市森防指申请直升机飞机参与森林火灾扑救；</w:t>
      </w:r>
    </w:p>
    <w:p w14:paraId="3CE48002">
      <w:pPr>
        <w:spacing w:line="560" w:lineRule="exact"/>
        <w:ind w:firstLine="624" w:firstLineChars="200"/>
        <w:rPr>
          <w:rFonts w:ascii="仿宋_GB2312" w:eastAsia="仿宋_GB2312"/>
          <w:kern w:val="0"/>
          <w:sz w:val="32"/>
          <w:szCs w:val="32"/>
        </w:rPr>
      </w:pPr>
      <w:r>
        <w:rPr>
          <w:rFonts w:hint="eastAsia" w:ascii="仿宋_GB2312" w:eastAsia="仿宋_GB2312" w:cs="仿宋_GB2312"/>
          <w:kern w:val="0"/>
          <w:sz w:val="32"/>
          <w:szCs w:val="32"/>
        </w:rPr>
        <w:t>（6）落实省、市森防指要求，开展森林火灾应急处置相关工作；</w:t>
      </w:r>
    </w:p>
    <w:p w14:paraId="6E9ECAE9">
      <w:pPr>
        <w:spacing w:line="560" w:lineRule="exact"/>
        <w:ind w:firstLine="624" w:firstLineChars="200"/>
        <w:rPr>
          <w:rFonts w:ascii="仿宋_GB2312" w:eastAsia="仿宋_GB2312" w:cs="仿宋_GB2312"/>
          <w:kern w:val="0"/>
          <w:sz w:val="32"/>
          <w:szCs w:val="32"/>
        </w:rPr>
      </w:pPr>
      <w:r>
        <w:rPr>
          <w:rFonts w:hint="eastAsia" w:ascii="仿宋_GB2312" w:eastAsia="仿宋_GB2312" w:cs="仿宋_GB2312"/>
          <w:kern w:val="0"/>
          <w:sz w:val="32"/>
          <w:szCs w:val="32"/>
        </w:rPr>
        <w:t>（7）加强舆情分析，及时发布森林火灾信息，组织开展森林火灾扑救宣传报道及舆论引导工作。</w:t>
      </w:r>
    </w:p>
    <w:p w14:paraId="2D5620C9">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6.4 响应程序 </w:t>
      </w:r>
    </w:p>
    <w:p w14:paraId="74D9713F">
      <w:pPr>
        <w:spacing w:line="560" w:lineRule="exact"/>
        <w:ind w:firstLine="624" w:firstLineChars="200"/>
        <w:rPr>
          <w:rFonts w:ascii="仿宋_GB2312" w:eastAsia="仿宋_GB2312" w:cs="仿宋_GB2312"/>
          <w:kern w:val="0"/>
          <w:sz w:val="32"/>
          <w:szCs w:val="32"/>
        </w:rPr>
      </w:pPr>
      <w:r>
        <w:rPr>
          <w:rFonts w:hint="eastAsia" w:ascii="仿宋_GB2312" w:eastAsia="仿宋_GB2312" w:cs="仿宋_GB2312"/>
          <w:kern w:val="0"/>
          <w:sz w:val="32"/>
          <w:szCs w:val="32"/>
        </w:rPr>
        <w:t>当火情出现符合区级预案响应条件时，经区森防指批准，启动本预案应急，区森防指办按照响应措施组织开展相关工作。在森林火灾全部扑灭、火场清理验收合格、次生灾害后果消除后，由区森防指决定终止应急响应，恢复正常森林防火工作。</w:t>
      </w:r>
    </w:p>
    <w:p w14:paraId="2BEB8AEF">
      <w:pPr>
        <w:spacing w:line="56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 xml:space="preserve">7.应急保障 </w:t>
      </w:r>
    </w:p>
    <w:p w14:paraId="619D6350">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7.1 扑火力量保障 </w:t>
      </w:r>
    </w:p>
    <w:p w14:paraId="69463BD2">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要按照“专群结合、以专为主”的原则，加强专业（半专业）扑火队伍、预备队伍和群众扑火队伍建设，配备“以水为主、风水结合”的森林火灾扑救装备。跨区市增援以区市森林消防专业队伍、森林防灭火巡查员队伍为主。</w:t>
      </w:r>
    </w:p>
    <w:p w14:paraId="569F1F1E">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7.2 物资储备保障 </w:t>
      </w:r>
    </w:p>
    <w:p w14:paraId="298336C2">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区森林防灭火指挥部根据本地森林防灭火工作需要，建立本级森林防灭火物资储备库，储备所需的扑火机具、装备和物资。</w:t>
      </w:r>
    </w:p>
    <w:p w14:paraId="4F652FCC">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7.3 资金保障 </w:t>
      </w:r>
    </w:p>
    <w:p w14:paraId="5A11892D">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区管委应当将森林防灭火基础设施建设纳入本级国民 经济和社会发展规划，将防灭火经费纳入本级财政预算，保障森林防灭火所需支出。处置森林火灾所需资金，按现行事权划分原则，多渠道筹集，分级负担，满足扑救森林火灾需要。 </w:t>
      </w:r>
    </w:p>
    <w:p w14:paraId="3A86E657">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7.4 通信与信息保障 </w:t>
      </w:r>
    </w:p>
    <w:p w14:paraId="310C6E16">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建立健全森林防灭火通信网络和火场应急通信保障系统，区、街道完善应急通信保障预案，实现区、街道联网、兼容互通，为扑火工作提供及时、通畅、可靠的通信信息保障。 </w:t>
      </w:r>
    </w:p>
    <w:p w14:paraId="1CD1B56A">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7.5 后勤保障 </w:t>
      </w:r>
    </w:p>
    <w:p w14:paraId="273DD5AC">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级森林防灭火指挥部要建立森林火灾扑救应急保障机制，加强应急车辆的配备和应急物资、生活用品的供应，解决所有参与指挥和扑救人员的运输工具、饮食、饮水、保暖和油料等问题。要在火场成立保障调运小组，根据前方扑救工作需要提供有效保障。</w:t>
      </w:r>
    </w:p>
    <w:p w14:paraId="7196BEA7">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7.6 应急队伍培训演练 </w:t>
      </w:r>
    </w:p>
    <w:p w14:paraId="68A56E40">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各级森林防灭火指挥部要有计划地对相关人员进行扑火技战术和安全知识培训。区森林防灭火指挥部每年都要组织专业队、半专业队进行 1-2 次的扑火演练。  </w:t>
      </w:r>
    </w:p>
    <w:p w14:paraId="113CD045">
      <w:pPr>
        <w:spacing w:line="56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 xml:space="preserve">8.后期处置 </w:t>
      </w:r>
    </w:p>
    <w:p w14:paraId="52D815A6">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8.1 恢复与重建 </w:t>
      </w:r>
    </w:p>
    <w:p w14:paraId="41284CC5">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管委及有关部门和单位要严格按照有关规定，迅速组织力量开展灾情核实和恢复重建工作，同时对森林火灾中伤亡人员、应急工作人员以及紧急调集、征用的物资，按规定给予抚恤、补助和补偿。并组织开展火烧迹地的林木恢复。</w:t>
      </w:r>
    </w:p>
    <w:p w14:paraId="727FAEE2">
      <w:pPr>
        <w:spacing w:line="560" w:lineRule="exact"/>
        <w:ind w:firstLine="624"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8.2 调查与处理</w:t>
      </w:r>
      <w:r>
        <w:rPr>
          <w:rFonts w:hint="eastAsia" w:ascii="仿宋_GB2312" w:hAnsi="仿宋_GB2312" w:eastAsia="仿宋_GB2312" w:cs="仿宋_GB2312"/>
          <w:kern w:val="0"/>
          <w:sz w:val="32"/>
          <w:szCs w:val="32"/>
        </w:rPr>
        <w:t xml:space="preserve"> </w:t>
      </w:r>
    </w:p>
    <w:p w14:paraId="160BFB3E">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森林火灾处置完毕后，由区管委组成调查组，及时对火灾起因、性质、责任等问题进行调查、分析，提出改进措施。属于责任事件的，应当对责任单位和个人提出处理意见。 </w:t>
      </w:r>
    </w:p>
    <w:p w14:paraId="1E5C0E33">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8.3 总结与汇报 </w:t>
      </w:r>
    </w:p>
    <w:p w14:paraId="58C26767">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火灾发生地街道及区有关部门和单位要及时对应急处置工作进行总结，提出加强和改进森林火灾应急工作的建议和意见，于善后处置工作结束后7天内，以书面形式报区管委和区森防指。 </w:t>
      </w:r>
    </w:p>
    <w:p w14:paraId="48772742">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8.4 奖励与责任追究 </w:t>
      </w:r>
    </w:p>
    <w:p w14:paraId="29664F5F">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根据有关法律法规，对在扑火工作中贡献突出的单位和个人给予表扬奖励，对在森林火灾预防和扑救中负有责任的人员按照有关规定追究责任。对扑火工作中牺牲人员符合评定烈士条件的，按有关规定办理。 </w:t>
      </w:r>
    </w:p>
    <w:p w14:paraId="3C30455B">
      <w:pPr>
        <w:spacing w:line="56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 xml:space="preserve">9.附 则 </w:t>
      </w:r>
    </w:p>
    <w:p w14:paraId="237B1B48">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9.1 本预案由区森林防灭火指挥部办公室负责组织编制，区管委批准后实施。</w:t>
      </w:r>
    </w:p>
    <w:p w14:paraId="0118FBC8">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9.2 本预案由区森林防灭火指挥部办公室负责解释。 </w:t>
      </w:r>
    </w:p>
    <w:p w14:paraId="10E98112">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9.3 本预案自印发之日起施行。</w:t>
      </w:r>
    </w:p>
    <w:p w14:paraId="1D7CB744">
      <w:pPr>
        <w:spacing w:line="560" w:lineRule="exact"/>
      </w:pPr>
    </w:p>
    <w:p w14:paraId="46EBEA6B">
      <w:pPr>
        <w:spacing w:line="560" w:lineRule="exact"/>
      </w:pPr>
    </w:p>
    <w:p w14:paraId="3EB177B8">
      <w:pPr>
        <w:spacing w:line="560" w:lineRule="exact"/>
      </w:pPr>
    </w:p>
    <w:p w14:paraId="3629013F">
      <w:pPr>
        <w:spacing w:line="560" w:lineRule="exact"/>
      </w:pPr>
    </w:p>
    <w:p w14:paraId="388A1784">
      <w:pPr>
        <w:spacing w:line="560" w:lineRule="exact"/>
      </w:pPr>
    </w:p>
    <w:p w14:paraId="48F4DD83">
      <w:pPr>
        <w:spacing w:line="560" w:lineRule="exact"/>
      </w:pPr>
    </w:p>
    <w:p w14:paraId="66DE02D9">
      <w:pPr>
        <w:spacing w:line="560" w:lineRule="exact"/>
      </w:pPr>
    </w:p>
    <w:p w14:paraId="52A9AD31">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烟台高新区防汛抗旱防台风</w:t>
      </w:r>
      <w:r>
        <w:rPr>
          <w:rFonts w:hint="eastAsia" w:ascii="方正小标宋简体" w:hAnsi="Helvetica" w:eastAsia="方正小标宋简体" w:cs="Helvetica"/>
          <w:sz w:val="44"/>
          <w:szCs w:val="44"/>
        </w:rPr>
        <w:t>专项</w:t>
      </w:r>
      <w:r>
        <w:rPr>
          <w:rFonts w:hint="eastAsia" w:ascii="方正小标宋简体" w:hAnsi="方正小标宋简体" w:eastAsia="方正小标宋简体" w:cs="方正小标宋简体"/>
          <w:sz w:val="44"/>
          <w:szCs w:val="44"/>
        </w:rPr>
        <w:t>应急预案</w:t>
      </w:r>
    </w:p>
    <w:p w14:paraId="33E9B434">
      <w:pPr>
        <w:spacing w:line="560" w:lineRule="exact"/>
        <w:rPr>
          <w:rFonts w:ascii="仿宋_GB2312" w:hAnsi="仿宋_GB2312" w:eastAsia="仿宋_GB2312" w:cs="仿宋_GB2312"/>
          <w:sz w:val="32"/>
          <w:szCs w:val="32"/>
        </w:rPr>
      </w:pPr>
    </w:p>
    <w:p w14:paraId="6A72E43F">
      <w:pPr>
        <w:tabs>
          <w:tab w:val="left" w:pos="411"/>
        </w:tabs>
        <w:spacing w:line="560" w:lineRule="exact"/>
        <w:ind w:firstLine="624" w:firstLineChars="200"/>
        <w:rPr>
          <w:rFonts w:ascii="黑体" w:hAnsi="黑体" w:eastAsia="黑体" w:cs="黑体"/>
          <w:sz w:val="32"/>
          <w:szCs w:val="32"/>
        </w:rPr>
      </w:pPr>
      <w:r>
        <w:rPr>
          <w:rFonts w:hint="eastAsia" w:ascii="黑体" w:hAnsi="黑体" w:eastAsia="黑体" w:cs="黑体"/>
          <w:sz w:val="32"/>
          <w:szCs w:val="32"/>
        </w:rPr>
        <w:t xml:space="preserve">1.总 则 </w:t>
      </w:r>
    </w:p>
    <w:p w14:paraId="76208716">
      <w:pPr>
        <w:spacing w:line="560" w:lineRule="exact"/>
        <w:ind w:firstLine="624"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1.1 编制目的</w:t>
      </w:r>
      <w:r>
        <w:rPr>
          <w:rFonts w:hint="eastAsia" w:ascii="仿宋_GB2312" w:hAnsi="仿宋_GB2312" w:eastAsia="仿宋_GB2312" w:cs="仿宋_GB2312"/>
          <w:sz w:val="32"/>
          <w:szCs w:val="32"/>
        </w:rPr>
        <w:t xml:space="preserve"> </w:t>
      </w:r>
    </w:p>
    <w:p w14:paraId="71B1CD33">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做好水旱、台风灾害的防范和处置工作，保证防汛抗旱应急工作依法、科学、高效、有序进行，最大程度减少人员伤亡和财产损失。</w:t>
      </w:r>
    </w:p>
    <w:p w14:paraId="05864D54">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1.2 适用范围 </w:t>
      </w:r>
    </w:p>
    <w:p w14:paraId="46DCB1C7">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本预案适用于辖区内水旱、台风灾害的防范和应急处置。 </w:t>
      </w:r>
    </w:p>
    <w:p w14:paraId="46768C0B">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1.3 工作原则 </w:t>
      </w:r>
    </w:p>
    <w:p w14:paraId="06770CA5">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坚持以人为本、安全第一，统一指挥、属地管理、分级分部门负责，以防为主、防抗救结合，依法防控、群防群控的原则。 </w:t>
      </w:r>
    </w:p>
    <w:p w14:paraId="4B47CA1A">
      <w:pPr>
        <w:spacing w:line="560" w:lineRule="exact"/>
        <w:ind w:firstLine="624" w:firstLineChars="200"/>
        <w:rPr>
          <w:rFonts w:ascii="仿宋_GB2312" w:hAnsi="仿宋_GB2312" w:eastAsia="仿宋_GB2312" w:cs="仿宋_GB2312"/>
          <w:sz w:val="32"/>
          <w:szCs w:val="32"/>
        </w:rPr>
      </w:pPr>
      <w:r>
        <w:rPr>
          <w:rFonts w:hint="eastAsia" w:ascii="黑体" w:hAnsi="黑体" w:eastAsia="黑体" w:cs="黑体"/>
          <w:sz w:val="32"/>
          <w:szCs w:val="32"/>
        </w:rPr>
        <w:t>2.组织指挥体系及职责</w:t>
      </w:r>
      <w:r>
        <w:rPr>
          <w:rFonts w:hint="eastAsia" w:ascii="仿宋_GB2312" w:hAnsi="仿宋_GB2312" w:eastAsia="仿宋_GB2312" w:cs="仿宋_GB2312"/>
          <w:sz w:val="32"/>
          <w:szCs w:val="32"/>
        </w:rPr>
        <w:t xml:space="preserve"> </w:t>
      </w:r>
    </w:p>
    <w:p w14:paraId="11404327">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区管委成立区防汛抗旱指挥部（以下简称区防指），负责组织、领导区防汛抗旱防台风工作。其办事机构区防指办公室（以下简称区防办）设在区应急分局，</w:t>
      </w:r>
      <w:r>
        <w:rPr>
          <w:rFonts w:hint="eastAsia" w:ascii="仿宋_GB2312" w:hAnsi="仿宋_GB2312" w:eastAsia="仿宋_GB2312" w:cs="仿宋_GB2312"/>
          <w:bCs/>
          <w:kern w:val="4"/>
          <w:sz w:val="32"/>
          <w:szCs w:val="32"/>
        </w:rPr>
        <w:t>承担指挥部日常工作，应急分局局长兼任办公室主任</w:t>
      </w:r>
      <w:r>
        <w:rPr>
          <w:rFonts w:hint="eastAsia" w:ascii="仿宋_GB2312" w:hAnsi="仿宋_GB2312" w:eastAsia="仿宋_GB2312" w:cs="仿宋_GB2312"/>
          <w:sz w:val="32"/>
          <w:szCs w:val="32"/>
        </w:rPr>
        <w:t>。区防指在区综合行政执法局设立城市防汛抗旱办公室。</w:t>
      </w:r>
    </w:p>
    <w:p w14:paraId="19504F1D">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2.1 市级防汛抗旱指挥机构 </w:t>
      </w:r>
    </w:p>
    <w:p w14:paraId="6F77ED8B">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区防汛抗旱指挥部（简称区防指）组成如下： </w:t>
      </w:r>
    </w:p>
    <w:p w14:paraId="3595D136">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指      挥：区管委主任 </w:t>
      </w:r>
    </w:p>
    <w:p w14:paraId="622AE30C">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常务副指挥：区工委副书记、管委副主任</w:t>
      </w:r>
    </w:p>
    <w:p w14:paraId="269E2A0F">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副  指  挥：区管委分管应急副主任 </w:t>
      </w:r>
    </w:p>
    <w:p w14:paraId="118A85AB">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      员：区综合管理部、经济发展部、综合行政执法局、财政金融部、规划国土建设部、教育分局、社会事业管理服务中心、卫生健康管理办公室、应急分局、公安分局、消防救援大队、电信分公司、移动分公司、联通分公司、区供电所等部门和单位的主要负责人。</w:t>
      </w:r>
    </w:p>
    <w:p w14:paraId="44F1256C">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2.2 工作职责 </w:t>
      </w:r>
    </w:p>
    <w:p w14:paraId="25A975AC">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2.2.1 区防指职责 </w:t>
      </w:r>
    </w:p>
    <w:p w14:paraId="56CF977A">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组织、指挥、监督、协调全区防汛抗旱防台风工作。贯彻实施有关防汛抗旱工作的法律、法规和方针政策，执行市防指、区工委、管委的命令、指令，作出全区防汛抗旱防台风工作安排部署，督促检查防抗工作责任制落实，组织开展安全检查，统一组织、指挥全区水旱、台风灾害防治和应急处置，调配全区应急力量和物资，协调驻军部队参与应急救援工作。</w:t>
      </w:r>
    </w:p>
    <w:p w14:paraId="37C0E468">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全区防汛抗旱防台风工作实行区管委领导包区域包重点防洪工程责任制，代表区防指对分包区域行使灾害应对指导、协调、监督的权利。 </w:t>
      </w:r>
    </w:p>
    <w:p w14:paraId="2630724E">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2.2.2 市防指成员单位职责 </w:t>
      </w:r>
    </w:p>
    <w:p w14:paraId="53752266">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防指各成员单位按照“行业管、管行业”的原则，逐级落实责任制，开展安全检查，督促整改存在问题和隐患，落实防范措施，组织做好本系统、本行业、本单位的防抗工作。认真贯彻落实区工委、管委和区防指关于防汛抗旱防台风工作部署，执行区防指防汛抗旱防台风和抢险救灾指令，各司其职，团结协作，共同做好全区防汛抗旱防台风工作。 </w:t>
      </w:r>
    </w:p>
    <w:p w14:paraId="2F7FB170">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综合管理部：负责指导协调全区防汛抗旱防台风工作宣传、新闻发布和舆论引导工作，组织协调有关部门统一发布突发事件信息。</w:t>
      </w:r>
    </w:p>
    <w:p w14:paraId="371558DD">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应急分局：承担区防指日常工作，组织指导协调水旱灾害应急救援和台风防御工作，协助区工委、管委指定的负责同志组织较大灾害应急处置工作。综合指导协调水旱灾害防治工作，负责水旱、台风灾害综合监测预警工作，指导开展水旱、台风灾害综合风险评估工作。统筹全区应急救援力量建设，组织指导有关方面提前落实抢险队伍、预置抢险物资、开展巡查值守、做好应急抢险和人员转移准备。组织指导灾情核查、损失评估、救灾捐赠工作，下达指令调拨救灾储备物资，管理、分配区救灾款物并监督使用。组织开展水旱、台风灾害突发事件调查评估工作。依法统一发布灾情信息。负责组织、指导监管行业领域防汛防台风期间安全生产工作。 </w:t>
      </w:r>
    </w:p>
    <w:p w14:paraId="35C11127">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合行政执法局：负责指导水旱灾害防御工作，指导全区水旱灾害防御物资的储备与管理、队伍的建设与管理。落实综合防灾减灾规划相关要求，组织编制洪水干旱灾害防治规划和防护标准并指导实施。组织编制重要河道湖泊和重要水工程的防御洪水抗御旱灾调度以及应急水量调度方案，按程序报批并组织实施。承担水情、旱情监测预警和防御洪水应急抢险救援的技术支撑工作。承担台风防御期间重要水工程调度工作。当预报发生大洪水或突发险情时，按照区防指部署，负责牵头组织防洪会商，开展水利工程巡查值守，组织指导水利工程洪水调度和险情应急处置工作</w:t>
      </w:r>
      <w:r>
        <w:rPr>
          <w:rFonts w:hint="eastAsia" w:ascii="仿宋_GB2312" w:hAnsi="仿宋_GB2312" w:eastAsia="仿宋_GB2312" w:cs="仿宋_GB2312"/>
          <w:b/>
          <w:bCs/>
          <w:sz w:val="32"/>
          <w:szCs w:val="32"/>
        </w:rPr>
        <w:t>（水利）</w:t>
      </w:r>
      <w:r>
        <w:rPr>
          <w:rFonts w:hint="eastAsia" w:ascii="仿宋_GB2312" w:hAnsi="仿宋_GB2312" w:eastAsia="仿宋_GB2312" w:cs="仿宋_GB2312"/>
          <w:sz w:val="32"/>
          <w:szCs w:val="32"/>
        </w:rPr>
        <w:t>。负责做好雨情、水情、墒情测报，提供洪水预报和旱情预测。</w:t>
      </w:r>
      <w:r>
        <w:rPr>
          <w:rFonts w:hint="eastAsia" w:ascii="仿宋_GB2312" w:hAnsi="仿宋_GB2312" w:eastAsia="仿宋_GB2312" w:cs="仿宋_GB2312"/>
          <w:b/>
          <w:bCs/>
          <w:sz w:val="32"/>
          <w:szCs w:val="32"/>
        </w:rPr>
        <w:t>（水文）</w:t>
      </w:r>
      <w:r>
        <w:rPr>
          <w:rFonts w:hint="eastAsia" w:ascii="仿宋_GB2312" w:hAnsi="仿宋_GB2312" w:eastAsia="仿宋_GB2312" w:cs="仿宋_GB2312"/>
          <w:sz w:val="32"/>
          <w:szCs w:val="32"/>
        </w:rPr>
        <w:t>。承担城市防汛抗旱办公室日常工作，牵头组织指导城市防汛防台风工作。指导城市应急供水预案的制定和监督实施。指导做好城市排水防涝、供水、供气、市政隧道、排水泵站等公用设施的安全运行管理</w:t>
      </w:r>
      <w:r>
        <w:rPr>
          <w:rFonts w:hint="eastAsia" w:ascii="仿宋_GB2312" w:hAnsi="仿宋_GB2312" w:eastAsia="仿宋_GB2312" w:cs="仿宋_GB2312"/>
          <w:b/>
          <w:bCs/>
          <w:sz w:val="32"/>
          <w:szCs w:val="32"/>
        </w:rPr>
        <w:t>（城管）</w:t>
      </w:r>
      <w:r>
        <w:rPr>
          <w:rFonts w:hint="eastAsia" w:ascii="仿宋_GB2312" w:hAnsi="仿宋_GB2312" w:eastAsia="仿宋_GB2312" w:cs="仿宋_GB2312"/>
          <w:sz w:val="32"/>
          <w:szCs w:val="32"/>
        </w:rPr>
        <w:t xml:space="preserve">。 </w:t>
      </w:r>
    </w:p>
    <w:p w14:paraId="36F6A6ED">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经济发展部：配合行业部门做好重点工程除险加固规划，积极争取上级政策、资金支持。督导核电企业的防抗工作。承担区级生活类救灾物资的收储、轮换和日常管理，根据区应急分局的动用指令按程序组织调出</w:t>
      </w:r>
      <w:r>
        <w:rPr>
          <w:rFonts w:hint="eastAsia" w:ascii="仿宋_GB2312" w:hAnsi="仿宋_GB2312" w:eastAsia="仿宋_GB2312" w:cs="仿宋_GB2312"/>
          <w:b/>
          <w:bCs/>
          <w:sz w:val="32"/>
          <w:szCs w:val="32"/>
        </w:rPr>
        <w:t>（发改）</w:t>
      </w:r>
      <w:r>
        <w:rPr>
          <w:rFonts w:hint="eastAsia" w:ascii="仿宋_GB2312" w:hAnsi="仿宋_GB2312" w:eastAsia="仿宋_GB2312" w:cs="仿宋_GB2312"/>
          <w:sz w:val="32"/>
          <w:szCs w:val="32"/>
        </w:rPr>
        <w:t>。负责组织协调本地防汛抗旱抢险救援有关应急产品的生产，协调抗洪抢险、抗旱救灾期间的应急无线电频率保障</w:t>
      </w:r>
      <w:r>
        <w:rPr>
          <w:rFonts w:hint="eastAsia" w:ascii="仿宋_GB2312" w:hAnsi="仿宋_GB2312" w:eastAsia="仿宋_GB2312" w:cs="仿宋_GB2312"/>
          <w:b/>
          <w:bCs/>
          <w:sz w:val="32"/>
          <w:szCs w:val="32"/>
        </w:rPr>
        <w:t>（工信）</w:t>
      </w:r>
      <w:r>
        <w:rPr>
          <w:rFonts w:hint="eastAsia" w:ascii="仿宋_GB2312" w:hAnsi="仿宋_GB2312" w:eastAsia="仿宋_GB2312" w:cs="仿宋_GB2312"/>
          <w:sz w:val="32"/>
          <w:szCs w:val="32"/>
        </w:rPr>
        <w:t>。负责做好沿海风暴潮、海浪的预警预报工作。组织做好渔船和沿海渔业养殖、海洋牧场平台等防风、防风暴潮和海浪工作。组织、指导渔业互保和抗灾救灾相关工作。负责所辖海域内船舶防台风组织、指导协调工作；负责向渔业船舶发布航行警（通）告和提供预警信息；负责海上险情、船舶污染事故的应急处置工作。</w:t>
      </w:r>
      <w:r>
        <w:rPr>
          <w:rFonts w:hint="eastAsia" w:ascii="仿宋_GB2312" w:hAnsi="仿宋_GB2312" w:eastAsia="仿宋_GB2312" w:cs="仿宋_GB2312"/>
          <w:b/>
          <w:bCs/>
          <w:sz w:val="32"/>
          <w:szCs w:val="32"/>
        </w:rPr>
        <w:t>（海洋）</w:t>
      </w:r>
      <w:r>
        <w:rPr>
          <w:rFonts w:hint="eastAsia" w:ascii="仿宋_GB2312" w:hAnsi="仿宋_GB2312" w:eastAsia="仿宋_GB2312" w:cs="仿宋_GB2312"/>
          <w:sz w:val="32"/>
          <w:szCs w:val="32"/>
        </w:rPr>
        <w:t>。负责在区防指和综合管理部授权下，协调广播、电视媒体对抢险救灾工作的宣传报道，向公众发布雨水情、汛情、旱情、风暴潮等信息，向社会宣传抢险救灾、抗灾自救知识。负责指导A级旅游景区防汛防台风工作</w:t>
      </w:r>
      <w:r>
        <w:rPr>
          <w:rFonts w:hint="eastAsia" w:ascii="仿宋_GB2312" w:hAnsi="仿宋_GB2312" w:eastAsia="仿宋_GB2312" w:cs="仿宋_GB2312"/>
          <w:b/>
          <w:bCs/>
          <w:sz w:val="32"/>
          <w:szCs w:val="32"/>
        </w:rPr>
        <w:t>（文旅）</w:t>
      </w:r>
      <w:r>
        <w:rPr>
          <w:rFonts w:hint="eastAsia" w:ascii="仿宋_GB2312" w:hAnsi="仿宋_GB2312" w:eastAsia="仿宋_GB2312" w:cs="仿宋_GB2312"/>
          <w:sz w:val="32"/>
          <w:szCs w:val="32"/>
        </w:rPr>
        <w:t>。</w:t>
      </w:r>
    </w:p>
    <w:p w14:paraId="3E493164">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教育分局：负责督导区属教育系统各级各类学校、幼儿园、培训机构做好防抗工作。组织指导做好教职员工、学生水旱、台风灾害应急知识教育，培养学校师生的安全意识、节水意识，提高其避险自救和互助能力，做好校舍安全排查和维护，努力消除各种安全隐患</w:t>
      </w:r>
    </w:p>
    <w:p w14:paraId="78830760">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安分局：负责维护灾区社会治安秩序，依法打击防汛抗旱工作中违法犯罪活动。协助有关部门妥善处置因防汛抗旱防台风引发的群体性事件，协助组织群众安全撤离或转移，协助做好河道清障及抢险救灾通行工作。</w:t>
      </w:r>
    </w:p>
    <w:p w14:paraId="58D1A175">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区财政金融部：负责区级防汛抗旱防台风、应急抢险救灾资金保障</w:t>
      </w:r>
    </w:p>
    <w:p w14:paraId="005D0F5F">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规划国土建设部：负责全区地质灾害防治工作，组织指导全区地质灾害调查评价、专业监测和预警预报等工作。做好地质灾害应急救援的技术支撑，负责指导、协调林区防汛防台风及国有林场、苗圃的救灾、生产性恢复工作，协调街道和有关部门清除河道行洪区内的阻水林木。及时提供林业旱情，组织指导林区减灾工作</w:t>
      </w:r>
      <w:r>
        <w:rPr>
          <w:rFonts w:hint="eastAsia" w:ascii="仿宋_GB2312" w:hAnsi="仿宋_GB2312" w:eastAsia="仿宋_GB2312" w:cs="仿宋_GB2312"/>
          <w:b/>
          <w:bCs/>
          <w:sz w:val="32"/>
          <w:szCs w:val="32"/>
        </w:rPr>
        <w:t>（自然资源）</w:t>
      </w:r>
      <w:r>
        <w:rPr>
          <w:rFonts w:hint="eastAsia" w:ascii="仿宋_GB2312" w:hAnsi="仿宋_GB2312" w:eastAsia="仿宋_GB2312" w:cs="仿宋_GB2312"/>
          <w:sz w:val="32"/>
          <w:szCs w:val="32"/>
        </w:rPr>
        <w:t>。负责全区建筑施工工程安全监管，指导做好城乡危房、建筑工地的安全工作</w:t>
      </w:r>
      <w:r>
        <w:rPr>
          <w:rFonts w:hint="eastAsia" w:ascii="仿宋_GB2312" w:hAnsi="仿宋_GB2312" w:eastAsia="仿宋_GB2312" w:cs="仿宋_GB2312"/>
          <w:b/>
          <w:bCs/>
          <w:sz w:val="32"/>
          <w:szCs w:val="32"/>
        </w:rPr>
        <w:t>（住建）</w:t>
      </w:r>
      <w:r>
        <w:rPr>
          <w:rFonts w:hint="eastAsia" w:ascii="仿宋_GB2312" w:hAnsi="仿宋_GB2312" w:eastAsia="仿宋_GB2312" w:cs="仿宋_GB2312"/>
          <w:sz w:val="32"/>
          <w:szCs w:val="32"/>
        </w:rPr>
        <w:t>。负责指导公路、水路、港口防汛抗旱防台风工 作。组织协调涉水、涉河在建交通运输工程安全度汛工作，在紧急情况下责成项目业主（建设单位）清除阻碍行洪设施。组织协调抢险救灾的交通保障和安全物资的运输工作</w:t>
      </w:r>
      <w:r>
        <w:rPr>
          <w:rFonts w:hint="eastAsia" w:ascii="仿宋_GB2312" w:hAnsi="仿宋_GB2312" w:eastAsia="仿宋_GB2312" w:cs="仿宋_GB2312"/>
          <w:b/>
          <w:bCs/>
          <w:sz w:val="32"/>
          <w:szCs w:val="32"/>
        </w:rPr>
        <w:t>（交通）。</w:t>
      </w:r>
    </w:p>
    <w:p w14:paraId="64B81533">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社会事业管理服务中心：负责农业防灾减灾和救灾工作。监测、提供农业旱涝灾情。指导农业紧急救灾和灾后生产恢复</w:t>
      </w:r>
      <w:r>
        <w:rPr>
          <w:rFonts w:hint="eastAsia" w:ascii="仿宋_GB2312" w:hAnsi="仿宋_GB2312" w:eastAsia="仿宋_GB2312" w:cs="仿宋_GB2312"/>
          <w:b/>
          <w:bCs/>
          <w:sz w:val="32"/>
          <w:szCs w:val="32"/>
        </w:rPr>
        <w:t>（农业农村）</w:t>
      </w:r>
      <w:r>
        <w:rPr>
          <w:rFonts w:hint="eastAsia" w:ascii="仿宋_GB2312" w:hAnsi="仿宋_GB2312" w:eastAsia="仿宋_GB2312" w:cs="仿宋_GB2312"/>
          <w:sz w:val="32"/>
          <w:szCs w:val="32"/>
        </w:rPr>
        <w:t>。负责提供天气气候监测、预测预报预警和人工影响天气的组织实施工作</w:t>
      </w:r>
      <w:r>
        <w:rPr>
          <w:rFonts w:hint="eastAsia" w:ascii="仿宋_GB2312" w:hAnsi="仿宋_GB2312" w:eastAsia="仿宋_GB2312" w:cs="仿宋_GB2312"/>
          <w:b/>
          <w:bCs/>
          <w:sz w:val="32"/>
          <w:szCs w:val="32"/>
        </w:rPr>
        <w:t>（气象）</w:t>
      </w:r>
      <w:r>
        <w:rPr>
          <w:rFonts w:hint="eastAsia" w:ascii="仿宋_GB2312" w:hAnsi="仿宋_GB2312" w:eastAsia="仿宋_GB2312" w:cs="仿宋_GB2312"/>
          <w:sz w:val="32"/>
          <w:szCs w:val="32"/>
        </w:rPr>
        <w:t xml:space="preserve">。 </w:t>
      </w:r>
    </w:p>
    <w:p w14:paraId="69B4B52E">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卫生健康管理办公室：负责组织灾区医疗救治和指导灾后疫情防控等工作。</w:t>
      </w:r>
    </w:p>
    <w:p w14:paraId="06958851">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电信分公司、移动分公司、联通分公司：负责通信设施的安全，确保应急抢险救灾工作通信畅通。 </w:t>
      </w:r>
    </w:p>
    <w:p w14:paraId="49ED6E84">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供电所：负责所辖电网设施的安全运行和抢修，做好抢 险救灾时应急电源准备。</w:t>
      </w:r>
    </w:p>
    <w:p w14:paraId="2E6CBE65">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区消防救援大队：根据需要，担负抗洪抢险、营救群众、转移物资及执行重大抗旱措施的任务。 </w:t>
      </w:r>
    </w:p>
    <w:p w14:paraId="360D40B2">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2.2.3 区防办职责 </w:t>
      </w:r>
    </w:p>
    <w:p w14:paraId="625B7DBF">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承办区防指的日常工作，指导协调全区防汛抗旱防台风工作。指导各级各有关部门落实防汛抗旱责任制，组织全区防汛抗旱检查、督导。组织编制《烟台高新区防汛抗旱防台风应急预案》，按程序报批并指导实施。会同有关部门做好防汛抗旱队伍物资建设、储备、调用等工作。提出防汛抗旱经费的分配使用建议。综合掌握汛情、旱情、险情、灾情，提出全区防汛抗旱工作建议。协调做好防汛抗旱抢险救灾表彰工作。 </w:t>
      </w:r>
    </w:p>
    <w:p w14:paraId="67E99BE7">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2.3 街道防汛抗旱指挥机构 </w:t>
      </w:r>
    </w:p>
    <w:p w14:paraId="45835EB2">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街道办依法设立防汛抗旱指挥部，在区防指和街道办的领导下，组织和指挥本区域的防汛抗旱防台风工作。</w:t>
      </w:r>
    </w:p>
    <w:p w14:paraId="7912C15F">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2.4 其他防汛抗旱指挥机构 </w:t>
      </w:r>
    </w:p>
    <w:p w14:paraId="458591C4">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有防汛抗旱任务的单位可根据需要和机构设置的要求设立相关组织机构，负责本单位的防汛抗旱防台风工作。</w:t>
      </w:r>
    </w:p>
    <w:p w14:paraId="2DA05F4B">
      <w:pPr>
        <w:spacing w:line="560" w:lineRule="exact"/>
        <w:ind w:firstLine="624" w:firstLineChars="200"/>
        <w:rPr>
          <w:rFonts w:ascii="黑体" w:hAnsi="黑体" w:eastAsia="黑体" w:cs="黑体"/>
          <w:sz w:val="32"/>
          <w:szCs w:val="32"/>
        </w:rPr>
      </w:pPr>
      <w:r>
        <w:rPr>
          <w:rFonts w:hint="eastAsia" w:ascii="黑体" w:hAnsi="黑体" w:eastAsia="黑体" w:cs="黑体"/>
          <w:sz w:val="32"/>
          <w:szCs w:val="32"/>
        </w:rPr>
        <w:t xml:space="preserve">3.应急准备 </w:t>
      </w:r>
    </w:p>
    <w:p w14:paraId="235E6A45">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3.1 组织准备 </w:t>
      </w:r>
    </w:p>
    <w:p w14:paraId="045E8FE3">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街道根据法律法规和机构改革“三定”方案，建立健全防汛抗旱指挥部及其办事机构。各级防指要落实并公布防汛抗旱责任人。有防汛抗旱任务的部门、单位要落实本部门、单位的责任人。各级各有关部门要落实河道重要堤防、水库、重点城市、重要设施防汛责任人。建立健全横向到边、纵向到底的责任体系。 </w:t>
      </w:r>
    </w:p>
    <w:p w14:paraId="52C4D012">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3.2 工程准备 </w:t>
      </w:r>
    </w:p>
    <w:p w14:paraId="2D1E2980">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各级各有关部门按照区管委有关规划推进各类防洪工 程建设、水利工程建设、水毁工程修复、病险水利工程设施除险加固等工程建设和城市排水防涝能力建设。指导和监督防洪工程管理单位做好各类工程设施的日常管理，在确保工程安全度汛的前提下，做好蓄水保水增水工作。 </w:t>
      </w:r>
    </w:p>
    <w:p w14:paraId="6872385D">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3.3 预案准备 </w:t>
      </w:r>
    </w:p>
    <w:p w14:paraId="3B40E900">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各级防指及有关成员单位要及时修订完善防汛抗旱应急预案、防台风应急预案、各类河道（湖泊）防御洪水方案、水库汛期调度运用计划和防御洪水方案，城市防洪应急预案，山洪灾害防御预案和部门防汛抗旱相关预案等各类防汛抗旱预（方）案，按有关规定报批并组织实施。 </w:t>
      </w:r>
    </w:p>
    <w:p w14:paraId="5B2D7B01">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3.4 物资队伍准备 </w:t>
      </w:r>
    </w:p>
    <w:p w14:paraId="215B6D38">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街道应建立健全应急救援期社会物资、运输工具、设施装备等的征用和补偿机制。各级防指及有关单位要按照关于健全统一的应急物资保障体系有关要求和防汛抗旱抢险救灾工作需要，储备必需的防汛抗旱物资并做好物资调运、接收、使用管理工作。</w:t>
      </w:r>
    </w:p>
    <w:p w14:paraId="0DB2FE2E">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级相关部门应按照《山东省人民政府办公厅关于建立健全应急救援力量联调联战工作机制的实施意见》（鲁政办字〔2020〕15号）要求，结合本地实际，做好应急救援联调联战工作。建立完善人民解放军和武警部队参与抢险救灾的应急协调机制，加强基层防汛抗旱服务组织建设。</w:t>
      </w:r>
    </w:p>
    <w:p w14:paraId="2274ABE8">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街道办、村（居）委会应当组织群众参加抗洪救灾。</w:t>
      </w:r>
    </w:p>
    <w:p w14:paraId="597A350C">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3.5 转移安置准备 </w:t>
      </w:r>
    </w:p>
    <w:p w14:paraId="2E618DEA">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属地管理的原则，做好本区域内的人员转移工作。组织落实应急避难场所并及时向社会公告，提前部署做好转移安置的各项准备工作。人员转移补助经费纳入本级财政预算。街道办具体负责实施本区域内的人员转移工作。村（居）委会应当协助做好人员转移工作。企业、事业单位和其他社会组织负责做好本单位的人员转移工作。人员转移工作应当明确相应责任人，落实相应责任制。</w:t>
      </w:r>
    </w:p>
    <w:p w14:paraId="1FBE5A90">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区、街道、村（居）和相关单位应当编制人员转移方案，统计管辖范围内需转移人员数量和实际转移人员数量，针对可能受洪涝灾害、台风影响区域的转移人员设立台账，登记造册，建立档案。 </w:t>
      </w:r>
    </w:p>
    <w:p w14:paraId="61B18644">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3.6 救灾救助准备 </w:t>
      </w:r>
    </w:p>
    <w:p w14:paraId="2D128540">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管委完善救助、保险保障、社会救济、自救互救“四位一体”的自然灾害救助机制，提升灾害救助质量和水平，帮助受灾群众快速恢复生产生活，避免因灾返贫、因灾致贫，维护社会和谐稳定。建立灾害民生综合保险制度，充分发挥保险机制在减灾救灾工作中的作用。 </w:t>
      </w:r>
    </w:p>
    <w:p w14:paraId="4B8CC0CF">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3.7 防汛抗旱防台风检查 </w:t>
      </w:r>
    </w:p>
    <w:p w14:paraId="24391773">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防汛抗旱防台风检查实行单位自查、行业检查、综合检查等方式，以责任制、体制机制、工程设施、预案编制与演练、物资保障、队伍建设、值班值守、人员转移避险等方面为重点，查找安全隐患和薄弱环节，落实整改措施、责任、时限，确保防汛抗旱防台风工作顺利开展。</w:t>
      </w:r>
    </w:p>
    <w:p w14:paraId="25DF6465">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3.8 技术、宣传、培训与演练</w:t>
      </w:r>
    </w:p>
    <w:p w14:paraId="31FE7FB4">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区防指有关成员单位要加强专家力量建设，按照职责切实做好防汛抗旱防台风技术支撑工作，及时提出工作建议，按区防指部署参与检查督导、抢险救援、抗旱救灾、调查评估和人员培训等工作。</w:t>
      </w:r>
    </w:p>
    <w:p w14:paraId="26CC4B3C">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级防指应不断完善应急指挥调度系统等系统（平台）建设，推动防汛抗旱信息资源共享，推进大数据、云计算、地理信息等新技术新方法运用，提高灾害信息获取、预报预测、风险评估、应急保障能力。统筹协调专业技术力量，支撑服务防汛抗旱救灾工作。</w:t>
      </w:r>
    </w:p>
    <w:p w14:paraId="05B0BF63">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各级防指和新闻单位应加强防汛抗旱抗灾及避险知识宣传，提高全民防灾避灾和自救互救能力，为全民参与防汛抗旱工作营造良好环境氛围。</w:t>
      </w:r>
    </w:p>
    <w:p w14:paraId="315CFFDB">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各级防指结合实际，有计划地开展防汛抗旱培训演练，检验应急准备效果和应急响应能力。 </w:t>
      </w:r>
    </w:p>
    <w:p w14:paraId="11B1B428">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各防指成员单位结合本部门、本行业实际，组织开展培训和应急演练，提高防汛抗旱实战能力。 </w:t>
      </w:r>
    </w:p>
    <w:p w14:paraId="24756979">
      <w:pPr>
        <w:spacing w:line="560" w:lineRule="exact"/>
        <w:ind w:firstLine="624" w:firstLineChars="200"/>
        <w:rPr>
          <w:rFonts w:ascii="黑体" w:hAnsi="黑体" w:eastAsia="黑体" w:cs="黑体"/>
          <w:sz w:val="32"/>
          <w:szCs w:val="32"/>
        </w:rPr>
      </w:pPr>
      <w:r>
        <w:rPr>
          <w:rFonts w:hint="eastAsia" w:ascii="黑体" w:hAnsi="黑体" w:eastAsia="黑体" w:cs="黑体"/>
          <w:sz w:val="32"/>
          <w:szCs w:val="32"/>
        </w:rPr>
        <w:t xml:space="preserve">4.信息报送与发布 </w:t>
      </w:r>
    </w:p>
    <w:p w14:paraId="600B1875">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防汛抗旱信息主要包括气象、水文、汛情、旱情、工情、险情、灾情等信息，分一般、较大、重大、特大四级。具体划分标准详见附件1。 </w:t>
      </w:r>
    </w:p>
    <w:p w14:paraId="20D099D1">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区防汛抗旱指挥部相关成员单位，按照职责分工，负责本行业领域信息的监测预报预警，第一时间向区防指报告，并按权限及时向社会发布有关信息。 </w:t>
      </w:r>
    </w:p>
    <w:p w14:paraId="2CB2A05B">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有关部门和单位根据《山东省人民政府办公厅关于切实加强和改进安全生产类、自然灾害类突发事件信息报告工作的通知》（鲁政办字〔2019〕50号）做好突发险情、灾情信息报告工作。突发险情、灾情报告分为首次报告和续报。险情或灾情发生后，有关责任部门和单位在第一时间将所掌握的有关情况向上级部门首报。突发险情、灾情发展过程中，根据险情、灾情发展及抢险救灾的变化情况，及时对报告事件续报，续报应延续至险情排除、灾情稳定或结束。 </w:t>
      </w:r>
    </w:p>
    <w:p w14:paraId="38C052E6">
      <w:pPr>
        <w:spacing w:line="560" w:lineRule="exact"/>
        <w:ind w:firstLine="624" w:firstLineChars="200"/>
        <w:rPr>
          <w:rFonts w:ascii="仿宋_GB2312" w:hAnsi="仿宋_GB2312" w:eastAsia="仿宋_GB2312" w:cs="仿宋_GB2312"/>
          <w:sz w:val="32"/>
          <w:szCs w:val="32"/>
        </w:rPr>
      </w:pPr>
      <w:r>
        <w:rPr>
          <w:rFonts w:hint="eastAsia" w:ascii="黑体" w:hAnsi="黑体" w:eastAsia="黑体" w:cs="黑体"/>
          <w:sz w:val="32"/>
          <w:szCs w:val="32"/>
        </w:rPr>
        <w:t>5.防汛预警与预防</w:t>
      </w:r>
      <w:r>
        <w:rPr>
          <w:rFonts w:hint="eastAsia" w:ascii="仿宋_GB2312" w:hAnsi="仿宋_GB2312" w:eastAsia="仿宋_GB2312" w:cs="仿宋_GB2312"/>
          <w:sz w:val="32"/>
          <w:szCs w:val="32"/>
        </w:rPr>
        <w:t xml:space="preserve"> </w:t>
      </w:r>
    </w:p>
    <w:p w14:paraId="2223A7B2">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5.1 预警分级 </w:t>
      </w:r>
    </w:p>
    <w:p w14:paraId="662FFFD2">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防汛、防台风预警级别由低到高划分为一般（Ⅳ级）、较重（Ⅲ级）、严重（Ⅱ级）、特别严重（Ⅰ级）四级标准，分别用蓝色、黄色、橙色和红色表示。具体划分标准详见附件2。 </w:t>
      </w:r>
    </w:p>
    <w:p w14:paraId="12E9B3EC">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5.2 预警发布、变更及解除 </w:t>
      </w:r>
    </w:p>
    <w:p w14:paraId="1CB98EF6">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（1）区防指负责区级防汛、防台风预警发布、变更及解除。 </w:t>
      </w:r>
    </w:p>
    <w:p w14:paraId="58C1D3E2">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（2）防汛、防台风预警主要内容包括：预警级别、起始时间、可能影响范围、警示事项、应采取的措施和发布机构等。 </w:t>
      </w:r>
    </w:p>
    <w:p w14:paraId="6EE186C9">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（3）区级防汛、防台风预警以区防指文电发布。按下列程序签发：</w:t>
      </w:r>
    </w:p>
    <w:p w14:paraId="014F6086">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Ⅳ级预警（蓝色）：区防指办公室主任签发； </w:t>
      </w:r>
    </w:p>
    <w:p w14:paraId="157CE21D">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Ⅲ级预警（黄色）：区防指副指挥签发； </w:t>
      </w:r>
    </w:p>
    <w:p w14:paraId="08A93D0F">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Ⅱ级预警（橙色）：区防指常务副指挥签发； </w:t>
      </w:r>
    </w:p>
    <w:p w14:paraId="06B17D4E">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Ⅰ级预警（红色）：区防指指挥签发。 </w:t>
      </w:r>
    </w:p>
    <w:p w14:paraId="687DA7C0">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（4）根据形势变化，由区防办提出防汛、防台风预警级别变更（升级和降级）建议，按规定程序重新签发。 </w:t>
      </w:r>
    </w:p>
    <w:p w14:paraId="7A4C305C">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（5）根据汛情、灾情发展变化和实际影响情况，区防办及时提出预警解除建议，由区防指办公室主任签发解除，或启动防汛、防台风应急响应，预警自行解除。 </w:t>
      </w:r>
    </w:p>
    <w:p w14:paraId="3AD7DF5E">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5.3 防汛、防台风预警行动 </w:t>
      </w:r>
    </w:p>
    <w:p w14:paraId="7BC187D7">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（1）Ⅳ级预警行动 </w:t>
      </w:r>
    </w:p>
    <w:p w14:paraId="5185E9D1">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防指办公室主任主持会商，部署相关工作，并将情况报告区防指领导。区防办将预警信息、工作部署意见通知区防指各成员单位及预警范围涉及的相关街道防指。收集、汇总、整理全区预警准备工作开展情况，及时向区防指领导报告。区防指各成员单位按职责分工安排落实防范措施。 </w:t>
      </w:r>
    </w:p>
    <w:p w14:paraId="2A50F82F">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（2）Ⅲ级预警行动 </w:t>
      </w:r>
    </w:p>
    <w:p w14:paraId="00F58397">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防指副指挥主持会商，并召开工作部署会议，区防指成员单位分管负责人参加。根据需要派出工作组检查督导防灾减灾准备工作；做好区级综合应急救援队伍、物资调度运用准备，督导做好重点防洪工程的洪水调度工作，通报区消防救援大队等做好抢险救灾准备，并将工作部署意见报告区防指指挥、常务副指挥。</w:t>
      </w:r>
    </w:p>
    <w:p w14:paraId="6D4F169B">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防办将预警信息、工作部署意见通知区防指各成员单位及预警范围涉及的有关区市防指，加强值班力量，收集、汇总、整理汛情、险情、灾情发展情况和全区防灾减灾工作开展情况，拟定工作意见、建议，供区防指领导决策。区防指成员单位按照职责分工，组织做好本行业的各项工作。 </w:t>
      </w:r>
    </w:p>
    <w:p w14:paraId="27702CAA">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（3）Ⅱ级预警行动 </w:t>
      </w:r>
    </w:p>
    <w:p w14:paraId="0CA4EEF2">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工委、管委相关负责同志（区防指常务副指挥）主持会商，并召开工作部署会议，区防指成员单位主要负责人参加。根据预警范围，提请区管委向相关街道派出由包区域、包重点工程的区管委领导同志带队的工作组，督促落实应急准备工作，同时做好区级综合应急救援队伍、物资的调度准备工作。督导重点防洪工程做好洪水调度工作，及时向区消 防救援大队通报汛情、灾情、险情，并将工作部署意见报告区工委、管委、区防指指挥。区防办将雨情、水情等信息和工作部署意见通知区防指各成员单位及预警范围涉及的有关区市防指，并加强值班力量，收集、汇总、整理雨情、水情、险情、灾情信息和全区工作开展情况，拟定工作意见，供区防指领导决策。不定期编辑应急信息简报，报区防指、烟台市防指。区防指成员单位按照区防指部署和职责分工，组织落实行业相关工作，调度掌握行业险情、灾情、准备工作开展情况并及时报告区防指。 </w:t>
      </w:r>
    </w:p>
    <w:p w14:paraId="09A95443">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（4）Ⅰ级预警行动 </w:t>
      </w:r>
    </w:p>
    <w:p w14:paraId="0ACF7153">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管委主任（区防指指挥）主持召开紧急会商会议，作出防灾救灾应急工作部署，区防指成员单位主要负责人参加。同时将情况上报市委、市政府、市防指，提请区工委、管委听取汇报并作出部署。根据预警范围，派出由包区域、包重点工程的区管委领导同志带队的工作组，现场督促检查重要防洪工程调度、停产停业、人员疏散转移等落实情况。区防指视情况召开新闻发布会，动员全社会力量开展抢险救灾。区防指成员单位在区防指统一领导下，按照职责分工，密切配合，积极组织，全面做好各项应对措施准备，有关情况每隔2小时报送区防指，重要情况随时报送区防指。 </w:t>
      </w:r>
    </w:p>
    <w:p w14:paraId="1FD036F8">
      <w:pPr>
        <w:spacing w:line="560" w:lineRule="exact"/>
        <w:ind w:firstLine="624" w:firstLineChars="200"/>
        <w:rPr>
          <w:rFonts w:ascii="黑体" w:hAnsi="黑体" w:eastAsia="黑体" w:cs="黑体"/>
          <w:sz w:val="32"/>
          <w:szCs w:val="32"/>
        </w:rPr>
      </w:pPr>
      <w:r>
        <w:rPr>
          <w:rFonts w:hint="eastAsia" w:ascii="黑体" w:hAnsi="黑体" w:eastAsia="黑体" w:cs="黑体"/>
          <w:sz w:val="32"/>
          <w:szCs w:val="32"/>
        </w:rPr>
        <w:t xml:space="preserve">6.防汛抗旱防台风应急响应 </w:t>
      </w:r>
    </w:p>
    <w:p w14:paraId="7F719A92">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6.1 应急响应的总体要求 </w:t>
      </w:r>
    </w:p>
    <w:p w14:paraId="2666300B">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（1）按洪涝、台风、险情、旱灾的严重程度和影响范围，将防汛抗旱防台风应急响应行动由低到高分为Ⅳ级、Ⅲ级、Ⅱ级和Ⅰ级四级。具体划分标准详见附件3。 </w:t>
      </w:r>
    </w:p>
    <w:p w14:paraId="543ECB00">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（2）洪涝、台风、险情、干旱等灾害发生后，区管委及时组织开展应急抢险救灾工作，有关情况及时向市防指报告。 </w:t>
      </w:r>
    </w:p>
    <w:p w14:paraId="0C15CF3A">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6.2 应急响应发布、变更及解除 </w:t>
      </w:r>
    </w:p>
    <w:p w14:paraId="452EB075">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（1）区防指负责区级防汛抗旱防台风应急响应启动信息的发布、变更及解除。 </w:t>
      </w:r>
    </w:p>
    <w:p w14:paraId="4CDE113E">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（2）防汛抗旱防台风应急响应主要内容包括：防汛抗旱防台风应急响应级别、起始时间、范围、警示事项、应采取的措施和发布机构等。 </w:t>
      </w:r>
    </w:p>
    <w:p w14:paraId="7C5D5A11">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（3）区级防汛抗旱防台风应急响应启动信息以区防指文电发布。按下列程序签发： </w:t>
      </w:r>
    </w:p>
    <w:p w14:paraId="278CB7F0">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Ⅳ级应急响应：区防指办公室主任签发； </w:t>
      </w:r>
    </w:p>
    <w:p w14:paraId="09F9A408">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Ⅲ级应急响应：区防指副指挥签发； </w:t>
      </w:r>
    </w:p>
    <w:p w14:paraId="6DC35F8B">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Ⅱ级应急响应：区防指常务副指挥签发； </w:t>
      </w:r>
    </w:p>
    <w:p w14:paraId="1CF92457">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Ⅰ级应急响应：区防指指挥签发。 </w:t>
      </w:r>
    </w:p>
    <w:p w14:paraId="0C1583A0">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（4）根据汛情、台风、旱情、灾情和防汛抗旱防台风形势变化，由区防办提出防汛抗旱应急响应级别变更（升级和降级）建议，按规定程序重新签发。 </w:t>
      </w:r>
    </w:p>
    <w:p w14:paraId="28FF4112">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（5）当灾害威胁解除，区防办及时提出防汛抗旱防台风应急响应解除建议，由区防指办公室主任签发解除。</w:t>
      </w:r>
    </w:p>
    <w:p w14:paraId="76718DF8">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6.3 应急响应行动 </w:t>
      </w:r>
    </w:p>
    <w:p w14:paraId="13CD9C67">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6.3.1 Ⅳ级响应行动 </w:t>
      </w:r>
    </w:p>
    <w:p w14:paraId="07F4AF37">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（1）防汛、防台风行动 </w:t>
      </w:r>
    </w:p>
    <w:p w14:paraId="39E1E324">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①区防办主任主持会商，区防指有关成员单位和专家参加，作出相应工作安排部署。 </w:t>
      </w:r>
    </w:p>
    <w:p w14:paraId="1EFACA90">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②区防办组织有关部门成立工作专班，实行集中办公，密切监视汛情、旱情发展变化，加强对灾害、险情的会商研判，做好灾害、险情的分析评估，视情派出专家组指导抢险工作。收集整理汛情信息、险情、灾情、应急抢险工作开展情况，及时报告区管委和区防指领导，通报区防指有关成员单位，并根据市防指领导要求进行应急抢险工作部署。 </w:t>
      </w:r>
    </w:p>
    <w:p w14:paraId="5F20D926">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③应急部门统一做好灾情信息发布。 </w:t>
      </w:r>
    </w:p>
    <w:p w14:paraId="55FBFE5F">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④区防指成员单位按职责分工，组织做好相关工作，并协同应急部门做好应急处置工作。 </w:t>
      </w:r>
    </w:p>
    <w:p w14:paraId="38B4C9E8">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⑤区防指作出具体安排部署，统筹做好防洪工程调度、应急抢险救灾、人员避险转移和安置等工作。工作开展情况及时报区管委和区防指。 </w:t>
      </w:r>
    </w:p>
    <w:p w14:paraId="6F7654E9">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（2）抗旱行动：区防办主任主持会商，通报当前旱情和抗旱活动情况，提出会商意见，研究部署应急抗旱工作。 </w:t>
      </w:r>
    </w:p>
    <w:p w14:paraId="5AA28DF0">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6.3.2 Ⅲ级响应行动 </w:t>
      </w:r>
    </w:p>
    <w:p w14:paraId="215C0DAE">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（1）防汛、防台风行动： </w:t>
      </w:r>
    </w:p>
    <w:p w14:paraId="4FF3DC93">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①区防指常务副指挥主持会商，区防指成员、专家参加，作出相应工作部署，并将工作部署情况上报区工委、管委、市防指。 </w:t>
      </w:r>
    </w:p>
    <w:p w14:paraId="0D4DE85E">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②管委副主任（区防指常务副指挥）坐镇指挥中心统一指挥调度，包区域、包重点工程的区管委领导同志带领工作组赶赴一线现场指挥，并与指挥中心保持信息畅通。 </w:t>
      </w:r>
    </w:p>
    <w:p w14:paraId="592CF2CC">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③区防指根据险情灾情需要请求市防指安排专家以及应急救援队伍参加应急抢险，申请调度市级储备物资。根据需要在新闻媒体发布汛情通报。 </w:t>
      </w:r>
    </w:p>
    <w:p w14:paraId="2C2C3C0F">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④区防办组织有关部门联合值班值守，实行集中办公，收集整理汛情信息、险情、灾情、应急抢险工作开展情况，加强对灾害、险情的会商研判，做好分析评估，及时报告区管委和区防指领导，通报区防指有关成员单位，并根据区防指领导要求进行应急抢险工作部署。 </w:t>
      </w:r>
    </w:p>
    <w:p w14:paraId="6876589A">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⑤应急部门统一做好灾情信息发布。 </w:t>
      </w:r>
    </w:p>
    <w:p w14:paraId="5149E2F3">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⑥区防指成员单位按区防指统一部署和职责分工，组织做好相关工作。 </w:t>
      </w:r>
    </w:p>
    <w:p w14:paraId="6211AEDF">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⑦区防指具体安排部署防汛抗旱工作，统筹做好防洪 工程调度、防汛抢险救灾、人员避险转移安置等工作，将工作开展情况及时上报区工委、管委和区防指。有关防汛抗旱责任人，靠前指挥，组织做好防汛抢险、减灾救灾等工作。防汛抗旱指挥机构组织指导有关方面加强防守巡查，对重要堤段、重点工程、隐患部位实施加密巡查，出现险情及时抢护，并向区防指报告，向下游和左右岸受威胁地区发出预警。 </w:t>
      </w:r>
    </w:p>
    <w:p w14:paraId="1116FA40">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（2）抗旱行动 </w:t>
      </w:r>
    </w:p>
    <w:p w14:paraId="58A6475B">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防指常务副指挥主持会商，通报旱情和抗旱活动情况，研究部署应急抗旱工作。区气象部门密切监测天气情况，适时采取人工增雨措施。区水利部门表加强全区抗旱水源的统一管理和联合调度，协调做好客水调用工作。区城管部门加强供水设施调度管理，做好启用储备水源的准备，争取多水源供水，保障城区供水安全。区农业农村部门组织指导保墒抗旱工作，推广科技节水增粮技术，利用好有限的灌溉水源。区应急部门及时掌握旱情、灾情和抗灾救灾情况，协调相关部门落实各项抗旱措施。区防指其他成员单位按职责分工，做好相关抗旱工作。 </w:t>
      </w:r>
    </w:p>
    <w:p w14:paraId="121200EC">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6.3.3 Ⅱ级响应行动 </w:t>
      </w:r>
    </w:p>
    <w:p w14:paraId="77C575E3">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（1）防汛、防台风行动 </w:t>
      </w:r>
    </w:p>
    <w:p w14:paraId="761E681F">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区防指指挥或常务副指挥主持会商，区防指全体成员参加，作出工作部署，同时将情况上报区工委、管委、市防指。视情况组织受灾地区采取停工、停业、停学、停运、停课、停产等措施；当情况严重时，提请区管委常务会议研究部署。 </w:t>
      </w:r>
    </w:p>
    <w:p w14:paraId="249B80E4">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②管委主任（区防指指挥）或管委主任委托区防指常务副指挥主持会商，区防指全体成员参加，作出工作部署；管委主任（区防指指挥）坐镇指挥中心统一指挥调度，区防指常务副指挥及包区域、包重点工程的区管委领导同志赶赴一线现场指挥，并与指挥中心保持信息畅通。 </w:t>
      </w:r>
    </w:p>
    <w:p w14:paraId="164D03E6">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区防指成立抢险救灾指挥部下设工作组，各组按照职责开展工作。统筹组织、调配全区应急救援队伍、物资开展抢险救援，协调部队、武警和民兵参加抗洪抢险、应急救援和救灾减灾等应急处置工作。请求市防指支援，指导应急处置。</w:t>
      </w:r>
    </w:p>
    <w:p w14:paraId="2D351E69">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④区防办加强联合值班值守力量，收集整理汛情信息、险情、灾情、应急抢险工作开展情况，组织专家加强对灾害、险情的会商研判，做好分析评估，制定应对措施，及时报告区管委和区防指领导，通报区防指有关成员单位，并根据区防指领导要求进行应急抢险工作部署。 </w:t>
      </w:r>
    </w:p>
    <w:p w14:paraId="3E570E28">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⑤区防指成员单位按照抢险救灾指挥部统一部署和职责分工做好相关工作，工作情况按要求上报市防指，重要情况第一时间上报。</w:t>
      </w:r>
    </w:p>
    <w:p w14:paraId="65D0DB9E">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⑥区防指具体安排部署抢险救灾工作，统筹做好防洪工程调度、防汛抢险救灾、人员避险转移安置等工作，将工作开展情况及时上报区工委、管委和区防指，重要情况第一时间上报。包保重点工程区领导和防指成员到所分管的区域组 织指导防汛抢险工作。各级责任人，靠前指挥，组织做好防汛抢险、减灾救灾等工作。 </w:t>
      </w:r>
    </w:p>
    <w:p w14:paraId="1E4B89F7">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（2）抗旱行动 </w:t>
      </w:r>
    </w:p>
    <w:p w14:paraId="45304BE1">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防指常务副指挥主持会商，视旱情发展情况，加密会商频次。通报旱情和抗旱活动情况，研究部署应急抗旱工作。区气象部门密切监测天气情况，积极采取人工增雨措施。区水利部门做好开源挖潜、客水调用、跨区域调水等各项抗旱工作，按照先急后缓、轮流灌溉、突出重点的原则，采取限量供水、压减工农业生产用水指标等措施，编制区级应急抗旱水量调度应急方案并监督实施，加强全区水资源统一管理和联合调度。区城管部门启用储备水源，争取多水源供水，加强节水宣传，保障城区供水安全。区农业农村部门组织力量指导保墒抗旱工作，推广科技节水增粮技术，指导群众利用各类小型水源灌溉抗旱。区应急部门及时掌握旱情、灾情和抗灾救灾情况，协调相关部门落实各项抗旱措施。区防指其他成员单位按职责分工，做好相关抗旱工作。 </w:t>
      </w:r>
    </w:p>
    <w:p w14:paraId="705E2949">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6.3.4 Ⅰ级响应行动 </w:t>
      </w:r>
    </w:p>
    <w:p w14:paraId="578F54DE">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（1）防汛、防台风行动 </w:t>
      </w:r>
    </w:p>
    <w:p w14:paraId="0D564C2E">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区防指指挥主持会商，有关区管委领导、区防指全体成员、区管委有关部门负责人参加，宣布进入紧急期，组织受灾地区果断采取停工、停业、停学、停运、停课、停产等措施，及时关闭地下空间、桥涵、隧道、下穿式立交，作出应急工作部署。提请区工委会听取汇报并作出部署。同时将情况上报市委、市政府、市防指。</w:t>
      </w:r>
    </w:p>
    <w:p w14:paraId="394771D0">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②区工委、管委成立区抢险救灾指挥部，统一领导全区抢险救灾工作。下设综合协调、应急救援、救灾恢复、资金保障、物资保障、卫生防疫、信息调度、维护稳定、新闻宣传、技术支撑等工作组。 </w:t>
      </w:r>
    </w:p>
    <w:p w14:paraId="74D81FB3">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③区管委主任（区防指指挥）坐镇指挥中心统一指挥调度，区防指常务副指挥及包区域、包重点工程的区管委领导同志赶赴一线现场指挥，并与指挥中心保持信息畅通。 </w:t>
      </w:r>
    </w:p>
    <w:p w14:paraId="318AE676">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④当辖区发生重大工程险情，区管委主任到现场指挥部实施指挥，同时安排一名区防指常务副指挥坐镇指挥中心，并与现场指挥部保持通信畅通。 </w:t>
      </w:r>
    </w:p>
    <w:p w14:paraId="2AAA1523">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⑤区抢险救灾指挥部实施工程联合调度，紧急拨付救灾资金和物资，组织指导地方转移救助受灾群众，调集全区应急救援力量、部队、武警、消防、民兵实施抢险救援。及时召开新闻发布会，通报抢险救灾信息。 </w:t>
      </w:r>
    </w:p>
    <w:p w14:paraId="3BFD1577">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⑥抢险救灾工作情况及时上报市委、市政府和市防指，根据领导批示指示作出进一步工作部署。 </w:t>
      </w:r>
    </w:p>
    <w:p w14:paraId="7F2D101C">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⑦请求市防指支援，参与应急处置。</w:t>
      </w:r>
    </w:p>
    <w:p w14:paraId="7E53ED27">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（2）抗旱行动 </w:t>
      </w:r>
    </w:p>
    <w:p w14:paraId="5F15A9E6">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防指指挥每周主持一次会商，遇特殊情况时随时会商，有关区管委领导、区防指全体成员、区管委有关部门负责人参加，通报旱情和抗旱活动情况，研究部置应急抗旱工作，作出应急工作部署。提请区工委会听取汇报并作出部署。同时将情况上报市委、市政府、市防指，请求市防指支援，指导抗旱救灾应急处置工作。区工委、管委成立区抗旱救灾指挥部，统一领导全区抗旱救灾工作，及时在新闻媒体上发布旱情通报，加大节约用水宣传力度，实施跨区域调水，限量供水、压减工业、农业用水指标、组织力量拉水送水，保障城乡居民生活用水，组织指导灾区救助等工作。</w:t>
      </w:r>
    </w:p>
    <w:p w14:paraId="54E8ACC8">
      <w:pPr>
        <w:spacing w:line="560" w:lineRule="exact"/>
        <w:ind w:firstLine="624" w:firstLineChars="200"/>
        <w:rPr>
          <w:rFonts w:ascii="黑体" w:hAnsi="黑体" w:eastAsia="黑体" w:cs="黑体"/>
          <w:sz w:val="32"/>
          <w:szCs w:val="32"/>
        </w:rPr>
      </w:pPr>
      <w:r>
        <w:rPr>
          <w:rFonts w:hint="eastAsia" w:ascii="黑体" w:hAnsi="黑体" w:eastAsia="黑体" w:cs="黑体"/>
          <w:sz w:val="32"/>
          <w:szCs w:val="32"/>
        </w:rPr>
        <w:t xml:space="preserve">7.应急保障 </w:t>
      </w:r>
    </w:p>
    <w:p w14:paraId="61001CA9">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7.1 通信保障 </w:t>
      </w:r>
    </w:p>
    <w:p w14:paraId="5AABE615">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水旱、台风灾害发生后，工业信息化、通信等部门、单位要启动应急通信保障预案，迅速调集力量抢修损坏的通信设施，确保防汛抗旱抢险救灾通信畅通。必要时，调度应急通信设备，为抢险救灾通信和现场指挥提供通信保障。 </w:t>
      </w:r>
    </w:p>
    <w:p w14:paraId="64520C47">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7.2 应急队伍保障 </w:t>
      </w:r>
    </w:p>
    <w:p w14:paraId="071462BF">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区防指负责统筹全区自然灾害应急救援体系建设，统一指挥调度全区各类应急救援队伍。区防指要组织有关防指成员单位，结合行业管理特点、要求落实行业专业抢险队伍，商辖区内驻军、武警等组建部队抢险队伍。区防指要组织防洪影响范围内村庄、企业组建群众性抢险队伍。 </w:t>
      </w:r>
    </w:p>
    <w:p w14:paraId="46BACC42">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②区应急部门向区管委提出调动部队、武警参加抢险支 援需求，按照规定程序办理。 </w:t>
      </w:r>
    </w:p>
    <w:p w14:paraId="273E9314">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③发生水旱、台风灾害时，各类专业应急抢险队伍按照防指等有关调用指令赶赴现场抢险救灾。 </w:t>
      </w:r>
    </w:p>
    <w:p w14:paraId="383C1537">
      <w:pPr>
        <w:spacing w:line="560" w:lineRule="exact"/>
        <w:ind w:firstLine="624"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7.3 物资保障</w:t>
      </w:r>
      <w:r>
        <w:rPr>
          <w:rFonts w:hint="eastAsia" w:ascii="仿宋_GB2312" w:hAnsi="仿宋_GB2312" w:eastAsia="仿宋_GB2312" w:cs="仿宋_GB2312"/>
          <w:sz w:val="32"/>
          <w:szCs w:val="32"/>
        </w:rPr>
        <w:t xml:space="preserve"> </w:t>
      </w:r>
    </w:p>
    <w:p w14:paraId="2DEFB320">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区有关部门和单位做好防汛抗旱物资的储备管理工作。区防指统筹区防汛抗旱应急物资调拨工作，各存储单位接到调令后，第一时间将所需物资运抵指定地点。 </w:t>
      </w:r>
    </w:p>
    <w:p w14:paraId="74674F3B">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7.4 群众转移安置保障 </w:t>
      </w:r>
    </w:p>
    <w:p w14:paraId="229C9891">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①街道办具体负责实施本区域内的人员转移工作。 </w:t>
      </w:r>
    </w:p>
    <w:p w14:paraId="60EE2F62">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②企业、事业单位和其他社会组织（以下统称企事业单位）负责做好本单位的人员转移工作。 </w:t>
      </w:r>
    </w:p>
    <w:p w14:paraId="028E9DB3">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③发展改革、财政、应急、住房城乡建设、水利、人防等有关部门和街道办，落实救灾安置场所，必要时建设一定数量的避灾安置场所。避灾安置场所应当经工程质量检验合格。避灾场所应及时向社会公告。 </w:t>
      </w:r>
    </w:p>
    <w:p w14:paraId="47A3102A">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④各类学校、影剧院、会堂、体育馆等公共建筑物在防汛紧急状态下，应当根据区管委或区防指的指令无条件开放，作为避灾安置场所。</w:t>
      </w:r>
    </w:p>
    <w:p w14:paraId="20AB050A">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⑤在可能发生直接危及人身安全的紧急情况时，组织转移的政府及有关部门可对经劝导仍拒绝转移的人员实施强制转移。在转移指令解除前，组织转移的政府及有关部门应当采取措施防止有关人员擅自返回。 </w:t>
      </w:r>
    </w:p>
    <w:p w14:paraId="17DA7A16">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7.5 供电保障 </w:t>
      </w:r>
    </w:p>
    <w:p w14:paraId="73DE2149">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供电部门建立本行政区域内的用电重点保障单位名录，优先保证抗洪抢险、抗旱救灾等供电需要。 </w:t>
      </w:r>
    </w:p>
    <w:p w14:paraId="13448E90">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7.6 能源保障 </w:t>
      </w:r>
    </w:p>
    <w:p w14:paraId="4FE72704">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发展改革部门统筹协调全区电、油、气保障，优先保障受灾地区和抢险救灾需求。 </w:t>
      </w:r>
    </w:p>
    <w:p w14:paraId="1DE4339E">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7.7 交通运输保障 </w:t>
      </w:r>
    </w:p>
    <w:p w14:paraId="216BC589">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交通运输部门负责做好交通设施隐患排查、抢修，开辟绿色通道，保障抢险救援指挥、运送救灾装备、物资车辆通行。 </w:t>
      </w:r>
    </w:p>
    <w:p w14:paraId="77A22C37">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7.8 医疗保障 </w:t>
      </w:r>
    </w:p>
    <w:p w14:paraId="6EA7B9A9">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卫生健康部门负责灾区疾病防治及业务指导，组织医疗卫生队赴灾区进行防疫消毒、抢救伤员等工作。 </w:t>
      </w:r>
    </w:p>
    <w:p w14:paraId="083CF804">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7.9 治安保障 </w:t>
      </w:r>
    </w:p>
    <w:p w14:paraId="6136BF32">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公安部门负责做好水旱灾区的治安管理工作，依法打击破坏抗洪抗旱救灾行动和工程设施安全的行为，保证抗灾救灾工作的顺利进行；负责组织搞好防汛抢险、分洪爆破时的戒严、警卫工作，维护灾区社会治安秩序。 </w:t>
      </w:r>
    </w:p>
    <w:p w14:paraId="0A40093D">
      <w:pPr>
        <w:spacing w:line="560" w:lineRule="exact"/>
        <w:ind w:firstLine="624"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7.10 资金保障</w:t>
      </w:r>
      <w:r>
        <w:rPr>
          <w:rFonts w:hint="eastAsia" w:ascii="仿宋_GB2312" w:hAnsi="仿宋_GB2312" w:eastAsia="仿宋_GB2312" w:cs="仿宋_GB2312"/>
          <w:sz w:val="32"/>
          <w:szCs w:val="32"/>
        </w:rPr>
        <w:t xml:space="preserve"> </w:t>
      </w:r>
    </w:p>
    <w:p w14:paraId="001B4935">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区、街道财政部门按照分级负担的原则，在年度财政预算中安排防汛抗旱防台风应急经费。 </w:t>
      </w:r>
    </w:p>
    <w:p w14:paraId="1C85F7D4">
      <w:pPr>
        <w:spacing w:line="560" w:lineRule="exact"/>
        <w:ind w:firstLine="624" w:firstLineChars="200"/>
        <w:rPr>
          <w:rFonts w:ascii="黑体" w:hAnsi="黑体" w:eastAsia="黑体" w:cs="黑体"/>
          <w:sz w:val="32"/>
          <w:szCs w:val="32"/>
        </w:rPr>
      </w:pPr>
      <w:r>
        <w:rPr>
          <w:rFonts w:hint="eastAsia" w:ascii="黑体" w:hAnsi="黑体" w:eastAsia="黑体" w:cs="黑体"/>
          <w:sz w:val="32"/>
          <w:szCs w:val="32"/>
        </w:rPr>
        <w:t xml:space="preserve">8.后期工作 </w:t>
      </w:r>
    </w:p>
    <w:p w14:paraId="0FF4B939">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8.1 调查评估 </w:t>
      </w:r>
    </w:p>
    <w:p w14:paraId="7B406B81">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发生水旱灾害后，各级防指适时组织有关部门和单位和专家，对水旱灾害进行调查评估，提出防范、治理、改进建议和措施。 </w:t>
      </w:r>
    </w:p>
    <w:p w14:paraId="5EDF3EEF">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8.2 善后工作 </w:t>
      </w:r>
    </w:p>
    <w:p w14:paraId="7BBCED76">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各成员单位应各尽职责、加强协作，共同做好灾后工作。区管委应组织有关单位做好灾区生活供给、卫生防疫、救灾物资供应、征用调用物资费用补偿、治安管理、工程修复、污染物清除、恢复生产和重建家园等工作。 </w:t>
      </w:r>
    </w:p>
    <w:p w14:paraId="5D60C383">
      <w:pPr>
        <w:spacing w:line="560" w:lineRule="exact"/>
        <w:ind w:firstLine="624" w:firstLineChars="200"/>
        <w:rPr>
          <w:rFonts w:ascii="黑体" w:hAnsi="黑体" w:eastAsia="黑体" w:cs="黑体"/>
          <w:sz w:val="32"/>
          <w:szCs w:val="32"/>
        </w:rPr>
      </w:pPr>
      <w:r>
        <w:rPr>
          <w:rFonts w:hint="eastAsia" w:ascii="黑体" w:hAnsi="黑体" w:eastAsia="黑体" w:cs="黑体"/>
          <w:sz w:val="32"/>
          <w:szCs w:val="32"/>
        </w:rPr>
        <w:t xml:space="preserve">9.附 则 </w:t>
      </w:r>
    </w:p>
    <w:p w14:paraId="6DCE040C">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9.1 预案管理与更新 </w:t>
      </w:r>
    </w:p>
    <w:p w14:paraId="548DE661">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本预案由区防办负责组织编制，区管委批准后实施。 防汛抗旱防台风应急预案应根据实际情况变化适时修订，并 按原报批程序报批。有关部门根据本预案组织编制本部门相关预案。</w:t>
      </w:r>
    </w:p>
    <w:p w14:paraId="18882998">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9.2奖励与责任追究</w:t>
      </w:r>
    </w:p>
    <w:p w14:paraId="50308487">
      <w:pPr>
        <w:widowControl/>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对应急抢险救灾工作做出突出贡献的先进集体和个人，按有关规定进行表彰；对在应急抢险救灾工作中英勇献身的人员，按有关规定授予相应荣誉称号；对在工作中玩忽职守造成损失的，依据法律、法规追究相关责任人的责任，并予以处罚，构成犯罪的，依法追究其刑事责任。 </w:t>
      </w:r>
    </w:p>
    <w:p w14:paraId="4CCE67E5">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9.3 预案解释部门 </w:t>
      </w:r>
    </w:p>
    <w:p w14:paraId="11B3401A">
      <w:pPr>
        <w:widowControl/>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本预案由区防办负责解释。 </w:t>
      </w:r>
    </w:p>
    <w:p w14:paraId="02D6A3DE">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9.4 预案实施时间 </w:t>
      </w:r>
    </w:p>
    <w:p w14:paraId="015B58FB">
      <w:pPr>
        <w:widowControl/>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本预案自印发之日起实施。 </w:t>
      </w:r>
    </w:p>
    <w:p w14:paraId="6B298795">
      <w:pPr>
        <w:widowControl/>
        <w:spacing w:line="560" w:lineRule="exact"/>
        <w:jc w:val="left"/>
        <w:rPr>
          <w:rFonts w:ascii="仿宋_GB2312" w:hAnsi="仿宋_GB2312" w:eastAsia="仿宋_GB2312" w:cs="仿宋_GB2312"/>
          <w:kern w:val="0"/>
          <w:sz w:val="32"/>
          <w:szCs w:val="32"/>
        </w:rPr>
      </w:pPr>
    </w:p>
    <w:p w14:paraId="3828E9E0">
      <w:pPr>
        <w:widowControl/>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附件：1.防汛抗旱防台风信息等级划分表 </w:t>
      </w:r>
    </w:p>
    <w:p w14:paraId="0608B595">
      <w:pPr>
        <w:widowControl/>
        <w:spacing w:line="560" w:lineRule="exact"/>
        <w:ind w:firstLine="936" w:firstLineChars="3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2.防汛防台风预警等级划分表 </w:t>
      </w:r>
    </w:p>
    <w:p w14:paraId="4EFD330F">
      <w:pPr>
        <w:widowControl/>
        <w:spacing w:line="560" w:lineRule="exact"/>
        <w:ind w:firstLine="936" w:firstLineChars="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3.防汛抗旱防台风应急响应等级划分表</w:t>
      </w:r>
    </w:p>
    <w:p w14:paraId="1AFB0D09">
      <w:pPr>
        <w:widowControl/>
        <w:spacing w:line="560" w:lineRule="exact"/>
        <w:ind w:firstLine="936" w:firstLineChars="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bookmarkStart w:id="184" w:name="_Toc19722"/>
      <w:bookmarkStart w:id="185" w:name="_Toc6916"/>
      <w:bookmarkStart w:id="186" w:name="_Toc2870"/>
      <w:bookmarkStart w:id="187" w:name="_Toc9966"/>
    </w:p>
    <w:p w14:paraId="1258416D">
      <w:pPr>
        <w:widowControl/>
        <w:spacing w:line="560" w:lineRule="exact"/>
        <w:jc w:val="left"/>
        <w:rPr>
          <w:rFonts w:ascii="黑体" w:hAnsi="黑体" w:eastAsia="黑体" w:cs="黑体"/>
          <w:sz w:val="32"/>
          <w:szCs w:val="32"/>
        </w:rPr>
      </w:pPr>
      <w:r>
        <w:rPr>
          <w:rFonts w:hint="eastAsia" w:ascii="黑体" w:hAnsi="黑体" w:eastAsia="黑体" w:cs="黑体"/>
          <w:sz w:val="32"/>
          <w:szCs w:val="32"/>
        </w:rPr>
        <w:t>附</w:t>
      </w:r>
      <w:bookmarkStart w:id="188" w:name="_Toc17032478"/>
      <w:bookmarkStart w:id="189" w:name="_Toc16019642"/>
      <w:r>
        <w:rPr>
          <w:rFonts w:hint="eastAsia" w:ascii="黑体" w:hAnsi="黑体" w:eastAsia="黑体" w:cs="黑体"/>
          <w:sz w:val="32"/>
          <w:szCs w:val="32"/>
        </w:rPr>
        <w:t>件</w:t>
      </w:r>
      <w:bookmarkEnd w:id="184"/>
      <w:bookmarkEnd w:id="185"/>
      <w:bookmarkEnd w:id="186"/>
      <w:bookmarkEnd w:id="187"/>
      <w:r>
        <w:rPr>
          <w:rFonts w:hint="eastAsia" w:ascii="黑体" w:hAnsi="黑体" w:eastAsia="黑体" w:cs="黑体"/>
          <w:sz w:val="32"/>
          <w:szCs w:val="32"/>
        </w:rPr>
        <w:t>1</w:t>
      </w:r>
    </w:p>
    <w:p w14:paraId="29C6AB3C">
      <w:pPr>
        <w:spacing w:afterLines="50" w:line="56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防汛抗旱防台风信息等级划分表</w:t>
      </w:r>
      <w:bookmarkEnd w:id="188"/>
      <w:bookmarkEnd w:id="189"/>
    </w:p>
    <w:tbl>
      <w:tblPr>
        <w:tblStyle w:val="12"/>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275"/>
        <w:gridCol w:w="6825"/>
      </w:tblGrid>
      <w:tr w14:paraId="259B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trPr>
        <w:tc>
          <w:tcPr>
            <w:tcW w:w="1062" w:type="dxa"/>
            <w:vAlign w:val="center"/>
          </w:tcPr>
          <w:p w14:paraId="2D668078">
            <w:pPr>
              <w:spacing w:line="280" w:lineRule="exact"/>
              <w:jc w:val="center"/>
              <w:rPr>
                <w:rFonts w:ascii="仿宋_GB2312" w:eastAsia="仿宋_GB2312"/>
                <w:b/>
                <w:sz w:val="24"/>
              </w:rPr>
            </w:pPr>
            <w:r>
              <w:rPr>
                <w:rFonts w:hint="eastAsia" w:ascii="仿宋_GB2312" w:eastAsia="仿宋_GB2312"/>
                <w:b/>
                <w:sz w:val="24"/>
              </w:rPr>
              <w:t>级 别</w:t>
            </w:r>
          </w:p>
        </w:tc>
        <w:tc>
          <w:tcPr>
            <w:tcW w:w="1275" w:type="dxa"/>
            <w:vAlign w:val="center"/>
          </w:tcPr>
          <w:p w14:paraId="612B13CC">
            <w:pPr>
              <w:spacing w:line="280" w:lineRule="exact"/>
              <w:jc w:val="center"/>
              <w:rPr>
                <w:rFonts w:ascii="仿宋_GB2312" w:eastAsia="仿宋_GB2312"/>
                <w:b/>
                <w:sz w:val="24"/>
              </w:rPr>
            </w:pPr>
            <w:r>
              <w:rPr>
                <w:rFonts w:hint="eastAsia" w:ascii="仿宋_GB2312" w:eastAsia="仿宋_GB2312"/>
                <w:b/>
                <w:sz w:val="24"/>
              </w:rPr>
              <w:t>信息种类</w:t>
            </w:r>
          </w:p>
        </w:tc>
        <w:tc>
          <w:tcPr>
            <w:tcW w:w="6825" w:type="dxa"/>
            <w:vAlign w:val="center"/>
          </w:tcPr>
          <w:p w14:paraId="0B531877">
            <w:pPr>
              <w:spacing w:line="280" w:lineRule="exact"/>
              <w:jc w:val="center"/>
              <w:rPr>
                <w:rFonts w:ascii="仿宋_GB2312" w:eastAsia="仿宋_GB2312"/>
                <w:b/>
                <w:sz w:val="24"/>
              </w:rPr>
            </w:pPr>
            <w:r>
              <w:rPr>
                <w:rFonts w:hint="eastAsia" w:ascii="仿宋_GB2312" w:eastAsia="仿宋_GB2312"/>
                <w:b/>
                <w:sz w:val="24"/>
              </w:rPr>
              <w:t>内      容</w:t>
            </w:r>
          </w:p>
        </w:tc>
      </w:tr>
      <w:tr w14:paraId="461A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blHeader/>
        </w:trPr>
        <w:tc>
          <w:tcPr>
            <w:tcW w:w="1062" w:type="dxa"/>
            <w:vMerge w:val="restart"/>
            <w:vAlign w:val="center"/>
          </w:tcPr>
          <w:p w14:paraId="0BE27194">
            <w:pPr>
              <w:spacing w:line="280" w:lineRule="exact"/>
              <w:jc w:val="center"/>
              <w:rPr>
                <w:rFonts w:ascii="仿宋_GB2312" w:eastAsia="仿宋_GB2312"/>
                <w:sz w:val="24"/>
              </w:rPr>
            </w:pPr>
            <w:r>
              <w:rPr>
                <w:rFonts w:hint="eastAsia" w:ascii="仿宋_GB2312" w:eastAsia="仿宋_GB2312"/>
                <w:sz w:val="24"/>
              </w:rPr>
              <w:t>一 般</w:t>
            </w:r>
          </w:p>
          <w:p w14:paraId="39E33A11">
            <w:pPr>
              <w:spacing w:line="280" w:lineRule="exact"/>
              <w:jc w:val="center"/>
              <w:rPr>
                <w:rFonts w:ascii="仿宋_GB2312" w:eastAsia="仿宋_GB2312"/>
                <w:sz w:val="24"/>
              </w:rPr>
            </w:pPr>
            <w:r>
              <w:rPr>
                <w:rFonts w:hint="eastAsia" w:ascii="仿宋_GB2312" w:eastAsia="仿宋_GB2312"/>
                <w:sz w:val="24"/>
              </w:rPr>
              <w:t>（Ⅳ级）</w:t>
            </w:r>
          </w:p>
        </w:tc>
        <w:tc>
          <w:tcPr>
            <w:tcW w:w="1275" w:type="dxa"/>
            <w:vAlign w:val="center"/>
          </w:tcPr>
          <w:p w14:paraId="397A4D1D">
            <w:pPr>
              <w:spacing w:line="280" w:lineRule="exact"/>
              <w:jc w:val="center"/>
              <w:rPr>
                <w:rFonts w:ascii="仿宋_GB2312" w:eastAsia="仿宋_GB2312"/>
                <w:sz w:val="24"/>
              </w:rPr>
            </w:pPr>
            <w:r>
              <w:rPr>
                <w:rFonts w:hint="eastAsia" w:ascii="仿宋_GB2312" w:eastAsia="仿宋_GB2312"/>
                <w:sz w:val="24"/>
              </w:rPr>
              <w:t>降水</w:t>
            </w:r>
          </w:p>
        </w:tc>
        <w:tc>
          <w:tcPr>
            <w:tcW w:w="6825" w:type="dxa"/>
            <w:vAlign w:val="center"/>
          </w:tcPr>
          <w:p w14:paraId="75CD8EFD">
            <w:pPr>
              <w:spacing w:line="280" w:lineRule="exact"/>
              <w:rPr>
                <w:rFonts w:ascii="仿宋_GB2312" w:hAnsi="仿宋" w:eastAsia="仿宋_GB2312" w:cs="宋体"/>
                <w:kern w:val="0"/>
                <w:sz w:val="24"/>
              </w:rPr>
            </w:pPr>
            <w:r>
              <w:rPr>
                <w:rFonts w:hint="eastAsia" w:ascii="仿宋_GB2312" w:hAnsi="仿宋" w:eastAsia="仿宋_GB2312" w:cs="宋体"/>
                <w:kern w:val="0"/>
                <w:sz w:val="24"/>
              </w:rPr>
              <w:t>气象部门发布暴雨蓝色预警信号。</w:t>
            </w:r>
          </w:p>
        </w:tc>
      </w:tr>
      <w:tr w14:paraId="22AB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trPr>
        <w:tc>
          <w:tcPr>
            <w:tcW w:w="1062" w:type="dxa"/>
            <w:vMerge w:val="continue"/>
            <w:vAlign w:val="center"/>
          </w:tcPr>
          <w:p w14:paraId="77656349">
            <w:pPr>
              <w:spacing w:line="280" w:lineRule="exact"/>
              <w:jc w:val="center"/>
              <w:rPr>
                <w:rFonts w:ascii="仿宋_GB2312" w:eastAsia="仿宋_GB2312"/>
                <w:sz w:val="24"/>
              </w:rPr>
            </w:pPr>
          </w:p>
        </w:tc>
        <w:tc>
          <w:tcPr>
            <w:tcW w:w="1275" w:type="dxa"/>
            <w:vAlign w:val="center"/>
          </w:tcPr>
          <w:p w14:paraId="03123561">
            <w:pPr>
              <w:spacing w:line="280" w:lineRule="exact"/>
              <w:jc w:val="center"/>
              <w:rPr>
                <w:rFonts w:ascii="仿宋_GB2312" w:eastAsia="仿宋_GB2312"/>
                <w:sz w:val="24"/>
              </w:rPr>
            </w:pPr>
            <w:r>
              <w:rPr>
                <w:rFonts w:hint="eastAsia" w:ascii="仿宋_GB2312" w:eastAsia="仿宋_GB2312"/>
                <w:sz w:val="24"/>
              </w:rPr>
              <w:t>洪水</w:t>
            </w:r>
          </w:p>
        </w:tc>
        <w:tc>
          <w:tcPr>
            <w:tcW w:w="6825" w:type="dxa"/>
            <w:vAlign w:val="center"/>
          </w:tcPr>
          <w:p w14:paraId="698AC8E9">
            <w:pPr>
              <w:spacing w:line="280" w:lineRule="exact"/>
              <w:rPr>
                <w:rFonts w:ascii="仿宋_GB2312" w:hAnsi="仿宋" w:eastAsia="仿宋_GB2312" w:cs="宋体"/>
                <w:kern w:val="0"/>
                <w:sz w:val="24"/>
              </w:rPr>
            </w:pPr>
            <w:r>
              <w:rPr>
                <w:rFonts w:hint="eastAsia" w:ascii="仿宋_GB2312" w:hAnsi="仿宋" w:eastAsia="仿宋_GB2312" w:cs="宋体"/>
                <w:kern w:val="0"/>
                <w:sz w:val="24"/>
              </w:rPr>
              <w:t>洪峰流量或洪量的重现期为5─10年一遇。</w:t>
            </w:r>
          </w:p>
        </w:tc>
      </w:tr>
      <w:tr w14:paraId="65DF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trPr>
        <w:tc>
          <w:tcPr>
            <w:tcW w:w="1062" w:type="dxa"/>
            <w:vMerge w:val="continue"/>
            <w:vAlign w:val="center"/>
          </w:tcPr>
          <w:p w14:paraId="2A3AF2C2">
            <w:pPr>
              <w:spacing w:line="280" w:lineRule="exact"/>
              <w:jc w:val="center"/>
              <w:rPr>
                <w:rFonts w:ascii="仿宋_GB2312" w:eastAsia="仿宋_GB2312"/>
                <w:sz w:val="24"/>
              </w:rPr>
            </w:pPr>
          </w:p>
        </w:tc>
        <w:tc>
          <w:tcPr>
            <w:tcW w:w="1275" w:type="dxa"/>
            <w:vAlign w:val="center"/>
          </w:tcPr>
          <w:p w14:paraId="6A9C6B53">
            <w:pPr>
              <w:spacing w:line="280" w:lineRule="exact"/>
              <w:jc w:val="center"/>
              <w:rPr>
                <w:rFonts w:ascii="仿宋_GB2312" w:eastAsia="仿宋_GB2312"/>
                <w:sz w:val="24"/>
              </w:rPr>
            </w:pPr>
            <w:r>
              <w:rPr>
                <w:rFonts w:hint="eastAsia" w:ascii="仿宋_GB2312" w:eastAsia="仿宋_GB2312"/>
                <w:sz w:val="24"/>
              </w:rPr>
              <w:t>洪涝灾害</w:t>
            </w:r>
          </w:p>
        </w:tc>
        <w:tc>
          <w:tcPr>
            <w:tcW w:w="6825" w:type="dxa"/>
            <w:vAlign w:val="center"/>
          </w:tcPr>
          <w:p w14:paraId="7C1EB564">
            <w:pPr>
              <w:spacing w:line="280" w:lineRule="exact"/>
              <w:rPr>
                <w:rFonts w:ascii="仿宋_GB2312" w:hAnsi="仿宋" w:eastAsia="仿宋_GB2312" w:cs="宋体"/>
                <w:kern w:val="0"/>
                <w:sz w:val="24"/>
              </w:rPr>
            </w:pPr>
            <w:r>
              <w:rPr>
                <w:rFonts w:hint="eastAsia" w:ascii="仿宋_GB2312" w:hAnsi="仿宋" w:eastAsia="仿宋_GB2312" w:cs="宋体"/>
                <w:kern w:val="0"/>
                <w:sz w:val="24"/>
              </w:rPr>
              <w:t>一次洪涝灾害使1/6─1/3（不含1/3）的所辖行政区域受灾，或农作物受灾面积占耕地面积的15%─30%（不含30%）。</w:t>
            </w:r>
          </w:p>
        </w:tc>
      </w:tr>
      <w:tr w14:paraId="7588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trPr>
        <w:tc>
          <w:tcPr>
            <w:tcW w:w="1062" w:type="dxa"/>
            <w:vMerge w:val="continue"/>
            <w:vAlign w:val="center"/>
          </w:tcPr>
          <w:p w14:paraId="28714103">
            <w:pPr>
              <w:spacing w:line="280" w:lineRule="exact"/>
              <w:jc w:val="center"/>
              <w:rPr>
                <w:rFonts w:ascii="仿宋_GB2312" w:eastAsia="仿宋_GB2312"/>
                <w:sz w:val="24"/>
              </w:rPr>
            </w:pPr>
          </w:p>
        </w:tc>
        <w:tc>
          <w:tcPr>
            <w:tcW w:w="1275" w:type="dxa"/>
            <w:vAlign w:val="center"/>
          </w:tcPr>
          <w:p w14:paraId="0D87A0A1">
            <w:pPr>
              <w:spacing w:line="280" w:lineRule="exact"/>
              <w:jc w:val="center"/>
              <w:rPr>
                <w:rFonts w:ascii="仿宋_GB2312" w:eastAsia="仿宋_GB2312"/>
                <w:sz w:val="24"/>
              </w:rPr>
            </w:pPr>
            <w:r>
              <w:rPr>
                <w:rFonts w:hint="eastAsia" w:ascii="仿宋_GB2312" w:eastAsia="仿宋_GB2312"/>
                <w:sz w:val="24"/>
              </w:rPr>
              <w:t>农业旱情</w:t>
            </w:r>
          </w:p>
        </w:tc>
        <w:tc>
          <w:tcPr>
            <w:tcW w:w="6825" w:type="dxa"/>
            <w:vAlign w:val="center"/>
          </w:tcPr>
          <w:p w14:paraId="289499A4">
            <w:pPr>
              <w:spacing w:line="280" w:lineRule="exact"/>
              <w:rPr>
                <w:rFonts w:ascii="仿宋_GB2312" w:hAnsi="仿宋" w:eastAsia="仿宋_GB2312" w:cs="宋体"/>
                <w:kern w:val="0"/>
                <w:sz w:val="24"/>
              </w:rPr>
            </w:pPr>
            <w:r>
              <w:rPr>
                <w:rFonts w:hint="eastAsia" w:ascii="仿宋_GB2312" w:hAnsi="仿宋" w:eastAsia="仿宋_GB2312" w:cs="宋体"/>
                <w:kern w:val="0"/>
                <w:sz w:val="24"/>
              </w:rPr>
              <w:t>农作物受旱面积占播种面积的比例少于30%，临时性饮水困难人口占所在地区人口比例少于20%。</w:t>
            </w:r>
          </w:p>
        </w:tc>
      </w:tr>
      <w:tr w14:paraId="5755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trPr>
        <w:tc>
          <w:tcPr>
            <w:tcW w:w="1062" w:type="dxa"/>
            <w:vMerge w:val="continue"/>
            <w:vAlign w:val="center"/>
          </w:tcPr>
          <w:p w14:paraId="4906AD0F">
            <w:pPr>
              <w:spacing w:line="280" w:lineRule="exact"/>
              <w:jc w:val="center"/>
              <w:rPr>
                <w:rFonts w:ascii="仿宋_GB2312" w:eastAsia="仿宋_GB2312"/>
                <w:sz w:val="24"/>
              </w:rPr>
            </w:pPr>
          </w:p>
        </w:tc>
        <w:tc>
          <w:tcPr>
            <w:tcW w:w="1275" w:type="dxa"/>
            <w:vAlign w:val="center"/>
          </w:tcPr>
          <w:p w14:paraId="2D4147D3">
            <w:pPr>
              <w:spacing w:line="280" w:lineRule="exact"/>
              <w:jc w:val="center"/>
              <w:rPr>
                <w:rFonts w:ascii="仿宋_GB2312" w:eastAsia="仿宋_GB2312"/>
                <w:sz w:val="24"/>
              </w:rPr>
            </w:pPr>
            <w:r>
              <w:rPr>
                <w:rFonts w:hint="eastAsia" w:ascii="仿宋_GB2312" w:eastAsia="仿宋_GB2312"/>
                <w:sz w:val="24"/>
              </w:rPr>
              <w:t>城市旱情</w:t>
            </w:r>
          </w:p>
        </w:tc>
        <w:tc>
          <w:tcPr>
            <w:tcW w:w="6825" w:type="dxa"/>
            <w:vAlign w:val="center"/>
          </w:tcPr>
          <w:p w14:paraId="4AE5BFAD">
            <w:pPr>
              <w:spacing w:line="280" w:lineRule="exact"/>
              <w:rPr>
                <w:rFonts w:ascii="仿宋_GB2312" w:hAnsi="仿宋" w:eastAsia="仿宋_GB2312" w:cs="宋体"/>
                <w:kern w:val="0"/>
                <w:sz w:val="24"/>
              </w:rPr>
            </w:pPr>
            <w:r>
              <w:rPr>
                <w:rFonts w:hint="eastAsia" w:ascii="仿宋_GB2312" w:hAnsi="仿宋" w:eastAsia="仿宋_GB2312" w:cs="宋体"/>
                <w:kern w:val="0"/>
                <w:sz w:val="24"/>
              </w:rPr>
              <w:t>城市日供水量低于正常日用水量的95%─90%（不含90%）。</w:t>
            </w:r>
          </w:p>
        </w:tc>
      </w:tr>
      <w:tr w14:paraId="6AFF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trPr>
        <w:tc>
          <w:tcPr>
            <w:tcW w:w="1062" w:type="dxa"/>
            <w:vMerge w:val="continue"/>
            <w:vAlign w:val="center"/>
          </w:tcPr>
          <w:p w14:paraId="1ADAAEF1">
            <w:pPr>
              <w:spacing w:line="280" w:lineRule="exact"/>
              <w:jc w:val="center"/>
              <w:rPr>
                <w:rFonts w:ascii="仿宋_GB2312" w:eastAsia="仿宋_GB2312"/>
                <w:sz w:val="24"/>
              </w:rPr>
            </w:pPr>
          </w:p>
        </w:tc>
        <w:tc>
          <w:tcPr>
            <w:tcW w:w="1275" w:type="dxa"/>
            <w:vAlign w:val="center"/>
          </w:tcPr>
          <w:p w14:paraId="5370E96F">
            <w:pPr>
              <w:spacing w:line="280" w:lineRule="exact"/>
              <w:jc w:val="center"/>
              <w:rPr>
                <w:rFonts w:ascii="仿宋_GB2312" w:eastAsia="仿宋_GB2312"/>
                <w:sz w:val="24"/>
              </w:rPr>
            </w:pPr>
            <w:r>
              <w:rPr>
                <w:rFonts w:hint="eastAsia" w:ascii="仿宋_GB2312" w:eastAsia="仿宋_GB2312"/>
                <w:sz w:val="24"/>
              </w:rPr>
              <w:t>工情</w:t>
            </w:r>
          </w:p>
        </w:tc>
        <w:tc>
          <w:tcPr>
            <w:tcW w:w="6825" w:type="dxa"/>
            <w:vAlign w:val="center"/>
          </w:tcPr>
          <w:p w14:paraId="3B5AEFDC">
            <w:pPr>
              <w:spacing w:line="280" w:lineRule="exact"/>
              <w:rPr>
                <w:rFonts w:ascii="仿宋_GB2312" w:hAnsi="仿宋" w:eastAsia="仿宋_GB2312" w:cs="宋体"/>
                <w:kern w:val="0"/>
                <w:sz w:val="24"/>
              </w:rPr>
            </w:pPr>
            <w:r>
              <w:rPr>
                <w:rFonts w:hint="eastAsia" w:ascii="仿宋_GB2312" w:hAnsi="仿宋" w:eastAsia="仿宋_GB2312" w:cs="宋体"/>
                <w:kern w:val="0"/>
                <w:sz w:val="24"/>
              </w:rPr>
              <w:t>水库大坝、河道堤防出现局部渗漏、漏洞、塌坑、裂缝、滑坡（小范围、浅层）、淘刷（坝前坡有冲坑）或启闭设施损坏。</w:t>
            </w:r>
          </w:p>
        </w:tc>
      </w:tr>
      <w:tr w14:paraId="0D51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trPr>
        <w:tc>
          <w:tcPr>
            <w:tcW w:w="1062" w:type="dxa"/>
            <w:vMerge w:val="restart"/>
            <w:vAlign w:val="center"/>
          </w:tcPr>
          <w:p w14:paraId="153AB1FF">
            <w:pPr>
              <w:spacing w:line="280" w:lineRule="exact"/>
              <w:jc w:val="center"/>
              <w:rPr>
                <w:rFonts w:ascii="仿宋_GB2312" w:eastAsia="仿宋_GB2312"/>
                <w:sz w:val="24"/>
              </w:rPr>
            </w:pPr>
            <w:r>
              <w:rPr>
                <w:rFonts w:hint="eastAsia" w:ascii="仿宋_GB2312" w:eastAsia="仿宋_GB2312"/>
                <w:sz w:val="24"/>
              </w:rPr>
              <w:t>较大   （Ⅲ级）</w:t>
            </w:r>
          </w:p>
        </w:tc>
        <w:tc>
          <w:tcPr>
            <w:tcW w:w="1275" w:type="dxa"/>
            <w:vAlign w:val="center"/>
          </w:tcPr>
          <w:p w14:paraId="0B4C9517">
            <w:pPr>
              <w:spacing w:line="280" w:lineRule="exact"/>
              <w:jc w:val="center"/>
              <w:rPr>
                <w:rFonts w:ascii="仿宋_GB2312" w:eastAsia="仿宋_GB2312"/>
                <w:sz w:val="24"/>
              </w:rPr>
            </w:pPr>
            <w:r>
              <w:rPr>
                <w:rFonts w:hint="eastAsia" w:ascii="仿宋_GB2312" w:eastAsia="仿宋_GB2312"/>
                <w:sz w:val="24"/>
              </w:rPr>
              <w:t>降水</w:t>
            </w:r>
          </w:p>
        </w:tc>
        <w:tc>
          <w:tcPr>
            <w:tcW w:w="6825" w:type="dxa"/>
            <w:vAlign w:val="center"/>
          </w:tcPr>
          <w:p w14:paraId="6A84225B">
            <w:pPr>
              <w:spacing w:line="280" w:lineRule="exact"/>
              <w:rPr>
                <w:rFonts w:ascii="仿宋_GB2312" w:hAnsi="仿宋" w:eastAsia="仿宋_GB2312" w:cs="宋体"/>
                <w:kern w:val="0"/>
                <w:sz w:val="24"/>
              </w:rPr>
            </w:pPr>
            <w:r>
              <w:rPr>
                <w:rFonts w:hint="eastAsia" w:ascii="仿宋_GB2312" w:hAnsi="仿宋" w:eastAsia="仿宋_GB2312" w:cs="宋体"/>
                <w:kern w:val="0"/>
                <w:sz w:val="24"/>
              </w:rPr>
              <w:t>气象部门发布暴雨黄色预警信号。</w:t>
            </w:r>
          </w:p>
        </w:tc>
      </w:tr>
      <w:tr w14:paraId="252E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trPr>
        <w:tc>
          <w:tcPr>
            <w:tcW w:w="1062" w:type="dxa"/>
            <w:vMerge w:val="continue"/>
            <w:vAlign w:val="center"/>
          </w:tcPr>
          <w:p w14:paraId="2B956B14">
            <w:pPr>
              <w:spacing w:line="280" w:lineRule="exact"/>
              <w:jc w:val="center"/>
              <w:rPr>
                <w:rFonts w:ascii="仿宋_GB2312" w:eastAsia="仿宋_GB2312"/>
                <w:sz w:val="24"/>
              </w:rPr>
            </w:pPr>
          </w:p>
        </w:tc>
        <w:tc>
          <w:tcPr>
            <w:tcW w:w="1275" w:type="dxa"/>
            <w:vAlign w:val="center"/>
          </w:tcPr>
          <w:p w14:paraId="5DB06951">
            <w:pPr>
              <w:spacing w:line="280" w:lineRule="exact"/>
              <w:jc w:val="center"/>
              <w:rPr>
                <w:rFonts w:ascii="仿宋_GB2312" w:eastAsia="仿宋_GB2312"/>
                <w:sz w:val="24"/>
              </w:rPr>
            </w:pPr>
            <w:r>
              <w:rPr>
                <w:rFonts w:hint="eastAsia" w:ascii="仿宋_GB2312" w:eastAsia="仿宋_GB2312"/>
                <w:sz w:val="24"/>
              </w:rPr>
              <w:t>洪水</w:t>
            </w:r>
          </w:p>
        </w:tc>
        <w:tc>
          <w:tcPr>
            <w:tcW w:w="6825" w:type="dxa"/>
            <w:vAlign w:val="center"/>
          </w:tcPr>
          <w:p w14:paraId="564B79CF">
            <w:pPr>
              <w:spacing w:line="280" w:lineRule="exact"/>
              <w:rPr>
                <w:rFonts w:ascii="仿宋_GB2312" w:hAnsi="仿宋" w:eastAsia="仿宋_GB2312" w:cs="宋体"/>
                <w:kern w:val="0"/>
                <w:sz w:val="24"/>
              </w:rPr>
            </w:pPr>
            <w:r>
              <w:rPr>
                <w:rFonts w:hint="eastAsia" w:ascii="仿宋_GB2312" w:hAnsi="仿宋" w:eastAsia="仿宋_GB2312" w:cs="宋体"/>
                <w:kern w:val="0"/>
                <w:sz w:val="24"/>
              </w:rPr>
              <w:t>洪峰流量或洪量的重现期为10─20年一遇。</w:t>
            </w:r>
          </w:p>
        </w:tc>
      </w:tr>
      <w:tr w14:paraId="4B09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trPr>
        <w:tc>
          <w:tcPr>
            <w:tcW w:w="1062" w:type="dxa"/>
            <w:vMerge w:val="continue"/>
            <w:vAlign w:val="center"/>
          </w:tcPr>
          <w:p w14:paraId="0D602748">
            <w:pPr>
              <w:spacing w:line="280" w:lineRule="exact"/>
              <w:jc w:val="center"/>
              <w:rPr>
                <w:rFonts w:ascii="仿宋_GB2312" w:eastAsia="仿宋_GB2312"/>
                <w:sz w:val="24"/>
              </w:rPr>
            </w:pPr>
          </w:p>
        </w:tc>
        <w:tc>
          <w:tcPr>
            <w:tcW w:w="1275" w:type="dxa"/>
            <w:vAlign w:val="center"/>
          </w:tcPr>
          <w:p w14:paraId="4A072FA0">
            <w:pPr>
              <w:spacing w:line="280" w:lineRule="exact"/>
              <w:jc w:val="center"/>
              <w:rPr>
                <w:rFonts w:ascii="仿宋_GB2312" w:eastAsia="仿宋_GB2312"/>
                <w:sz w:val="24"/>
              </w:rPr>
            </w:pPr>
            <w:r>
              <w:rPr>
                <w:rFonts w:hint="eastAsia" w:ascii="仿宋_GB2312" w:eastAsia="仿宋_GB2312"/>
                <w:sz w:val="24"/>
              </w:rPr>
              <w:t>洪涝灾害</w:t>
            </w:r>
          </w:p>
        </w:tc>
        <w:tc>
          <w:tcPr>
            <w:tcW w:w="6825" w:type="dxa"/>
            <w:vAlign w:val="center"/>
          </w:tcPr>
          <w:p w14:paraId="095E4BF2">
            <w:pPr>
              <w:spacing w:line="280" w:lineRule="exact"/>
              <w:rPr>
                <w:rFonts w:ascii="仿宋_GB2312" w:hAnsi="仿宋" w:eastAsia="仿宋_GB2312" w:cs="宋体"/>
                <w:kern w:val="0"/>
                <w:sz w:val="24"/>
              </w:rPr>
            </w:pPr>
            <w:r>
              <w:rPr>
                <w:rFonts w:hint="eastAsia" w:ascii="仿宋_GB2312" w:hAnsi="仿宋" w:eastAsia="仿宋_GB2312" w:cs="宋体"/>
                <w:kern w:val="0"/>
                <w:sz w:val="24"/>
              </w:rPr>
              <w:t>一次洪涝灾害使1/3─1/2（不含1/2）的所辖行政区域受灾，或农作物受灾面积占耕地面积的30%─50%（不含50%）。</w:t>
            </w:r>
          </w:p>
        </w:tc>
      </w:tr>
      <w:tr w14:paraId="7D8E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trPr>
        <w:tc>
          <w:tcPr>
            <w:tcW w:w="1062" w:type="dxa"/>
            <w:vMerge w:val="continue"/>
            <w:vAlign w:val="center"/>
          </w:tcPr>
          <w:p w14:paraId="437BD78E">
            <w:pPr>
              <w:spacing w:line="280" w:lineRule="exact"/>
              <w:jc w:val="center"/>
              <w:rPr>
                <w:rFonts w:ascii="仿宋_GB2312" w:eastAsia="仿宋_GB2312"/>
                <w:sz w:val="24"/>
              </w:rPr>
            </w:pPr>
          </w:p>
        </w:tc>
        <w:tc>
          <w:tcPr>
            <w:tcW w:w="1275" w:type="dxa"/>
            <w:vAlign w:val="center"/>
          </w:tcPr>
          <w:p w14:paraId="2D7DDCA1">
            <w:pPr>
              <w:spacing w:line="280" w:lineRule="exact"/>
              <w:jc w:val="center"/>
              <w:rPr>
                <w:rFonts w:ascii="仿宋_GB2312" w:eastAsia="仿宋_GB2312"/>
                <w:sz w:val="24"/>
              </w:rPr>
            </w:pPr>
            <w:r>
              <w:rPr>
                <w:rFonts w:hint="eastAsia" w:ascii="仿宋_GB2312" w:eastAsia="仿宋_GB2312"/>
                <w:sz w:val="24"/>
              </w:rPr>
              <w:t>农业旱情</w:t>
            </w:r>
          </w:p>
        </w:tc>
        <w:tc>
          <w:tcPr>
            <w:tcW w:w="6825" w:type="dxa"/>
            <w:vAlign w:val="center"/>
          </w:tcPr>
          <w:p w14:paraId="4744CA8D">
            <w:pPr>
              <w:spacing w:line="280" w:lineRule="exact"/>
              <w:rPr>
                <w:rFonts w:ascii="仿宋_GB2312" w:hAnsi="仿宋" w:eastAsia="仿宋_GB2312" w:cs="宋体"/>
                <w:kern w:val="0"/>
                <w:sz w:val="24"/>
              </w:rPr>
            </w:pPr>
            <w:r>
              <w:rPr>
                <w:rFonts w:hint="eastAsia" w:ascii="仿宋_GB2312" w:hAnsi="仿宋" w:eastAsia="仿宋_GB2312" w:cs="宋体"/>
                <w:kern w:val="0"/>
                <w:sz w:val="24"/>
              </w:rPr>
              <w:t>农作物受旱面积占播种面积的比例达30%─50%（不含50%），临时性饮水困难人口占所在地区人口比例达20%─40%（不含40%)。</w:t>
            </w:r>
          </w:p>
        </w:tc>
      </w:tr>
      <w:tr w14:paraId="191B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trPr>
        <w:tc>
          <w:tcPr>
            <w:tcW w:w="1062" w:type="dxa"/>
            <w:vMerge w:val="continue"/>
            <w:vAlign w:val="center"/>
          </w:tcPr>
          <w:p w14:paraId="2A160D06">
            <w:pPr>
              <w:spacing w:line="280" w:lineRule="exact"/>
              <w:jc w:val="center"/>
              <w:rPr>
                <w:rFonts w:ascii="仿宋_GB2312" w:eastAsia="仿宋_GB2312"/>
                <w:sz w:val="24"/>
              </w:rPr>
            </w:pPr>
          </w:p>
        </w:tc>
        <w:tc>
          <w:tcPr>
            <w:tcW w:w="1275" w:type="dxa"/>
            <w:vAlign w:val="center"/>
          </w:tcPr>
          <w:p w14:paraId="157B0800">
            <w:pPr>
              <w:spacing w:line="280" w:lineRule="exact"/>
              <w:jc w:val="center"/>
              <w:rPr>
                <w:rFonts w:ascii="仿宋_GB2312" w:eastAsia="仿宋_GB2312"/>
                <w:sz w:val="24"/>
              </w:rPr>
            </w:pPr>
            <w:r>
              <w:rPr>
                <w:rFonts w:hint="eastAsia" w:ascii="仿宋_GB2312" w:eastAsia="仿宋_GB2312"/>
                <w:sz w:val="24"/>
              </w:rPr>
              <w:t>城市旱情</w:t>
            </w:r>
          </w:p>
        </w:tc>
        <w:tc>
          <w:tcPr>
            <w:tcW w:w="6825" w:type="dxa"/>
            <w:vAlign w:val="center"/>
          </w:tcPr>
          <w:p w14:paraId="222626A4">
            <w:pPr>
              <w:spacing w:line="280" w:lineRule="exact"/>
              <w:rPr>
                <w:rFonts w:ascii="仿宋_GB2312" w:hAnsi="仿宋" w:eastAsia="仿宋_GB2312" w:cs="宋体"/>
                <w:kern w:val="0"/>
                <w:sz w:val="24"/>
              </w:rPr>
            </w:pPr>
            <w:r>
              <w:rPr>
                <w:rFonts w:hint="eastAsia" w:ascii="仿宋_GB2312" w:hAnsi="仿宋" w:eastAsia="仿宋_GB2312" w:cs="宋体"/>
                <w:kern w:val="0"/>
                <w:sz w:val="24"/>
              </w:rPr>
              <w:t>城市日供水量低于正常日用水量的90%─80%（不含80%）。</w:t>
            </w:r>
          </w:p>
        </w:tc>
      </w:tr>
      <w:tr w14:paraId="240D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trPr>
        <w:tc>
          <w:tcPr>
            <w:tcW w:w="1062" w:type="dxa"/>
            <w:vMerge w:val="continue"/>
            <w:vAlign w:val="center"/>
          </w:tcPr>
          <w:p w14:paraId="6FDCF945">
            <w:pPr>
              <w:spacing w:line="280" w:lineRule="exact"/>
              <w:jc w:val="center"/>
              <w:rPr>
                <w:rFonts w:ascii="仿宋_GB2312" w:eastAsia="仿宋_GB2312"/>
                <w:sz w:val="24"/>
              </w:rPr>
            </w:pPr>
          </w:p>
        </w:tc>
        <w:tc>
          <w:tcPr>
            <w:tcW w:w="1275" w:type="dxa"/>
            <w:vAlign w:val="center"/>
          </w:tcPr>
          <w:p w14:paraId="2E129BD4">
            <w:pPr>
              <w:spacing w:line="280" w:lineRule="exact"/>
              <w:jc w:val="center"/>
              <w:rPr>
                <w:rFonts w:ascii="仿宋_GB2312" w:eastAsia="仿宋_GB2312"/>
                <w:sz w:val="24"/>
              </w:rPr>
            </w:pPr>
            <w:r>
              <w:rPr>
                <w:rFonts w:hint="eastAsia" w:ascii="仿宋_GB2312" w:eastAsia="仿宋_GB2312"/>
                <w:sz w:val="24"/>
              </w:rPr>
              <w:t>工情</w:t>
            </w:r>
          </w:p>
        </w:tc>
        <w:tc>
          <w:tcPr>
            <w:tcW w:w="6825" w:type="dxa"/>
            <w:vAlign w:val="center"/>
          </w:tcPr>
          <w:p w14:paraId="2B731BEA">
            <w:pPr>
              <w:spacing w:line="280" w:lineRule="exact"/>
              <w:rPr>
                <w:rFonts w:ascii="仿宋_GB2312" w:hAnsi="仿宋" w:eastAsia="仿宋_GB2312" w:cs="宋体"/>
                <w:kern w:val="0"/>
                <w:sz w:val="24"/>
              </w:rPr>
            </w:pPr>
            <w:r>
              <w:rPr>
                <w:rFonts w:hint="eastAsia" w:ascii="仿宋_GB2312" w:hAnsi="仿宋" w:eastAsia="仿宋_GB2312" w:cs="宋体"/>
                <w:kern w:val="0"/>
                <w:sz w:val="24"/>
              </w:rPr>
              <w:t>水库大坝、河道堤防出现大范围渗漏、漏洞、塌坑、裂缝（未贯穿或不均匀沉陷裂缝）、滑坡（较大面积、深层）、淘刷（坝前坡侵蚀或淘空、未坍塌）或启闭设施不能正常启闭。</w:t>
            </w:r>
          </w:p>
        </w:tc>
      </w:tr>
      <w:tr w14:paraId="125F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trPr>
        <w:tc>
          <w:tcPr>
            <w:tcW w:w="1062" w:type="dxa"/>
            <w:vMerge w:val="restart"/>
            <w:vAlign w:val="center"/>
          </w:tcPr>
          <w:p w14:paraId="42388097">
            <w:pPr>
              <w:spacing w:line="280" w:lineRule="exact"/>
              <w:jc w:val="center"/>
              <w:rPr>
                <w:rFonts w:ascii="仿宋_GB2312" w:eastAsia="仿宋_GB2312"/>
                <w:sz w:val="24"/>
              </w:rPr>
            </w:pPr>
            <w:r>
              <w:rPr>
                <w:rFonts w:hint="eastAsia" w:ascii="仿宋_GB2312" w:eastAsia="仿宋_GB2312"/>
                <w:sz w:val="24"/>
              </w:rPr>
              <w:t>重大</w:t>
            </w:r>
          </w:p>
          <w:p w14:paraId="6379299A">
            <w:pPr>
              <w:spacing w:line="280" w:lineRule="exact"/>
              <w:jc w:val="center"/>
              <w:rPr>
                <w:rFonts w:ascii="仿宋_GB2312" w:eastAsia="仿宋_GB2312"/>
                <w:sz w:val="24"/>
              </w:rPr>
            </w:pPr>
            <w:r>
              <w:rPr>
                <w:rFonts w:hint="eastAsia" w:ascii="仿宋_GB2312" w:eastAsia="仿宋_GB2312"/>
                <w:sz w:val="24"/>
              </w:rPr>
              <w:t>（Ⅱ级）</w:t>
            </w:r>
          </w:p>
        </w:tc>
        <w:tc>
          <w:tcPr>
            <w:tcW w:w="1275" w:type="dxa"/>
            <w:vAlign w:val="center"/>
          </w:tcPr>
          <w:p w14:paraId="1C7583B7">
            <w:pPr>
              <w:spacing w:line="280" w:lineRule="exact"/>
              <w:jc w:val="center"/>
              <w:rPr>
                <w:rFonts w:ascii="仿宋_GB2312" w:eastAsia="仿宋_GB2312"/>
                <w:sz w:val="24"/>
              </w:rPr>
            </w:pPr>
            <w:r>
              <w:rPr>
                <w:rFonts w:hint="eastAsia" w:ascii="仿宋_GB2312" w:eastAsia="仿宋_GB2312"/>
                <w:sz w:val="24"/>
              </w:rPr>
              <w:t>降水</w:t>
            </w:r>
          </w:p>
        </w:tc>
        <w:tc>
          <w:tcPr>
            <w:tcW w:w="6825" w:type="dxa"/>
            <w:vAlign w:val="center"/>
          </w:tcPr>
          <w:p w14:paraId="01935C7F">
            <w:pPr>
              <w:spacing w:line="280" w:lineRule="exact"/>
              <w:rPr>
                <w:rFonts w:ascii="仿宋_GB2312" w:hAnsi="仿宋" w:eastAsia="仿宋_GB2312" w:cs="宋体"/>
                <w:kern w:val="0"/>
                <w:sz w:val="24"/>
              </w:rPr>
            </w:pPr>
            <w:r>
              <w:rPr>
                <w:rFonts w:hint="eastAsia" w:ascii="仿宋_GB2312" w:hAnsi="仿宋" w:eastAsia="仿宋_GB2312" w:cs="宋体"/>
                <w:kern w:val="0"/>
                <w:sz w:val="24"/>
              </w:rPr>
              <w:t>气象部门发布暴雨橙色预警信号。</w:t>
            </w:r>
          </w:p>
        </w:tc>
      </w:tr>
      <w:tr w14:paraId="7118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trPr>
        <w:tc>
          <w:tcPr>
            <w:tcW w:w="1062" w:type="dxa"/>
            <w:vMerge w:val="continue"/>
            <w:vAlign w:val="center"/>
          </w:tcPr>
          <w:p w14:paraId="562FA9FA">
            <w:pPr>
              <w:spacing w:line="280" w:lineRule="exact"/>
              <w:jc w:val="center"/>
              <w:rPr>
                <w:rFonts w:ascii="仿宋_GB2312" w:eastAsia="仿宋_GB2312"/>
                <w:sz w:val="24"/>
              </w:rPr>
            </w:pPr>
          </w:p>
        </w:tc>
        <w:tc>
          <w:tcPr>
            <w:tcW w:w="1275" w:type="dxa"/>
            <w:vAlign w:val="center"/>
          </w:tcPr>
          <w:p w14:paraId="1429155D">
            <w:pPr>
              <w:spacing w:line="280" w:lineRule="exact"/>
              <w:jc w:val="center"/>
              <w:rPr>
                <w:rFonts w:ascii="仿宋_GB2312" w:eastAsia="仿宋_GB2312"/>
                <w:sz w:val="24"/>
              </w:rPr>
            </w:pPr>
            <w:r>
              <w:rPr>
                <w:rFonts w:hint="eastAsia" w:ascii="仿宋_GB2312" w:eastAsia="仿宋_GB2312"/>
                <w:sz w:val="24"/>
              </w:rPr>
              <w:t>洪水</w:t>
            </w:r>
          </w:p>
        </w:tc>
        <w:tc>
          <w:tcPr>
            <w:tcW w:w="6825" w:type="dxa"/>
            <w:vAlign w:val="center"/>
          </w:tcPr>
          <w:p w14:paraId="1E8AB4C0">
            <w:pPr>
              <w:spacing w:line="280" w:lineRule="exact"/>
              <w:rPr>
                <w:rFonts w:ascii="仿宋_GB2312" w:hAnsi="仿宋" w:eastAsia="仿宋_GB2312" w:cs="宋体"/>
                <w:kern w:val="0"/>
                <w:sz w:val="24"/>
              </w:rPr>
            </w:pPr>
            <w:r>
              <w:rPr>
                <w:rFonts w:hint="eastAsia" w:ascii="仿宋_GB2312" w:hAnsi="仿宋" w:eastAsia="仿宋_GB2312" w:cs="宋体"/>
                <w:kern w:val="0"/>
                <w:sz w:val="24"/>
              </w:rPr>
              <w:t>洪峰流量或洪量的重现期为20─50年一遇。</w:t>
            </w:r>
          </w:p>
        </w:tc>
      </w:tr>
      <w:tr w14:paraId="4AAB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trPr>
        <w:tc>
          <w:tcPr>
            <w:tcW w:w="1062" w:type="dxa"/>
            <w:vMerge w:val="continue"/>
            <w:vAlign w:val="center"/>
          </w:tcPr>
          <w:p w14:paraId="5D0A4054">
            <w:pPr>
              <w:spacing w:line="280" w:lineRule="exact"/>
              <w:jc w:val="center"/>
              <w:rPr>
                <w:rFonts w:ascii="仿宋_GB2312" w:eastAsia="仿宋_GB2312"/>
                <w:sz w:val="24"/>
              </w:rPr>
            </w:pPr>
          </w:p>
        </w:tc>
        <w:tc>
          <w:tcPr>
            <w:tcW w:w="1275" w:type="dxa"/>
            <w:vAlign w:val="center"/>
          </w:tcPr>
          <w:p w14:paraId="50CD1DF0">
            <w:pPr>
              <w:spacing w:line="280" w:lineRule="exact"/>
              <w:jc w:val="center"/>
              <w:rPr>
                <w:rFonts w:ascii="仿宋_GB2312" w:eastAsia="仿宋_GB2312"/>
                <w:sz w:val="24"/>
              </w:rPr>
            </w:pPr>
            <w:r>
              <w:rPr>
                <w:rFonts w:hint="eastAsia" w:ascii="仿宋_GB2312" w:eastAsia="仿宋_GB2312"/>
                <w:sz w:val="24"/>
              </w:rPr>
              <w:t>洪涝灾害</w:t>
            </w:r>
          </w:p>
        </w:tc>
        <w:tc>
          <w:tcPr>
            <w:tcW w:w="6825" w:type="dxa"/>
            <w:vAlign w:val="center"/>
          </w:tcPr>
          <w:p w14:paraId="390049E1">
            <w:pPr>
              <w:spacing w:line="280" w:lineRule="exact"/>
              <w:rPr>
                <w:rFonts w:ascii="仿宋_GB2312" w:hAnsi="仿宋" w:eastAsia="仿宋_GB2312" w:cs="宋体"/>
                <w:kern w:val="0"/>
                <w:sz w:val="24"/>
              </w:rPr>
            </w:pPr>
            <w:r>
              <w:rPr>
                <w:rFonts w:hint="eastAsia" w:ascii="仿宋_GB2312" w:hAnsi="仿宋" w:eastAsia="仿宋_GB2312" w:cs="宋体"/>
                <w:kern w:val="0"/>
                <w:sz w:val="24"/>
              </w:rPr>
              <w:t>一次洪涝灾害使1/2─2/3（不含2/3）的所辖行政区域受灾，或农作物受灾面积占耕地面积的50%─70%（不含70%）。</w:t>
            </w:r>
          </w:p>
        </w:tc>
      </w:tr>
      <w:tr w14:paraId="3FDD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trPr>
        <w:tc>
          <w:tcPr>
            <w:tcW w:w="1062" w:type="dxa"/>
            <w:vMerge w:val="continue"/>
            <w:vAlign w:val="center"/>
          </w:tcPr>
          <w:p w14:paraId="16498684">
            <w:pPr>
              <w:spacing w:line="280" w:lineRule="exact"/>
              <w:jc w:val="center"/>
              <w:rPr>
                <w:rFonts w:ascii="仿宋_GB2312" w:eastAsia="仿宋_GB2312"/>
                <w:sz w:val="24"/>
              </w:rPr>
            </w:pPr>
          </w:p>
        </w:tc>
        <w:tc>
          <w:tcPr>
            <w:tcW w:w="1275" w:type="dxa"/>
            <w:vAlign w:val="center"/>
          </w:tcPr>
          <w:p w14:paraId="3B36F29D">
            <w:pPr>
              <w:spacing w:line="280" w:lineRule="exact"/>
              <w:jc w:val="center"/>
              <w:rPr>
                <w:rFonts w:ascii="仿宋_GB2312" w:eastAsia="仿宋_GB2312"/>
                <w:sz w:val="24"/>
              </w:rPr>
            </w:pPr>
            <w:r>
              <w:rPr>
                <w:rFonts w:hint="eastAsia" w:ascii="仿宋_GB2312" w:eastAsia="仿宋_GB2312"/>
                <w:sz w:val="24"/>
              </w:rPr>
              <w:t>农业旱情</w:t>
            </w:r>
          </w:p>
        </w:tc>
        <w:tc>
          <w:tcPr>
            <w:tcW w:w="6825" w:type="dxa"/>
            <w:vAlign w:val="center"/>
          </w:tcPr>
          <w:p w14:paraId="4DF9FBA7">
            <w:pPr>
              <w:spacing w:line="280" w:lineRule="exact"/>
              <w:rPr>
                <w:rFonts w:ascii="仿宋_GB2312" w:hAnsi="仿宋" w:eastAsia="仿宋_GB2312" w:cs="宋体"/>
                <w:kern w:val="0"/>
                <w:sz w:val="24"/>
              </w:rPr>
            </w:pPr>
            <w:r>
              <w:rPr>
                <w:rFonts w:hint="eastAsia" w:ascii="仿宋_GB2312" w:hAnsi="仿宋" w:eastAsia="仿宋_GB2312" w:cs="宋体"/>
                <w:kern w:val="0"/>
                <w:sz w:val="24"/>
              </w:rPr>
              <w:t>农作物受旱面积占播种面积的比例达50%─80%（不含80%），临时性饮水困难人口占所在地区人口比例达40─60%（不含60%）。</w:t>
            </w:r>
          </w:p>
        </w:tc>
      </w:tr>
      <w:tr w14:paraId="335F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trPr>
        <w:tc>
          <w:tcPr>
            <w:tcW w:w="1062" w:type="dxa"/>
            <w:vMerge w:val="continue"/>
            <w:vAlign w:val="center"/>
          </w:tcPr>
          <w:p w14:paraId="4BC8348E">
            <w:pPr>
              <w:spacing w:line="280" w:lineRule="exact"/>
              <w:jc w:val="center"/>
              <w:rPr>
                <w:rFonts w:ascii="仿宋_GB2312" w:eastAsia="仿宋_GB2312"/>
                <w:sz w:val="24"/>
              </w:rPr>
            </w:pPr>
          </w:p>
        </w:tc>
        <w:tc>
          <w:tcPr>
            <w:tcW w:w="1275" w:type="dxa"/>
            <w:vAlign w:val="center"/>
          </w:tcPr>
          <w:p w14:paraId="4E323AAC">
            <w:pPr>
              <w:spacing w:line="280" w:lineRule="exact"/>
              <w:jc w:val="center"/>
              <w:rPr>
                <w:rFonts w:ascii="仿宋_GB2312" w:eastAsia="仿宋_GB2312"/>
                <w:sz w:val="24"/>
              </w:rPr>
            </w:pPr>
            <w:r>
              <w:rPr>
                <w:rFonts w:hint="eastAsia" w:ascii="仿宋_GB2312" w:eastAsia="仿宋_GB2312"/>
                <w:sz w:val="24"/>
              </w:rPr>
              <w:t>城市旱情</w:t>
            </w:r>
          </w:p>
        </w:tc>
        <w:tc>
          <w:tcPr>
            <w:tcW w:w="6825" w:type="dxa"/>
            <w:vAlign w:val="center"/>
          </w:tcPr>
          <w:p w14:paraId="0F225863">
            <w:pPr>
              <w:spacing w:line="280" w:lineRule="exact"/>
              <w:rPr>
                <w:rFonts w:ascii="仿宋_GB2312" w:hAnsi="仿宋" w:eastAsia="仿宋_GB2312" w:cs="宋体"/>
                <w:kern w:val="0"/>
                <w:sz w:val="24"/>
              </w:rPr>
            </w:pPr>
            <w:r>
              <w:rPr>
                <w:rFonts w:hint="eastAsia" w:ascii="仿宋_GB2312" w:hAnsi="仿宋" w:eastAsia="仿宋_GB2312" w:cs="宋体"/>
                <w:kern w:val="0"/>
                <w:sz w:val="24"/>
              </w:rPr>
              <w:t>城市日供水量低于正常用水量的80%─70%（不含70%）。</w:t>
            </w:r>
          </w:p>
        </w:tc>
      </w:tr>
      <w:tr w14:paraId="6008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trPr>
        <w:tc>
          <w:tcPr>
            <w:tcW w:w="1062" w:type="dxa"/>
            <w:vMerge w:val="continue"/>
            <w:vAlign w:val="center"/>
          </w:tcPr>
          <w:p w14:paraId="72C44C65">
            <w:pPr>
              <w:spacing w:line="280" w:lineRule="exact"/>
              <w:jc w:val="center"/>
              <w:rPr>
                <w:rFonts w:ascii="仿宋_GB2312" w:eastAsia="仿宋_GB2312"/>
                <w:sz w:val="24"/>
              </w:rPr>
            </w:pPr>
          </w:p>
        </w:tc>
        <w:tc>
          <w:tcPr>
            <w:tcW w:w="1275" w:type="dxa"/>
            <w:vAlign w:val="center"/>
          </w:tcPr>
          <w:p w14:paraId="434A9A6C">
            <w:pPr>
              <w:spacing w:line="280" w:lineRule="exact"/>
              <w:jc w:val="center"/>
              <w:rPr>
                <w:rFonts w:ascii="仿宋_GB2312" w:eastAsia="仿宋_GB2312"/>
                <w:sz w:val="24"/>
              </w:rPr>
            </w:pPr>
            <w:r>
              <w:rPr>
                <w:rFonts w:hint="eastAsia" w:ascii="仿宋_GB2312" w:eastAsia="仿宋_GB2312"/>
                <w:sz w:val="24"/>
              </w:rPr>
              <w:t>工情</w:t>
            </w:r>
          </w:p>
        </w:tc>
        <w:tc>
          <w:tcPr>
            <w:tcW w:w="6825" w:type="dxa"/>
            <w:vAlign w:val="center"/>
          </w:tcPr>
          <w:p w14:paraId="514C8572">
            <w:pPr>
              <w:spacing w:line="280" w:lineRule="exact"/>
              <w:rPr>
                <w:rFonts w:ascii="仿宋_GB2312" w:hAnsi="仿宋" w:eastAsia="仿宋_GB2312" w:cs="宋体"/>
                <w:kern w:val="0"/>
                <w:sz w:val="24"/>
              </w:rPr>
            </w:pPr>
            <w:r>
              <w:rPr>
                <w:rFonts w:hint="eastAsia" w:ascii="仿宋_GB2312" w:hAnsi="仿宋" w:eastAsia="仿宋_GB2312" w:cs="宋体"/>
                <w:kern w:val="0"/>
                <w:sz w:val="24"/>
              </w:rPr>
              <w:t>水库大坝、河道堤防出现决口、满溢，或严重渗漏、漏洞、塌坑、裂缝（贯穿性裂缝）、滑坡（大面积、深层）、淘刷（坝前坡淘空、严重坍塌）或启闭设施失灵。</w:t>
            </w:r>
          </w:p>
        </w:tc>
      </w:tr>
      <w:tr w14:paraId="2AE2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trPr>
        <w:tc>
          <w:tcPr>
            <w:tcW w:w="1062" w:type="dxa"/>
            <w:vMerge w:val="restart"/>
            <w:vAlign w:val="center"/>
          </w:tcPr>
          <w:p w14:paraId="52DC154D">
            <w:pPr>
              <w:spacing w:line="280" w:lineRule="exact"/>
              <w:jc w:val="center"/>
              <w:rPr>
                <w:rFonts w:ascii="仿宋_GB2312" w:eastAsia="仿宋_GB2312"/>
                <w:sz w:val="24"/>
              </w:rPr>
            </w:pPr>
            <w:r>
              <w:rPr>
                <w:rFonts w:hint="eastAsia" w:ascii="仿宋_GB2312" w:eastAsia="仿宋_GB2312"/>
                <w:sz w:val="24"/>
              </w:rPr>
              <w:t>特大</w:t>
            </w:r>
          </w:p>
          <w:p w14:paraId="417A35E1">
            <w:pPr>
              <w:spacing w:line="280" w:lineRule="exact"/>
              <w:jc w:val="center"/>
              <w:rPr>
                <w:rFonts w:ascii="仿宋_GB2312" w:eastAsia="仿宋_GB2312"/>
                <w:sz w:val="24"/>
              </w:rPr>
            </w:pPr>
            <w:r>
              <w:rPr>
                <w:rFonts w:hint="eastAsia" w:ascii="仿宋_GB2312" w:eastAsia="仿宋_GB2312"/>
                <w:sz w:val="24"/>
              </w:rPr>
              <w:t>（Ⅰ级）</w:t>
            </w:r>
          </w:p>
        </w:tc>
        <w:tc>
          <w:tcPr>
            <w:tcW w:w="1275" w:type="dxa"/>
            <w:vAlign w:val="center"/>
          </w:tcPr>
          <w:p w14:paraId="243D4B1F">
            <w:pPr>
              <w:spacing w:line="280" w:lineRule="exact"/>
              <w:jc w:val="center"/>
              <w:rPr>
                <w:rFonts w:ascii="仿宋_GB2312" w:eastAsia="仿宋_GB2312"/>
                <w:sz w:val="24"/>
              </w:rPr>
            </w:pPr>
            <w:r>
              <w:rPr>
                <w:rFonts w:hint="eastAsia" w:ascii="仿宋_GB2312" w:eastAsia="仿宋_GB2312"/>
                <w:sz w:val="24"/>
              </w:rPr>
              <w:t>降水</w:t>
            </w:r>
          </w:p>
        </w:tc>
        <w:tc>
          <w:tcPr>
            <w:tcW w:w="6825" w:type="dxa"/>
            <w:vAlign w:val="center"/>
          </w:tcPr>
          <w:p w14:paraId="5FF122DF">
            <w:pPr>
              <w:spacing w:line="280" w:lineRule="exact"/>
              <w:rPr>
                <w:rFonts w:ascii="仿宋_GB2312" w:hAnsi="仿宋" w:eastAsia="仿宋_GB2312" w:cs="宋体"/>
                <w:kern w:val="0"/>
                <w:sz w:val="24"/>
              </w:rPr>
            </w:pPr>
            <w:r>
              <w:rPr>
                <w:rFonts w:hint="eastAsia" w:ascii="仿宋_GB2312" w:hAnsi="仿宋" w:eastAsia="仿宋_GB2312" w:cs="宋体"/>
                <w:kern w:val="0"/>
                <w:sz w:val="24"/>
              </w:rPr>
              <w:t>气象部门发布暴雨红色预警信号。</w:t>
            </w:r>
          </w:p>
        </w:tc>
      </w:tr>
      <w:tr w14:paraId="5EDF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trPr>
        <w:tc>
          <w:tcPr>
            <w:tcW w:w="1062" w:type="dxa"/>
            <w:vMerge w:val="continue"/>
          </w:tcPr>
          <w:p w14:paraId="44A4C8E6">
            <w:pPr>
              <w:spacing w:line="280" w:lineRule="exact"/>
              <w:rPr>
                <w:rFonts w:ascii="仿宋_GB2312" w:eastAsia="仿宋_GB2312"/>
                <w:b/>
                <w:sz w:val="24"/>
              </w:rPr>
            </w:pPr>
          </w:p>
        </w:tc>
        <w:tc>
          <w:tcPr>
            <w:tcW w:w="1275" w:type="dxa"/>
            <w:vAlign w:val="center"/>
          </w:tcPr>
          <w:p w14:paraId="4E609C64">
            <w:pPr>
              <w:spacing w:line="280" w:lineRule="exact"/>
              <w:jc w:val="center"/>
              <w:rPr>
                <w:rFonts w:ascii="仿宋_GB2312" w:eastAsia="仿宋_GB2312"/>
                <w:sz w:val="24"/>
              </w:rPr>
            </w:pPr>
            <w:r>
              <w:rPr>
                <w:rFonts w:hint="eastAsia" w:ascii="仿宋_GB2312" w:eastAsia="仿宋_GB2312"/>
                <w:sz w:val="24"/>
              </w:rPr>
              <w:t>洪水</w:t>
            </w:r>
          </w:p>
        </w:tc>
        <w:tc>
          <w:tcPr>
            <w:tcW w:w="6825" w:type="dxa"/>
            <w:vAlign w:val="center"/>
          </w:tcPr>
          <w:p w14:paraId="304A7F2B">
            <w:pPr>
              <w:spacing w:line="280" w:lineRule="exact"/>
              <w:rPr>
                <w:rFonts w:ascii="仿宋_GB2312" w:hAnsi="仿宋" w:eastAsia="仿宋_GB2312" w:cs="宋体"/>
                <w:kern w:val="0"/>
                <w:sz w:val="24"/>
              </w:rPr>
            </w:pPr>
            <w:r>
              <w:rPr>
                <w:rFonts w:hint="eastAsia" w:ascii="仿宋_GB2312" w:hAnsi="仿宋" w:eastAsia="仿宋_GB2312" w:cs="宋体"/>
                <w:kern w:val="0"/>
                <w:sz w:val="24"/>
              </w:rPr>
              <w:t>洪峰流量或洪量的重现期大于50年一遇。</w:t>
            </w:r>
          </w:p>
        </w:tc>
      </w:tr>
      <w:tr w14:paraId="6395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trPr>
        <w:tc>
          <w:tcPr>
            <w:tcW w:w="1062" w:type="dxa"/>
            <w:vMerge w:val="continue"/>
          </w:tcPr>
          <w:p w14:paraId="71001BCB">
            <w:pPr>
              <w:spacing w:line="280" w:lineRule="exact"/>
              <w:rPr>
                <w:rFonts w:ascii="仿宋_GB2312" w:eastAsia="仿宋_GB2312"/>
                <w:b/>
                <w:sz w:val="24"/>
              </w:rPr>
            </w:pPr>
          </w:p>
        </w:tc>
        <w:tc>
          <w:tcPr>
            <w:tcW w:w="1275" w:type="dxa"/>
            <w:vAlign w:val="center"/>
          </w:tcPr>
          <w:p w14:paraId="46B3A2A5">
            <w:pPr>
              <w:spacing w:line="280" w:lineRule="exact"/>
              <w:jc w:val="center"/>
              <w:rPr>
                <w:rFonts w:ascii="仿宋_GB2312" w:eastAsia="仿宋_GB2312"/>
                <w:sz w:val="24"/>
              </w:rPr>
            </w:pPr>
            <w:r>
              <w:rPr>
                <w:rFonts w:hint="eastAsia" w:ascii="仿宋_GB2312" w:eastAsia="仿宋_GB2312"/>
                <w:sz w:val="24"/>
              </w:rPr>
              <w:t>洪涝灾害</w:t>
            </w:r>
          </w:p>
        </w:tc>
        <w:tc>
          <w:tcPr>
            <w:tcW w:w="6825" w:type="dxa"/>
            <w:vAlign w:val="center"/>
          </w:tcPr>
          <w:p w14:paraId="16EE11B4">
            <w:pPr>
              <w:spacing w:line="280" w:lineRule="exact"/>
              <w:rPr>
                <w:rFonts w:ascii="仿宋_GB2312" w:hAnsi="仿宋" w:eastAsia="仿宋_GB2312" w:cs="宋体"/>
                <w:kern w:val="0"/>
                <w:sz w:val="24"/>
              </w:rPr>
            </w:pPr>
            <w:r>
              <w:rPr>
                <w:rFonts w:hint="eastAsia" w:ascii="仿宋_GB2312" w:hAnsi="仿宋" w:eastAsia="仿宋_GB2312" w:cs="宋体"/>
                <w:kern w:val="0"/>
                <w:sz w:val="24"/>
              </w:rPr>
              <w:t>一次洪涝灾害使2/3以上的所辖行政区域受灾，或农作物受灾面积占耕地面积的70%以上。</w:t>
            </w:r>
          </w:p>
        </w:tc>
      </w:tr>
      <w:tr w14:paraId="497A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blHeader/>
        </w:trPr>
        <w:tc>
          <w:tcPr>
            <w:tcW w:w="1062" w:type="dxa"/>
            <w:vMerge w:val="continue"/>
          </w:tcPr>
          <w:p w14:paraId="0FD43A7C">
            <w:pPr>
              <w:spacing w:line="280" w:lineRule="exact"/>
              <w:rPr>
                <w:rFonts w:ascii="仿宋_GB2312" w:eastAsia="仿宋_GB2312"/>
                <w:b/>
                <w:sz w:val="24"/>
              </w:rPr>
            </w:pPr>
          </w:p>
        </w:tc>
        <w:tc>
          <w:tcPr>
            <w:tcW w:w="1275" w:type="dxa"/>
            <w:vAlign w:val="center"/>
          </w:tcPr>
          <w:p w14:paraId="11B376EB">
            <w:pPr>
              <w:spacing w:line="280" w:lineRule="exact"/>
              <w:jc w:val="center"/>
              <w:rPr>
                <w:rFonts w:ascii="仿宋_GB2312" w:eastAsia="仿宋_GB2312"/>
                <w:sz w:val="24"/>
              </w:rPr>
            </w:pPr>
            <w:r>
              <w:rPr>
                <w:rFonts w:hint="eastAsia" w:ascii="仿宋_GB2312" w:eastAsia="仿宋_GB2312"/>
                <w:sz w:val="24"/>
              </w:rPr>
              <w:t>农业旱情</w:t>
            </w:r>
          </w:p>
        </w:tc>
        <w:tc>
          <w:tcPr>
            <w:tcW w:w="6825" w:type="dxa"/>
            <w:vAlign w:val="center"/>
          </w:tcPr>
          <w:p w14:paraId="0E49684E">
            <w:pPr>
              <w:spacing w:line="280" w:lineRule="exact"/>
              <w:rPr>
                <w:rFonts w:ascii="仿宋_GB2312" w:hAnsi="仿宋" w:eastAsia="仿宋_GB2312" w:cs="宋体"/>
                <w:kern w:val="0"/>
                <w:sz w:val="24"/>
              </w:rPr>
            </w:pPr>
            <w:r>
              <w:rPr>
                <w:rFonts w:hint="eastAsia" w:ascii="仿宋_GB2312" w:hAnsi="仿宋" w:eastAsia="仿宋_GB2312" w:cs="宋体"/>
                <w:kern w:val="0"/>
                <w:sz w:val="24"/>
              </w:rPr>
              <w:t>农作物受旱面积占播种面积的比例大于80%，临时性饮水困难人口占所在地区人口比例高于60%。</w:t>
            </w:r>
          </w:p>
        </w:tc>
      </w:tr>
      <w:tr w14:paraId="0DF8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trPr>
        <w:tc>
          <w:tcPr>
            <w:tcW w:w="1062" w:type="dxa"/>
            <w:vMerge w:val="continue"/>
          </w:tcPr>
          <w:p w14:paraId="1F23F66C">
            <w:pPr>
              <w:spacing w:line="280" w:lineRule="exact"/>
              <w:rPr>
                <w:rFonts w:ascii="仿宋_GB2312" w:eastAsia="仿宋_GB2312"/>
                <w:b/>
                <w:sz w:val="24"/>
              </w:rPr>
            </w:pPr>
          </w:p>
        </w:tc>
        <w:tc>
          <w:tcPr>
            <w:tcW w:w="1275" w:type="dxa"/>
            <w:vAlign w:val="center"/>
          </w:tcPr>
          <w:p w14:paraId="362CCE62">
            <w:pPr>
              <w:spacing w:line="280" w:lineRule="exact"/>
              <w:jc w:val="center"/>
              <w:rPr>
                <w:rFonts w:ascii="仿宋_GB2312" w:eastAsia="仿宋_GB2312"/>
                <w:sz w:val="24"/>
              </w:rPr>
            </w:pPr>
            <w:r>
              <w:rPr>
                <w:rFonts w:hint="eastAsia" w:ascii="仿宋_GB2312" w:eastAsia="仿宋_GB2312"/>
                <w:sz w:val="24"/>
              </w:rPr>
              <w:t>城市旱情</w:t>
            </w:r>
          </w:p>
        </w:tc>
        <w:tc>
          <w:tcPr>
            <w:tcW w:w="6825" w:type="dxa"/>
            <w:vAlign w:val="center"/>
          </w:tcPr>
          <w:p w14:paraId="53AFE043">
            <w:pPr>
              <w:spacing w:line="280" w:lineRule="exact"/>
              <w:rPr>
                <w:rFonts w:ascii="仿宋_GB2312" w:hAnsi="仿宋" w:eastAsia="仿宋_GB2312" w:cs="宋体"/>
                <w:kern w:val="0"/>
                <w:sz w:val="24"/>
              </w:rPr>
            </w:pPr>
            <w:r>
              <w:rPr>
                <w:rFonts w:hint="eastAsia" w:ascii="仿宋_GB2312" w:hAnsi="仿宋" w:eastAsia="仿宋_GB2312" w:cs="宋体"/>
                <w:kern w:val="0"/>
                <w:sz w:val="24"/>
              </w:rPr>
              <w:t>城市日供水量低于正常用水量的70%。</w:t>
            </w:r>
          </w:p>
        </w:tc>
      </w:tr>
    </w:tbl>
    <w:p w14:paraId="44093165">
      <w:pPr>
        <w:widowControl/>
        <w:jc w:val="left"/>
        <w:rPr>
          <w:rFonts w:ascii="黑体" w:hAnsi="黑体" w:eastAsia="黑体"/>
          <w:sz w:val="32"/>
          <w:szCs w:val="32"/>
        </w:rPr>
      </w:pPr>
      <w:r>
        <w:rPr>
          <w:rFonts w:hint="eastAsia" w:ascii="黑体" w:hAnsi="黑体" w:eastAsia="黑体"/>
          <w:sz w:val="32"/>
          <w:szCs w:val="32"/>
        </w:rPr>
        <w:t>附件2</w:t>
      </w:r>
    </w:p>
    <w:p w14:paraId="0EFE2120">
      <w:pPr>
        <w:spacing w:afterLines="50" w:line="56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防汛防台风预警等级划分表</w:t>
      </w:r>
    </w:p>
    <w:tbl>
      <w:tblPr>
        <w:tblStyle w:val="12"/>
        <w:tblW w:w="9060" w:type="dxa"/>
        <w:jc w:val="center"/>
        <w:tblLayout w:type="fixed"/>
        <w:tblCellMar>
          <w:top w:w="0" w:type="dxa"/>
          <w:left w:w="108" w:type="dxa"/>
          <w:bottom w:w="0" w:type="dxa"/>
          <w:right w:w="108" w:type="dxa"/>
        </w:tblCellMar>
      </w:tblPr>
      <w:tblGrid>
        <w:gridCol w:w="1194"/>
        <w:gridCol w:w="7866"/>
      </w:tblGrid>
      <w:tr w14:paraId="0B629ECD">
        <w:tblPrEx>
          <w:tblCellMar>
            <w:top w:w="0" w:type="dxa"/>
            <w:left w:w="108" w:type="dxa"/>
            <w:bottom w:w="0" w:type="dxa"/>
            <w:right w:w="108" w:type="dxa"/>
          </w:tblCellMar>
        </w:tblPrEx>
        <w:trPr>
          <w:trHeight w:val="312" w:hRule="exact"/>
          <w:jc w:val="center"/>
        </w:trPr>
        <w:tc>
          <w:tcPr>
            <w:tcW w:w="1194" w:type="dxa"/>
            <w:vMerge w:val="restart"/>
            <w:tcBorders>
              <w:top w:val="single" w:color="auto" w:sz="4" w:space="0"/>
              <w:left w:val="single" w:color="auto" w:sz="4" w:space="0"/>
              <w:bottom w:val="single" w:color="auto" w:sz="4" w:space="0"/>
              <w:right w:val="single" w:color="auto" w:sz="4" w:space="0"/>
            </w:tcBorders>
            <w:vAlign w:val="center"/>
          </w:tcPr>
          <w:p w14:paraId="7E27F408">
            <w:pPr>
              <w:widowControl/>
              <w:spacing w:line="400" w:lineRule="exact"/>
              <w:jc w:val="center"/>
              <w:rPr>
                <w:rFonts w:ascii="仿宋_GB2312" w:hAnsi="仿宋" w:eastAsia="仿宋_GB2312" w:cs="宋体"/>
                <w:b/>
                <w:kern w:val="0"/>
                <w:sz w:val="24"/>
              </w:rPr>
            </w:pPr>
            <w:r>
              <w:rPr>
                <w:rFonts w:hint="eastAsia" w:ascii="仿宋_GB2312" w:hAnsi="仿宋" w:eastAsia="仿宋_GB2312" w:cs="宋体"/>
                <w:b/>
                <w:kern w:val="0"/>
                <w:sz w:val="24"/>
              </w:rPr>
              <w:t>预警等级</w:t>
            </w:r>
          </w:p>
        </w:tc>
        <w:tc>
          <w:tcPr>
            <w:tcW w:w="7866" w:type="dxa"/>
            <w:vMerge w:val="restart"/>
            <w:tcBorders>
              <w:top w:val="single" w:color="auto" w:sz="4" w:space="0"/>
              <w:left w:val="single" w:color="auto" w:sz="4" w:space="0"/>
              <w:bottom w:val="single" w:color="auto" w:sz="4" w:space="0"/>
              <w:right w:val="single" w:color="auto" w:sz="4" w:space="0"/>
            </w:tcBorders>
            <w:vAlign w:val="center"/>
          </w:tcPr>
          <w:p w14:paraId="17568C65">
            <w:pPr>
              <w:widowControl/>
              <w:spacing w:line="400" w:lineRule="exact"/>
              <w:jc w:val="center"/>
              <w:rPr>
                <w:rFonts w:ascii="仿宋_GB2312" w:hAnsi="仿宋" w:eastAsia="仿宋_GB2312" w:cs="宋体"/>
                <w:b/>
                <w:kern w:val="0"/>
                <w:sz w:val="24"/>
              </w:rPr>
            </w:pPr>
            <w:r>
              <w:rPr>
                <w:rFonts w:hint="eastAsia" w:ascii="仿宋_GB2312" w:hAnsi="仿宋" w:eastAsia="仿宋_GB2312" w:cs="宋体"/>
                <w:b/>
                <w:kern w:val="0"/>
                <w:sz w:val="24"/>
              </w:rPr>
              <w:t>启动标准</w:t>
            </w:r>
          </w:p>
        </w:tc>
      </w:tr>
      <w:tr w14:paraId="6A93CD97">
        <w:tblPrEx>
          <w:tblCellMar>
            <w:top w:w="0" w:type="dxa"/>
            <w:left w:w="108" w:type="dxa"/>
            <w:bottom w:w="0" w:type="dxa"/>
            <w:right w:w="108" w:type="dxa"/>
          </w:tblCellMar>
        </w:tblPrEx>
        <w:trPr>
          <w:trHeight w:val="400" w:hRule="atLeast"/>
          <w:jc w:val="center"/>
        </w:trPr>
        <w:tc>
          <w:tcPr>
            <w:tcW w:w="1194" w:type="dxa"/>
            <w:vMerge w:val="continue"/>
            <w:tcBorders>
              <w:top w:val="single" w:color="auto" w:sz="4" w:space="0"/>
              <w:left w:val="single" w:color="auto" w:sz="4" w:space="0"/>
              <w:bottom w:val="single" w:color="auto" w:sz="4" w:space="0"/>
              <w:right w:val="single" w:color="auto" w:sz="4" w:space="0"/>
            </w:tcBorders>
            <w:vAlign w:val="center"/>
          </w:tcPr>
          <w:p w14:paraId="79E96C0D">
            <w:pPr>
              <w:widowControl/>
              <w:spacing w:line="400" w:lineRule="exact"/>
              <w:jc w:val="left"/>
              <w:rPr>
                <w:rFonts w:ascii="仿宋_GB2312" w:hAnsi="仿宋" w:eastAsia="仿宋_GB2312" w:cs="宋体"/>
                <w:kern w:val="0"/>
                <w:sz w:val="24"/>
              </w:rPr>
            </w:pPr>
          </w:p>
        </w:tc>
        <w:tc>
          <w:tcPr>
            <w:tcW w:w="7866" w:type="dxa"/>
            <w:vMerge w:val="continue"/>
            <w:tcBorders>
              <w:top w:val="single" w:color="auto" w:sz="4" w:space="0"/>
              <w:left w:val="single" w:color="auto" w:sz="4" w:space="0"/>
              <w:bottom w:val="single" w:color="auto" w:sz="4" w:space="0"/>
              <w:right w:val="single" w:color="auto" w:sz="4" w:space="0"/>
            </w:tcBorders>
            <w:vAlign w:val="center"/>
          </w:tcPr>
          <w:p w14:paraId="669C74BF">
            <w:pPr>
              <w:widowControl/>
              <w:spacing w:line="400" w:lineRule="exact"/>
              <w:jc w:val="left"/>
              <w:rPr>
                <w:rFonts w:ascii="仿宋_GB2312" w:hAnsi="仿宋" w:eastAsia="仿宋_GB2312" w:cs="宋体"/>
                <w:kern w:val="0"/>
                <w:sz w:val="24"/>
              </w:rPr>
            </w:pPr>
          </w:p>
        </w:tc>
      </w:tr>
      <w:tr w14:paraId="3BE0AC97">
        <w:tblPrEx>
          <w:tblCellMar>
            <w:top w:w="0" w:type="dxa"/>
            <w:left w:w="108" w:type="dxa"/>
            <w:bottom w:w="0" w:type="dxa"/>
            <w:right w:w="108" w:type="dxa"/>
          </w:tblCellMar>
        </w:tblPrEx>
        <w:trPr>
          <w:trHeight w:val="1117" w:hRule="atLeast"/>
          <w:jc w:val="center"/>
        </w:trPr>
        <w:tc>
          <w:tcPr>
            <w:tcW w:w="1194" w:type="dxa"/>
            <w:tcBorders>
              <w:top w:val="nil"/>
              <w:left w:val="single" w:color="auto" w:sz="4" w:space="0"/>
              <w:bottom w:val="single" w:color="auto" w:sz="4" w:space="0"/>
              <w:right w:val="single" w:color="auto" w:sz="4" w:space="0"/>
            </w:tcBorders>
            <w:vAlign w:val="center"/>
          </w:tcPr>
          <w:p w14:paraId="515B295E">
            <w:pPr>
              <w:widowControl/>
              <w:spacing w:line="400" w:lineRule="exact"/>
              <w:jc w:val="center"/>
              <w:rPr>
                <w:rFonts w:ascii="仿宋_GB2312" w:hAnsi="仿宋" w:eastAsia="仿宋_GB2312" w:cs="宋体"/>
                <w:kern w:val="0"/>
                <w:sz w:val="24"/>
              </w:rPr>
            </w:pPr>
            <w:r>
              <w:rPr>
                <w:rFonts w:hint="eastAsia" w:ascii="仿宋_GB2312" w:hAnsi="仿宋" w:eastAsia="仿宋_GB2312" w:cs="宋体"/>
                <w:kern w:val="0"/>
                <w:sz w:val="24"/>
              </w:rPr>
              <w:t xml:space="preserve">Ⅳ级 </w:t>
            </w:r>
          </w:p>
          <w:p w14:paraId="09E29296">
            <w:pPr>
              <w:widowControl/>
              <w:spacing w:line="400" w:lineRule="exact"/>
              <w:jc w:val="center"/>
              <w:rPr>
                <w:rFonts w:ascii="仿宋_GB2312" w:hAnsi="仿宋" w:eastAsia="仿宋_GB2312" w:cs="宋体"/>
                <w:kern w:val="0"/>
                <w:sz w:val="24"/>
              </w:rPr>
            </w:pPr>
            <w:r>
              <w:rPr>
                <w:rFonts w:hint="eastAsia" w:ascii="仿宋_GB2312" w:hAnsi="仿宋" w:eastAsia="仿宋_GB2312" w:cs="宋体"/>
                <w:kern w:val="0"/>
                <w:sz w:val="24"/>
              </w:rPr>
              <w:t>（蓝色）</w:t>
            </w:r>
          </w:p>
        </w:tc>
        <w:tc>
          <w:tcPr>
            <w:tcW w:w="7866" w:type="dxa"/>
            <w:tcBorders>
              <w:top w:val="nil"/>
              <w:left w:val="nil"/>
              <w:bottom w:val="single" w:color="auto" w:sz="4" w:space="0"/>
              <w:right w:val="single" w:color="auto" w:sz="4" w:space="0"/>
            </w:tcBorders>
            <w:vAlign w:val="center"/>
          </w:tcPr>
          <w:p w14:paraId="48A4578D">
            <w:pPr>
              <w:spacing w:line="360" w:lineRule="exact"/>
              <w:rPr>
                <w:rFonts w:hint="eastAsia" w:ascii="仿宋_GB2312" w:hAnsi="仿宋" w:eastAsia="仿宋_GB2312" w:cs="宋体"/>
                <w:kern w:val="0"/>
                <w:sz w:val="24"/>
                <w:lang w:eastAsia="zh-CN"/>
              </w:rPr>
            </w:pPr>
            <w:r>
              <w:rPr>
                <w:rFonts w:hint="eastAsia" w:ascii="仿宋_GB2312" w:hAnsi="仿宋" w:eastAsia="仿宋_GB2312" w:cs="宋体"/>
                <w:kern w:val="0"/>
                <w:sz w:val="24"/>
              </w:rPr>
              <w:t>①气象部门发布暴雨蓝色预警信号；或预报降雨区域在过去15天内累计平均降雨量近100毫米，预计辖区内可能发生一般洪涝灾害；</w:t>
            </w:r>
          </w:p>
          <w:p w14:paraId="3A06B8C6">
            <w:pPr>
              <w:spacing w:line="360" w:lineRule="exact"/>
              <w:rPr>
                <w:rFonts w:ascii="仿宋_GB2312" w:hAnsi="仿宋" w:eastAsia="仿宋_GB2312" w:cs="宋体"/>
                <w:kern w:val="0"/>
                <w:sz w:val="24"/>
              </w:rPr>
            </w:pPr>
            <w:r>
              <w:rPr>
                <w:rFonts w:hint="eastAsia" w:ascii="仿宋_GB2312" w:hAnsi="仿宋" w:eastAsia="仿宋_GB2312" w:cs="宋体"/>
                <w:kern w:val="0"/>
                <w:sz w:val="24"/>
              </w:rPr>
              <w:t>②预计区管河道将发生超警戒水位洪水；</w:t>
            </w:r>
          </w:p>
          <w:p w14:paraId="50BF9B6C">
            <w:pPr>
              <w:spacing w:line="360" w:lineRule="exact"/>
              <w:rPr>
                <w:rFonts w:ascii="仿宋_GB2312" w:hAnsi="仿宋" w:eastAsia="仿宋_GB2312" w:cs="宋体"/>
                <w:kern w:val="0"/>
                <w:sz w:val="24"/>
              </w:rPr>
            </w:pPr>
            <w:r>
              <w:rPr>
                <w:rFonts w:hint="eastAsia" w:ascii="仿宋_GB2312" w:hAnsi="仿宋" w:eastAsia="仿宋_GB2312" w:cs="宋体"/>
                <w:kern w:val="0"/>
                <w:sz w:val="24"/>
              </w:rPr>
              <w:t>③预计未来48小时将有热带风暴(中心附近最大平均风力8～9级)登陆或影响我区沿海；或</w:t>
            </w:r>
            <w:r>
              <w:rPr>
                <w:rFonts w:ascii="仿宋_GB2312" w:hAnsi="仿宋" w:eastAsia="仿宋_GB2312" w:cs="宋体"/>
                <w:kern w:val="0"/>
                <w:sz w:val="24"/>
              </w:rPr>
              <w:t>24小时内可能受热带气旋影响，平均风力可达6级以上，或阵风7级以上</w:t>
            </w:r>
            <w:r>
              <w:rPr>
                <w:rFonts w:hint="eastAsia" w:ascii="仿宋_GB2312" w:hAnsi="仿宋" w:eastAsia="仿宋_GB2312" w:cs="宋体"/>
                <w:kern w:val="0"/>
                <w:sz w:val="24"/>
              </w:rPr>
              <w:t>并可能持续。</w:t>
            </w:r>
            <w:r>
              <w:rPr>
                <w:rFonts w:ascii="仿宋_GB2312" w:hAnsi="仿宋" w:eastAsia="仿宋_GB2312" w:cs="宋体"/>
                <w:kern w:val="0"/>
                <w:sz w:val="24"/>
              </w:rPr>
              <w:t>我区发布台风蓝色预警信号；</w:t>
            </w:r>
          </w:p>
          <w:p w14:paraId="5F3C8048">
            <w:pPr>
              <w:widowControl/>
              <w:spacing w:line="360" w:lineRule="exact"/>
              <w:jc w:val="left"/>
              <w:rPr>
                <w:rFonts w:ascii="仿宋_GB2312" w:hAnsi="仿宋" w:eastAsia="仿宋_GB2312" w:cs="宋体"/>
                <w:kern w:val="0"/>
                <w:sz w:val="24"/>
              </w:rPr>
            </w:pPr>
            <w:r>
              <w:rPr>
                <w:rFonts w:ascii="仿宋_GB2312" w:hAnsi="宋体" w:eastAsia="仿宋_GB2312" w:cs="仿宋_GB2312"/>
                <w:b/>
                <w:kern w:val="0"/>
                <w:sz w:val="24"/>
              </w:rPr>
              <w:t>满足上述任一条件，并由</w:t>
            </w:r>
            <w:r>
              <w:rPr>
                <w:rFonts w:hint="eastAsia" w:ascii="仿宋_GB2312" w:hAnsi="宋体" w:eastAsia="仿宋_GB2312" w:cs="仿宋_GB2312"/>
                <w:b/>
                <w:kern w:val="0"/>
                <w:sz w:val="24"/>
              </w:rPr>
              <w:t>区</w:t>
            </w:r>
            <w:r>
              <w:rPr>
                <w:rFonts w:ascii="仿宋_GB2312" w:hAnsi="宋体" w:eastAsia="仿宋_GB2312" w:cs="仿宋_GB2312"/>
                <w:b/>
                <w:kern w:val="0"/>
                <w:sz w:val="24"/>
              </w:rPr>
              <w:t>防指综合研判后，启动预警</w:t>
            </w:r>
            <w:r>
              <w:rPr>
                <w:rFonts w:hint="eastAsia" w:ascii="仿宋_GB2312" w:hAnsi="宋体" w:eastAsia="仿宋_GB2312" w:cs="仿宋_GB2312"/>
                <w:kern w:val="0"/>
                <w:sz w:val="24"/>
              </w:rPr>
              <w:t>。</w:t>
            </w:r>
          </w:p>
        </w:tc>
      </w:tr>
      <w:tr w14:paraId="54F0E86E">
        <w:tblPrEx>
          <w:tblCellMar>
            <w:top w:w="0" w:type="dxa"/>
            <w:left w:w="108" w:type="dxa"/>
            <w:bottom w:w="0" w:type="dxa"/>
            <w:right w:w="108" w:type="dxa"/>
          </w:tblCellMar>
        </w:tblPrEx>
        <w:trPr>
          <w:trHeight w:val="2175" w:hRule="atLeast"/>
          <w:jc w:val="center"/>
        </w:trPr>
        <w:tc>
          <w:tcPr>
            <w:tcW w:w="1194" w:type="dxa"/>
            <w:tcBorders>
              <w:top w:val="nil"/>
              <w:left w:val="single" w:color="auto" w:sz="4" w:space="0"/>
              <w:bottom w:val="single" w:color="auto" w:sz="4" w:space="0"/>
              <w:right w:val="single" w:color="auto" w:sz="4" w:space="0"/>
            </w:tcBorders>
            <w:vAlign w:val="center"/>
          </w:tcPr>
          <w:p w14:paraId="256D7CFF">
            <w:pPr>
              <w:widowControl/>
              <w:spacing w:line="400" w:lineRule="exact"/>
              <w:jc w:val="center"/>
              <w:rPr>
                <w:rFonts w:ascii="仿宋_GB2312" w:hAnsi="仿宋" w:eastAsia="仿宋_GB2312" w:cs="宋体"/>
                <w:kern w:val="0"/>
                <w:sz w:val="24"/>
              </w:rPr>
            </w:pPr>
            <w:r>
              <w:rPr>
                <w:rFonts w:hint="eastAsia" w:ascii="仿宋_GB2312" w:hAnsi="仿宋" w:eastAsia="仿宋_GB2312" w:cs="宋体"/>
                <w:kern w:val="0"/>
                <w:sz w:val="24"/>
              </w:rPr>
              <w:t xml:space="preserve">Ⅲ级 </w:t>
            </w:r>
          </w:p>
          <w:p w14:paraId="75E7547A">
            <w:pPr>
              <w:widowControl/>
              <w:spacing w:line="400" w:lineRule="exact"/>
              <w:jc w:val="center"/>
              <w:rPr>
                <w:rFonts w:ascii="仿宋_GB2312" w:hAnsi="仿宋" w:eastAsia="仿宋_GB2312" w:cs="宋体"/>
                <w:kern w:val="0"/>
                <w:sz w:val="24"/>
              </w:rPr>
            </w:pPr>
            <w:r>
              <w:rPr>
                <w:rFonts w:hint="eastAsia" w:ascii="仿宋_GB2312" w:hAnsi="仿宋" w:eastAsia="仿宋_GB2312" w:cs="宋体"/>
                <w:kern w:val="0"/>
                <w:sz w:val="24"/>
              </w:rPr>
              <w:t>（黄色）</w:t>
            </w:r>
          </w:p>
        </w:tc>
        <w:tc>
          <w:tcPr>
            <w:tcW w:w="7866" w:type="dxa"/>
            <w:tcBorders>
              <w:top w:val="nil"/>
              <w:left w:val="nil"/>
              <w:bottom w:val="single" w:color="auto" w:sz="4" w:space="0"/>
              <w:right w:val="single" w:color="auto" w:sz="4" w:space="0"/>
            </w:tcBorders>
            <w:vAlign w:val="center"/>
          </w:tcPr>
          <w:p w14:paraId="6D601E2B">
            <w:pPr>
              <w:spacing w:line="360" w:lineRule="exact"/>
              <w:rPr>
                <w:rFonts w:hint="eastAsia" w:ascii="仿宋_GB2312" w:hAnsi="仿宋" w:eastAsia="仿宋_GB2312" w:cs="宋体"/>
                <w:kern w:val="0"/>
                <w:sz w:val="24"/>
                <w:lang w:eastAsia="zh-CN"/>
              </w:rPr>
            </w:pPr>
            <w:r>
              <w:rPr>
                <w:rFonts w:hint="eastAsia"/>
              </w:rPr>
              <w:t>①</w:t>
            </w:r>
            <w:r>
              <w:rPr>
                <w:rFonts w:hint="eastAsia" w:ascii="仿宋_GB2312" w:hAnsi="仿宋" w:eastAsia="仿宋_GB2312" w:cs="宋体"/>
                <w:kern w:val="0"/>
                <w:sz w:val="24"/>
              </w:rPr>
              <w:t>气象部门发布暴雨黄色预警信号；或预报降雨区域在过去15天内累计平均降雨量达100-150毫米，预计辖区内可能发生一般洪涝灾害；</w:t>
            </w:r>
          </w:p>
          <w:p w14:paraId="596B0051">
            <w:pPr>
              <w:spacing w:line="360" w:lineRule="exact"/>
              <w:rPr>
                <w:rFonts w:ascii="仿宋_GB2312" w:hAnsi="仿宋" w:eastAsia="仿宋_GB2312" w:cs="宋体"/>
                <w:kern w:val="0"/>
                <w:sz w:val="24"/>
              </w:rPr>
            </w:pPr>
            <w:r>
              <w:rPr>
                <w:rFonts w:hint="eastAsia" w:ascii="仿宋_GB2312" w:hAnsi="仿宋" w:eastAsia="仿宋_GB2312" w:cs="宋体"/>
                <w:kern w:val="0"/>
                <w:sz w:val="24"/>
              </w:rPr>
              <w:t>②区内</w:t>
            </w:r>
            <w:r>
              <w:rPr>
                <w:rFonts w:ascii="仿宋_GB2312" w:hAnsi="仿宋" w:eastAsia="仿宋_GB2312" w:cs="宋体"/>
                <w:kern w:val="0"/>
                <w:sz w:val="24"/>
              </w:rPr>
              <w:t>主要河道同时发生超警戒水位洪水；</w:t>
            </w:r>
          </w:p>
          <w:p w14:paraId="1DD447DC">
            <w:pPr>
              <w:spacing w:line="360" w:lineRule="exact"/>
              <w:rPr>
                <w:rFonts w:hint="eastAsia" w:ascii="仿宋_GB2312" w:hAnsi="仿宋" w:eastAsia="仿宋_GB2312" w:cs="宋体"/>
                <w:kern w:val="0"/>
                <w:sz w:val="24"/>
                <w:lang w:eastAsia="zh-CN"/>
              </w:rPr>
            </w:pPr>
            <w:r>
              <w:rPr>
                <w:rFonts w:hint="eastAsia" w:ascii="仿宋_GB2312" w:hAnsi="仿宋" w:eastAsia="仿宋_GB2312" w:cs="宋体"/>
                <w:kern w:val="0"/>
                <w:sz w:val="24"/>
              </w:rPr>
              <w:t>③</w:t>
            </w:r>
            <w:r>
              <w:rPr>
                <w:rFonts w:ascii="仿宋_GB2312" w:hAnsi="仿宋" w:eastAsia="仿宋_GB2312" w:cs="宋体"/>
                <w:kern w:val="0"/>
                <w:sz w:val="24"/>
              </w:rPr>
              <w:t>某小型水库垮坝，或小型水库发生重大险情，或发生超警戒水位洪水</w:t>
            </w:r>
            <w:r>
              <w:rPr>
                <w:rFonts w:hint="eastAsia" w:ascii="仿宋_GB2312" w:hAnsi="仿宋" w:eastAsia="仿宋_GB2312" w:cs="宋体"/>
                <w:kern w:val="0"/>
                <w:sz w:val="24"/>
              </w:rPr>
              <w:t>；</w:t>
            </w:r>
          </w:p>
          <w:p w14:paraId="1F06FF1C">
            <w:pPr>
              <w:spacing w:line="360" w:lineRule="exact"/>
              <w:rPr>
                <w:rFonts w:ascii="仿宋_GB2312" w:hAnsi="仿宋" w:eastAsia="仿宋_GB2312" w:cs="宋体"/>
                <w:kern w:val="0"/>
                <w:sz w:val="24"/>
              </w:rPr>
            </w:pPr>
            <w:r>
              <w:rPr>
                <w:rFonts w:hint="eastAsia" w:ascii="仿宋_GB2312" w:hAnsi="仿宋" w:eastAsia="仿宋_GB2312" w:cs="宋体"/>
                <w:kern w:val="0"/>
                <w:sz w:val="24"/>
              </w:rPr>
              <w:t>④预计未来48小时将有强热带风暴（中心附近最大平均风力10～11级）登陆或影响我区沿海；或</w:t>
            </w:r>
            <w:r>
              <w:rPr>
                <w:rFonts w:ascii="仿宋_GB2312" w:hAnsi="仿宋" w:eastAsia="仿宋_GB2312" w:cs="宋体"/>
                <w:kern w:val="0"/>
                <w:sz w:val="24"/>
              </w:rPr>
              <w:t>24小时内可能受热带气旋影响,平均风力可达8级以上，或阵风9级以上</w:t>
            </w:r>
            <w:r>
              <w:rPr>
                <w:rFonts w:hint="eastAsia" w:ascii="仿宋_GB2312" w:hAnsi="仿宋" w:eastAsia="仿宋_GB2312" w:cs="宋体"/>
                <w:kern w:val="0"/>
                <w:sz w:val="24"/>
              </w:rPr>
              <w:t>并可能持续。</w:t>
            </w:r>
          </w:p>
          <w:p w14:paraId="3FB473E6">
            <w:pPr>
              <w:spacing w:line="360" w:lineRule="exact"/>
            </w:pPr>
            <w:r>
              <w:rPr>
                <w:rFonts w:ascii="仿宋_GB2312" w:hAnsi="宋体" w:eastAsia="仿宋_GB2312" w:cs="仿宋_GB2312"/>
                <w:b/>
                <w:kern w:val="0"/>
                <w:sz w:val="24"/>
              </w:rPr>
              <w:t>满足上述任一条件，并由</w:t>
            </w:r>
            <w:r>
              <w:rPr>
                <w:rFonts w:hint="eastAsia" w:ascii="仿宋_GB2312" w:hAnsi="宋体" w:eastAsia="仿宋_GB2312" w:cs="仿宋_GB2312"/>
                <w:b/>
                <w:kern w:val="0"/>
                <w:sz w:val="24"/>
              </w:rPr>
              <w:t>区</w:t>
            </w:r>
            <w:r>
              <w:rPr>
                <w:rFonts w:ascii="仿宋_GB2312" w:hAnsi="宋体" w:eastAsia="仿宋_GB2312" w:cs="仿宋_GB2312"/>
                <w:b/>
                <w:kern w:val="0"/>
                <w:sz w:val="24"/>
              </w:rPr>
              <w:t>防指综合研判后，启动预警</w:t>
            </w:r>
            <w:r>
              <w:rPr>
                <w:rFonts w:hint="eastAsia" w:ascii="仿宋_GB2312" w:hAnsi="宋体" w:eastAsia="仿宋_GB2312" w:cs="仿宋_GB2312"/>
                <w:b/>
                <w:kern w:val="0"/>
                <w:sz w:val="24"/>
              </w:rPr>
              <w:t>。</w:t>
            </w:r>
          </w:p>
        </w:tc>
      </w:tr>
      <w:tr w14:paraId="66054B71">
        <w:tblPrEx>
          <w:tblCellMar>
            <w:top w:w="0" w:type="dxa"/>
            <w:left w:w="108" w:type="dxa"/>
            <w:bottom w:w="0" w:type="dxa"/>
            <w:right w:w="108" w:type="dxa"/>
          </w:tblCellMar>
        </w:tblPrEx>
        <w:trPr>
          <w:trHeight w:val="1404" w:hRule="atLeast"/>
          <w:jc w:val="center"/>
        </w:trPr>
        <w:tc>
          <w:tcPr>
            <w:tcW w:w="1194" w:type="dxa"/>
            <w:tcBorders>
              <w:top w:val="nil"/>
              <w:left w:val="single" w:color="auto" w:sz="4" w:space="0"/>
              <w:bottom w:val="single" w:color="auto" w:sz="4" w:space="0"/>
              <w:right w:val="single" w:color="auto" w:sz="4" w:space="0"/>
            </w:tcBorders>
            <w:vAlign w:val="center"/>
          </w:tcPr>
          <w:p w14:paraId="0F533D75">
            <w:pPr>
              <w:widowControl/>
              <w:spacing w:line="400" w:lineRule="exact"/>
              <w:jc w:val="center"/>
              <w:rPr>
                <w:rFonts w:ascii="仿宋_GB2312" w:hAnsi="仿宋" w:eastAsia="仿宋_GB2312" w:cs="宋体"/>
                <w:kern w:val="0"/>
                <w:sz w:val="24"/>
              </w:rPr>
            </w:pPr>
            <w:r>
              <w:rPr>
                <w:rFonts w:hint="eastAsia" w:ascii="仿宋_GB2312" w:hAnsi="仿宋" w:eastAsia="仿宋_GB2312" w:cs="宋体"/>
                <w:kern w:val="0"/>
                <w:sz w:val="24"/>
              </w:rPr>
              <w:t>Ⅱ级</w:t>
            </w:r>
          </w:p>
          <w:p w14:paraId="7DD3D3B5">
            <w:pPr>
              <w:widowControl/>
              <w:spacing w:line="400" w:lineRule="exact"/>
              <w:jc w:val="center"/>
              <w:rPr>
                <w:rFonts w:ascii="仿宋_GB2312" w:hAnsi="仿宋" w:eastAsia="仿宋_GB2312" w:cs="宋体"/>
                <w:kern w:val="0"/>
                <w:sz w:val="24"/>
              </w:rPr>
            </w:pPr>
            <w:r>
              <w:rPr>
                <w:rFonts w:hint="eastAsia" w:ascii="仿宋_GB2312" w:hAnsi="仿宋" w:eastAsia="仿宋_GB2312" w:cs="宋体"/>
                <w:kern w:val="0"/>
                <w:sz w:val="24"/>
              </w:rPr>
              <w:t>（橙色）</w:t>
            </w:r>
          </w:p>
        </w:tc>
        <w:tc>
          <w:tcPr>
            <w:tcW w:w="7866" w:type="dxa"/>
            <w:tcBorders>
              <w:top w:val="nil"/>
              <w:left w:val="nil"/>
              <w:bottom w:val="single" w:color="auto" w:sz="4" w:space="0"/>
              <w:right w:val="single" w:color="auto" w:sz="4" w:space="0"/>
            </w:tcBorders>
            <w:vAlign w:val="center"/>
          </w:tcPr>
          <w:p w14:paraId="3CD58698">
            <w:pPr>
              <w:spacing w:line="360" w:lineRule="exact"/>
              <w:rPr>
                <w:rFonts w:hint="eastAsia" w:ascii="仿宋_GB2312" w:hAnsi="仿宋" w:eastAsia="仿宋_GB2312" w:cs="宋体"/>
                <w:kern w:val="0"/>
                <w:sz w:val="24"/>
                <w:lang w:eastAsia="zh-CN"/>
              </w:rPr>
            </w:pPr>
            <w:r>
              <w:rPr>
                <w:rFonts w:hint="eastAsia" w:ascii="仿宋_GB2312" w:hAnsi="仿宋" w:eastAsia="仿宋_GB2312" w:cs="宋体"/>
                <w:kern w:val="0"/>
                <w:sz w:val="24"/>
              </w:rPr>
              <w:t>①气象部门发布暴雨橙色预警信号；或预报降雨区域在过去15天内累计平均降雨量达150-200毫米，预计辖区内可能发生严重洪涝灾害；</w:t>
            </w:r>
          </w:p>
          <w:p w14:paraId="622FB1DB">
            <w:pPr>
              <w:spacing w:line="360" w:lineRule="exact"/>
              <w:rPr>
                <w:rFonts w:hint="eastAsia" w:ascii="仿宋_GB2312" w:hAnsi="仿宋" w:eastAsia="仿宋_GB2312" w:cs="宋体"/>
                <w:kern w:val="0"/>
                <w:sz w:val="24"/>
                <w:lang w:eastAsia="zh-CN"/>
              </w:rPr>
            </w:pPr>
            <w:r>
              <w:rPr>
                <w:rFonts w:hint="eastAsia" w:ascii="仿宋_GB2312" w:hAnsi="仿宋" w:eastAsia="仿宋_GB2312" w:cs="宋体"/>
                <w:kern w:val="0"/>
                <w:sz w:val="24"/>
              </w:rPr>
              <w:t>②区内</w:t>
            </w:r>
            <w:r>
              <w:rPr>
                <w:rFonts w:ascii="仿宋_GB2312" w:hAnsi="仿宋" w:eastAsia="仿宋_GB2312" w:cs="宋体"/>
                <w:kern w:val="0"/>
                <w:sz w:val="24"/>
              </w:rPr>
              <w:t>主要河道同时发生超警戒水位洪水且发生重大险情</w:t>
            </w:r>
            <w:r>
              <w:rPr>
                <w:rFonts w:hint="eastAsia" w:ascii="仿宋_GB2312" w:hAnsi="仿宋" w:eastAsia="仿宋_GB2312" w:cs="宋体"/>
                <w:kern w:val="0"/>
                <w:sz w:val="24"/>
              </w:rPr>
              <w:t>；</w:t>
            </w:r>
          </w:p>
          <w:p w14:paraId="39DAE8ED">
            <w:pPr>
              <w:spacing w:line="360" w:lineRule="exact"/>
              <w:rPr>
                <w:rFonts w:ascii="仿宋_GB2312" w:hAnsi="仿宋" w:eastAsia="仿宋_GB2312" w:cs="宋体"/>
                <w:kern w:val="0"/>
                <w:sz w:val="24"/>
              </w:rPr>
            </w:pPr>
            <w:r>
              <w:rPr>
                <w:rFonts w:hint="eastAsia" w:ascii="仿宋_GB2312" w:hAnsi="仿宋" w:eastAsia="仿宋_GB2312" w:cs="宋体"/>
                <w:kern w:val="0"/>
                <w:sz w:val="24"/>
              </w:rPr>
              <w:t>③预计未来48小时将有台风(中心附近最大平均风力12～13级)登陆或影响我区沿海；或</w:t>
            </w:r>
            <w:r>
              <w:rPr>
                <w:rFonts w:ascii="仿宋_GB2312" w:hAnsi="仿宋" w:eastAsia="仿宋_GB2312" w:cs="宋体"/>
                <w:kern w:val="0"/>
                <w:sz w:val="24"/>
              </w:rPr>
              <w:t>12小时内可能受热带气旋影响,平均风力可达10级以上，或阵风11级以上</w:t>
            </w:r>
            <w:r>
              <w:rPr>
                <w:rFonts w:hint="eastAsia" w:ascii="仿宋_GB2312" w:hAnsi="仿宋" w:eastAsia="仿宋_GB2312" w:cs="宋体"/>
                <w:kern w:val="0"/>
                <w:sz w:val="24"/>
              </w:rPr>
              <w:t>并可能持续。</w:t>
            </w:r>
          </w:p>
          <w:p w14:paraId="15DEC821">
            <w:pPr>
              <w:spacing w:line="360" w:lineRule="exact"/>
              <w:rPr>
                <w:rFonts w:ascii="仿宋_GB2312" w:hAnsi="仿宋" w:eastAsia="仿宋_GB2312" w:cs="宋体"/>
                <w:kern w:val="0"/>
                <w:sz w:val="24"/>
              </w:rPr>
            </w:pPr>
            <w:r>
              <w:rPr>
                <w:rFonts w:ascii="仿宋_GB2312" w:hAnsi="宋体" w:eastAsia="仿宋_GB2312" w:cs="仿宋_GB2312"/>
                <w:b/>
                <w:kern w:val="0"/>
                <w:sz w:val="24"/>
              </w:rPr>
              <w:t>满足上述任一条件，并由</w:t>
            </w:r>
            <w:r>
              <w:rPr>
                <w:rFonts w:hint="eastAsia" w:ascii="仿宋_GB2312" w:hAnsi="宋体" w:eastAsia="仿宋_GB2312" w:cs="仿宋_GB2312"/>
                <w:b/>
                <w:kern w:val="0"/>
                <w:sz w:val="24"/>
              </w:rPr>
              <w:t>区</w:t>
            </w:r>
            <w:r>
              <w:rPr>
                <w:rFonts w:ascii="仿宋_GB2312" w:hAnsi="宋体" w:eastAsia="仿宋_GB2312" w:cs="仿宋_GB2312"/>
                <w:b/>
                <w:kern w:val="0"/>
                <w:sz w:val="24"/>
              </w:rPr>
              <w:t>防指综合研判后，启动预警</w:t>
            </w:r>
            <w:r>
              <w:rPr>
                <w:rFonts w:hint="eastAsia" w:ascii="仿宋_GB2312" w:hAnsi="宋体" w:eastAsia="仿宋_GB2312" w:cs="仿宋_GB2312"/>
                <w:b/>
                <w:kern w:val="0"/>
                <w:sz w:val="24"/>
              </w:rPr>
              <w:t>。</w:t>
            </w:r>
          </w:p>
        </w:tc>
      </w:tr>
      <w:tr w14:paraId="4DEDB5C6">
        <w:tblPrEx>
          <w:tblCellMar>
            <w:top w:w="0" w:type="dxa"/>
            <w:left w:w="108" w:type="dxa"/>
            <w:bottom w:w="0" w:type="dxa"/>
            <w:right w:w="108" w:type="dxa"/>
          </w:tblCellMar>
        </w:tblPrEx>
        <w:trPr>
          <w:trHeight w:val="70" w:hRule="atLeast"/>
          <w:jc w:val="center"/>
        </w:trPr>
        <w:tc>
          <w:tcPr>
            <w:tcW w:w="1194" w:type="dxa"/>
            <w:tcBorders>
              <w:top w:val="nil"/>
              <w:left w:val="single" w:color="auto" w:sz="4" w:space="0"/>
              <w:bottom w:val="single" w:color="auto" w:sz="4" w:space="0"/>
              <w:right w:val="single" w:color="auto" w:sz="4" w:space="0"/>
            </w:tcBorders>
            <w:vAlign w:val="center"/>
          </w:tcPr>
          <w:p w14:paraId="3C26CFE6">
            <w:pPr>
              <w:widowControl/>
              <w:spacing w:line="400" w:lineRule="exact"/>
              <w:jc w:val="center"/>
              <w:rPr>
                <w:rFonts w:ascii="仿宋_GB2312" w:hAnsi="仿宋" w:eastAsia="仿宋_GB2312" w:cs="宋体"/>
                <w:kern w:val="0"/>
                <w:sz w:val="24"/>
              </w:rPr>
            </w:pPr>
            <w:r>
              <w:rPr>
                <w:rFonts w:hint="eastAsia" w:ascii="仿宋_GB2312" w:hAnsi="仿宋" w:eastAsia="仿宋_GB2312" w:cs="宋体"/>
                <w:kern w:val="0"/>
                <w:sz w:val="24"/>
              </w:rPr>
              <w:t>Ⅰ级</w:t>
            </w:r>
          </w:p>
          <w:p w14:paraId="213D8858">
            <w:pPr>
              <w:widowControl/>
              <w:spacing w:line="400" w:lineRule="exact"/>
              <w:jc w:val="center"/>
              <w:rPr>
                <w:rFonts w:ascii="仿宋_GB2312" w:hAnsi="仿宋" w:eastAsia="仿宋_GB2312" w:cs="宋体"/>
                <w:kern w:val="0"/>
                <w:sz w:val="24"/>
              </w:rPr>
            </w:pPr>
            <w:r>
              <w:rPr>
                <w:rFonts w:hint="eastAsia" w:ascii="仿宋_GB2312" w:hAnsi="仿宋" w:eastAsia="仿宋_GB2312" w:cs="宋体"/>
                <w:kern w:val="0"/>
                <w:sz w:val="24"/>
              </w:rPr>
              <w:t>（红色）</w:t>
            </w:r>
          </w:p>
        </w:tc>
        <w:tc>
          <w:tcPr>
            <w:tcW w:w="7866" w:type="dxa"/>
            <w:tcBorders>
              <w:top w:val="nil"/>
              <w:left w:val="nil"/>
              <w:bottom w:val="single" w:color="auto" w:sz="4" w:space="0"/>
              <w:right w:val="single" w:color="auto" w:sz="4" w:space="0"/>
            </w:tcBorders>
            <w:vAlign w:val="center"/>
          </w:tcPr>
          <w:p w14:paraId="412B8DA4">
            <w:pPr>
              <w:spacing w:line="360" w:lineRule="exact"/>
              <w:rPr>
                <w:rFonts w:hint="eastAsia" w:ascii="仿宋_GB2312" w:hAnsi="仿宋" w:eastAsia="仿宋_GB2312" w:cs="宋体"/>
                <w:kern w:val="0"/>
                <w:sz w:val="24"/>
                <w:lang w:eastAsia="zh-CN"/>
              </w:rPr>
            </w:pPr>
            <w:r>
              <w:rPr>
                <w:rFonts w:hint="eastAsia" w:ascii="仿宋_GB2312" w:hAnsi="仿宋" w:eastAsia="仿宋_GB2312" w:cs="宋体"/>
                <w:kern w:val="0"/>
                <w:sz w:val="24"/>
              </w:rPr>
              <w:t>①气象部门发布暴雨红色预警信号；或预报降雨区域在过去15天内累计平均降雨量达200毫米以上，预计辖区</w:t>
            </w:r>
            <w:r>
              <w:rPr>
                <w:rFonts w:ascii="仿宋_GB2312" w:hAnsi="仿宋" w:eastAsia="仿宋_GB2312" w:cs="宋体"/>
                <w:kern w:val="0"/>
                <w:sz w:val="24"/>
              </w:rPr>
              <w:t>发生特大洪涝灾害；</w:t>
            </w:r>
          </w:p>
          <w:p w14:paraId="4F2A12C4">
            <w:pPr>
              <w:spacing w:line="360" w:lineRule="exact"/>
              <w:rPr>
                <w:rFonts w:hint="eastAsia" w:ascii="仿宋_GB2312" w:hAnsi="仿宋" w:eastAsia="仿宋_GB2312" w:cs="宋体"/>
                <w:kern w:val="0"/>
                <w:sz w:val="24"/>
                <w:lang w:eastAsia="zh-CN"/>
              </w:rPr>
            </w:pPr>
            <w:r>
              <w:rPr>
                <w:rFonts w:hint="eastAsia" w:ascii="仿宋_GB2312" w:hAnsi="仿宋" w:eastAsia="仿宋_GB2312" w:cs="宋体"/>
                <w:kern w:val="0"/>
                <w:sz w:val="24"/>
              </w:rPr>
              <w:t>②</w:t>
            </w:r>
            <w:r>
              <w:rPr>
                <w:rFonts w:ascii="仿宋_GB2312" w:hAnsi="仿宋" w:eastAsia="仿宋_GB2312" w:cs="宋体"/>
                <w:kern w:val="0"/>
                <w:sz w:val="24"/>
              </w:rPr>
              <w:t>主要河道发生超标准洪水或决口；</w:t>
            </w:r>
          </w:p>
          <w:p w14:paraId="21228A46">
            <w:pPr>
              <w:spacing w:line="360" w:lineRule="exact"/>
              <w:rPr>
                <w:rFonts w:ascii="仿宋_GB2312" w:hAnsi="仿宋" w:eastAsia="仿宋_GB2312" w:cs="宋体"/>
                <w:kern w:val="0"/>
                <w:sz w:val="24"/>
              </w:rPr>
            </w:pPr>
            <w:r>
              <w:rPr>
                <w:rFonts w:hint="eastAsia" w:ascii="仿宋_GB2312" w:hAnsi="仿宋" w:eastAsia="仿宋_GB2312" w:cs="宋体"/>
                <w:kern w:val="0"/>
                <w:sz w:val="24"/>
              </w:rPr>
              <w:t>③预计未来48小时将有强台风（中心附近最大平均风力14～15级）、超强台风（中心附近最大平均风力16级及以上）登陆或影响我区沿海；或</w:t>
            </w:r>
            <w:r>
              <w:rPr>
                <w:rFonts w:ascii="仿宋_GB2312" w:hAnsi="仿宋" w:eastAsia="仿宋_GB2312" w:cs="宋体"/>
                <w:kern w:val="0"/>
                <w:sz w:val="24"/>
              </w:rPr>
              <w:t>12小时内可能受台风影响，平均风力可达12级以上并可能持续</w:t>
            </w:r>
            <w:r>
              <w:rPr>
                <w:rFonts w:hint="eastAsia" w:ascii="仿宋_GB2312" w:hAnsi="仿宋" w:eastAsia="仿宋_GB2312" w:cs="宋体"/>
                <w:kern w:val="0"/>
                <w:sz w:val="24"/>
              </w:rPr>
              <w:t>。</w:t>
            </w:r>
          </w:p>
          <w:p w14:paraId="41AABAA7">
            <w:pPr>
              <w:spacing w:line="360" w:lineRule="exact"/>
              <w:rPr>
                <w:rFonts w:ascii="仿宋_GB2312" w:hAnsi="仿宋" w:eastAsia="仿宋_GB2312" w:cs="宋体"/>
                <w:kern w:val="0"/>
                <w:sz w:val="24"/>
              </w:rPr>
            </w:pPr>
            <w:r>
              <w:rPr>
                <w:rFonts w:ascii="仿宋_GB2312" w:hAnsi="宋体" w:eastAsia="仿宋_GB2312" w:cs="仿宋_GB2312"/>
                <w:b/>
                <w:kern w:val="0"/>
                <w:sz w:val="24"/>
              </w:rPr>
              <w:t>满足上述任一条件，并由</w:t>
            </w:r>
            <w:r>
              <w:rPr>
                <w:rFonts w:hint="eastAsia" w:ascii="仿宋_GB2312" w:hAnsi="宋体" w:eastAsia="仿宋_GB2312" w:cs="仿宋_GB2312"/>
                <w:b/>
                <w:kern w:val="0"/>
                <w:sz w:val="24"/>
              </w:rPr>
              <w:t>区</w:t>
            </w:r>
            <w:r>
              <w:rPr>
                <w:rFonts w:ascii="仿宋_GB2312" w:hAnsi="宋体" w:eastAsia="仿宋_GB2312" w:cs="仿宋_GB2312"/>
                <w:b/>
                <w:kern w:val="0"/>
                <w:sz w:val="24"/>
              </w:rPr>
              <w:t>防指综合研判后，启动预警</w:t>
            </w:r>
            <w:r>
              <w:rPr>
                <w:rFonts w:hint="eastAsia" w:ascii="仿宋_GB2312" w:hAnsi="宋体" w:eastAsia="仿宋_GB2312" w:cs="仿宋_GB2312"/>
                <w:b/>
                <w:kern w:val="0"/>
                <w:sz w:val="24"/>
              </w:rPr>
              <w:t>。</w:t>
            </w:r>
          </w:p>
        </w:tc>
      </w:tr>
    </w:tbl>
    <w:p w14:paraId="5270A0CB">
      <w:pPr>
        <w:widowControl/>
        <w:jc w:val="left"/>
        <w:rPr>
          <w:rFonts w:ascii="黑体" w:hAnsi="黑体" w:eastAsia="黑体"/>
          <w:sz w:val="32"/>
          <w:szCs w:val="32"/>
        </w:rPr>
      </w:pPr>
      <w:bookmarkStart w:id="190" w:name="_Toc16019644"/>
      <w:bookmarkStart w:id="191" w:name="_Toc17032480"/>
      <w:r>
        <w:rPr>
          <w:rFonts w:hint="eastAsia" w:ascii="黑体" w:hAnsi="黑体" w:eastAsia="黑体"/>
          <w:sz w:val="32"/>
          <w:szCs w:val="32"/>
        </w:rPr>
        <w:t>附件3</w:t>
      </w:r>
    </w:p>
    <w:p w14:paraId="388360A0">
      <w:pPr>
        <w:widowControl/>
        <w:spacing w:afterLines="50" w:line="560" w:lineRule="exact"/>
        <w:ind w:firstLine="482"/>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防汛抗旱防台风应急响应等级划分表</w:t>
      </w:r>
      <w:bookmarkEnd w:id="190"/>
      <w:bookmarkEnd w:id="191"/>
    </w:p>
    <w:tbl>
      <w:tblPr>
        <w:tblStyle w:val="12"/>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733"/>
      </w:tblGrid>
      <w:tr w14:paraId="69A9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01" w:type="dxa"/>
            <w:vAlign w:val="center"/>
          </w:tcPr>
          <w:p w14:paraId="3DFBC383">
            <w:pPr>
              <w:spacing w:line="320" w:lineRule="exact"/>
              <w:jc w:val="center"/>
              <w:rPr>
                <w:rFonts w:ascii="仿宋_GB2312" w:eastAsia="仿宋_GB2312"/>
                <w:b/>
                <w:szCs w:val="21"/>
              </w:rPr>
            </w:pPr>
            <w:r>
              <w:rPr>
                <w:rFonts w:hint="eastAsia" w:ascii="仿宋_GB2312" w:eastAsia="仿宋_GB2312"/>
                <w:b/>
                <w:szCs w:val="21"/>
              </w:rPr>
              <w:t>等级</w:t>
            </w:r>
          </w:p>
        </w:tc>
        <w:tc>
          <w:tcPr>
            <w:tcW w:w="7733" w:type="dxa"/>
            <w:vAlign w:val="center"/>
          </w:tcPr>
          <w:p w14:paraId="215F8E37">
            <w:pPr>
              <w:spacing w:line="320" w:lineRule="exact"/>
              <w:jc w:val="center"/>
              <w:rPr>
                <w:rFonts w:ascii="仿宋_GB2312" w:eastAsia="仿宋_GB2312"/>
                <w:b/>
                <w:szCs w:val="21"/>
              </w:rPr>
            </w:pPr>
            <w:r>
              <w:rPr>
                <w:rFonts w:hint="eastAsia" w:ascii="仿宋_GB2312" w:eastAsia="仿宋_GB2312"/>
                <w:b/>
                <w:szCs w:val="21"/>
              </w:rPr>
              <w:t>启动标准</w:t>
            </w:r>
          </w:p>
        </w:tc>
      </w:tr>
      <w:tr w14:paraId="6239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101" w:type="dxa"/>
            <w:vAlign w:val="center"/>
          </w:tcPr>
          <w:p w14:paraId="5706945D">
            <w:pPr>
              <w:spacing w:line="320" w:lineRule="exact"/>
              <w:jc w:val="center"/>
              <w:rPr>
                <w:rFonts w:ascii="仿宋_GB2312" w:eastAsia="仿宋_GB2312"/>
                <w:sz w:val="32"/>
                <w:szCs w:val="32"/>
              </w:rPr>
            </w:pPr>
            <w:r>
              <w:rPr>
                <w:rFonts w:hint="eastAsia" w:ascii="仿宋_GB2312" w:eastAsia="仿宋_GB2312"/>
              </w:rPr>
              <w:t>Ⅳ级</w:t>
            </w:r>
          </w:p>
        </w:tc>
        <w:tc>
          <w:tcPr>
            <w:tcW w:w="7733" w:type="dxa"/>
          </w:tcPr>
          <w:p w14:paraId="496674AC">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①气象部门发布暴雨橙色预警预报未来24小时内可能发生较大范围强降雨,经综合研判,预计对全区部分区域产生较大影响或有较大程度致灾性；</w:t>
            </w:r>
          </w:p>
          <w:p w14:paraId="44741A68">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②气象部门发布暴雨红色预警信号；</w:t>
            </w:r>
          </w:p>
          <w:p w14:paraId="24FA1AB3">
            <w:pPr>
              <w:widowControl/>
              <w:spacing w:line="320" w:lineRule="exact"/>
              <w:jc w:val="left"/>
              <w:rPr>
                <w:rFonts w:ascii="仿宋_GB2312" w:hAnsi="仿宋" w:eastAsia="仿宋_GB2312" w:cs="宋体"/>
                <w:kern w:val="0"/>
                <w:szCs w:val="21"/>
              </w:rPr>
            </w:pPr>
            <w:r>
              <w:rPr>
                <w:rFonts w:hint="eastAsia" w:ascii="仿宋_GB2312" w:hAnsi="仿宋" w:eastAsia="仿宋_GB2312" w:cs="宋体"/>
                <w:kern w:val="0"/>
                <w:szCs w:val="21"/>
              </w:rPr>
              <w:t>③区管河道发生超警戒水位洪水，</w:t>
            </w:r>
            <w:r>
              <w:rPr>
                <w:rFonts w:ascii="仿宋_GB2312" w:hAnsi="宋体" w:eastAsia="仿宋_GB2312" w:cs="仿宋_GB2312"/>
                <w:kern w:val="0"/>
                <w:sz w:val="24"/>
              </w:rPr>
              <w:t>或某条</w:t>
            </w:r>
            <w:r>
              <w:rPr>
                <w:rFonts w:hint="eastAsia" w:ascii="仿宋_GB2312" w:hAnsi="宋体" w:eastAsia="仿宋_GB2312" w:cs="仿宋_GB2312"/>
                <w:kern w:val="0"/>
                <w:sz w:val="24"/>
              </w:rPr>
              <w:t>区</w:t>
            </w:r>
            <w:r>
              <w:rPr>
                <w:rFonts w:ascii="仿宋_GB2312" w:hAnsi="宋体" w:eastAsia="仿宋_GB2312" w:cs="仿宋_GB2312"/>
                <w:kern w:val="0"/>
                <w:sz w:val="24"/>
              </w:rPr>
              <w:t>管辖河道发生重大工程险</w:t>
            </w:r>
            <w:r>
              <w:rPr>
                <w:rFonts w:hint="eastAsia" w:ascii="仿宋_GB2312" w:hAnsi="宋体" w:eastAsia="仿宋_GB2312" w:cs="仿宋_GB2312"/>
                <w:kern w:val="0"/>
                <w:sz w:val="24"/>
              </w:rPr>
              <w:t>情；</w:t>
            </w:r>
          </w:p>
          <w:p w14:paraId="164696EC">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④我区城区、马山街道办事处（金山湾管理处）发生一般洪涝灾害；</w:t>
            </w:r>
          </w:p>
          <w:p w14:paraId="611165BC">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⑤某座小型水库发生重大工程险情；</w:t>
            </w:r>
          </w:p>
          <w:p w14:paraId="310C7921">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⑥我区发生中度干旱；</w:t>
            </w:r>
          </w:p>
          <w:p w14:paraId="7D338503">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⑦城区发生城市轻度干旱。</w:t>
            </w:r>
          </w:p>
          <w:p w14:paraId="01D21FB0">
            <w:pPr>
              <w:spacing w:line="320" w:lineRule="exact"/>
              <w:rPr>
                <w:rFonts w:ascii="仿宋_GB2312" w:hAnsi="仿宋" w:eastAsia="仿宋_GB2312" w:cs="宋体"/>
                <w:kern w:val="0"/>
                <w:szCs w:val="21"/>
              </w:rPr>
            </w:pPr>
            <w:r>
              <w:rPr>
                <w:rFonts w:hint="eastAsia" w:ascii="宋体" w:hAnsi="宋体" w:eastAsia="仿宋_GB2312" w:cs="宋体"/>
                <w:kern w:val="0"/>
                <w:szCs w:val="21"/>
              </w:rPr>
              <w:t>⑧</w:t>
            </w:r>
            <w:r>
              <w:rPr>
                <w:rFonts w:ascii="仿宋_GB2312" w:eastAsia="仿宋_GB2312"/>
                <w:szCs w:val="21"/>
              </w:rPr>
              <w:t>热带气旋</w:t>
            </w:r>
            <w:r>
              <w:rPr>
                <w:rFonts w:hint="eastAsia" w:ascii="仿宋_GB2312" w:eastAsia="仿宋_GB2312"/>
                <w:szCs w:val="21"/>
              </w:rPr>
              <w:t>已登陆或影响我区及沿海，平均</w:t>
            </w:r>
            <w:r>
              <w:rPr>
                <w:rFonts w:ascii="仿宋_GB2312" w:eastAsia="仿宋_GB2312"/>
                <w:szCs w:val="21"/>
              </w:rPr>
              <w:t>风力</w:t>
            </w:r>
            <w:r>
              <w:rPr>
                <w:rFonts w:hint="eastAsia" w:ascii="仿宋_GB2312" w:eastAsia="仿宋_GB2312"/>
                <w:szCs w:val="21"/>
              </w:rPr>
              <w:t>达</w:t>
            </w:r>
            <w:r>
              <w:rPr>
                <w:rFonts w:ascii="仿宋_GB2312" w:eastAsia="仿宋_GB2312"/>
                <w:szCs w:val="21"/>
              </w:rPr>
              <w:t>6～7级，或阵风7～8级并可能持续</w:t>
            </w:r>
            <w:r>
              <w:rPr>
                <w:rFonts w:hint="eastAsia" w:ascii="仿宋_GB2312" w:eastAsia="仿宋_GB2312"/>
                <w:szCs w:val="21"/>
              </w:rPr>
              <w:t>。</w:t>
            </w:r>
          </w:p>
        </w:tc>
      </w:tr>
      <w:tr w14:paraId="3945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1101" w:type="dxa"/>
            <w:vAlign w:val="center"/>
          </w:tcPr>
          <w:p w14:paraId="178774D3">
            <w:pPr>
              <w:spacing w:line="320" w:lineRule="exact"/>
              <w:jc w:val="center"/>
              <w:rPr>
                <w:rFonts w:ascii="仿宋_GB2312" w:eastAsia="仿宋_GB2312"/>
                <w:sz w:val="32"/>
                <w:szCs w:val="32"/>
              </w:rPr>
            </w:pPr>
            <w:r>
              <w:rPr>
                <w:rFonts w:hint="eastAsia" w:ascii="仿宋_GB2312" w:eastAsia="仿宋_GB2312"/>
              </w:rPr>
              <w:t>Ⅲ级</w:t>
            </w:r>
          </w:p>
        </w:tc>
        <w:tc>
          <w:tcPr>
            <w:tcW w:w="7733" w:type="dxa"/>
          </w:tcPr>
          <w:p w14:paraId="4993A265">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①气象部门发布暴雨红色预警预报未来24小时内可能发生较大范围强降雨,经综合研判,预计对全区部分区域产生较重影响或较强致灾性；</w:t>
            </w:r>
          </w:p>
          <w:p w14:paraId="6884FA27">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②两条以上管河道河道同时发生超警戒水位洪水；</w:t>
            </w:r>
          </w:p>
          <w:p w14:paraId="05481993">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③我区发生较大洪涝灾害；</w:t>
            </w:r>
          </w:p>
          <w:p w14:paraId="03C7C9F3">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④小型水库垮坝；</w:t>
            </w:r>
          </w:p>
          <w:p w14:paraId="401B4548">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⑤我区发生严重干旱；</w:t>
            </w:r>
          </w:p>
          <w:p w14:paraId="49F2ED1F">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⑥城区发生城市中度干旱。</w:t>
            </w:r>
          </w:p>
          <w:p w14:paraId="6E76EA76">
            <w:pPr>
              <w:spacing w:line="320" w:lineRule="exact"/>
              <w:rPr>
                <w:rFonts w:ascii="仿宋_GB2312" w:eastAsia="仿宋_GB2312"/>
                <w:sz w:val="32"/>
                <w:szCs w:val="32"/>
              </w:rPr>
            </w:pPr>
            <w:r>
              <w:rPr>
                <w:rFonts w:hint="eastAsia" w:ascii="仿宋_GB2312" w:hAnsi="仿宋" w:eastAsia="仿宋_GB2312" w:cs="宋体"/>
                <w:kern w:val="0"/>
                <w:szCs w:val="21"/>
              </w:rPr>
              <w:t>⑦</w:t>
            </w:r>
            <w:r>
              <w:rPr>
                <w:rFonts w:ascii="仿宋_GB2312" w:hAnsi="仿宋" w:eastAsia="仿宋_GB2312" w:cs="宋体"/>
                <w:kern w:val="0"/>
                <w:szCs w:val="21"/>
              </w:rPr>
              <w:t>热带气旋</w:t>
            </w:r>
            <w:r>
              <w:rPr>
                <w:rFonts w:hint="eastAsia" w:ascii="仿宋_GB2312" w:hAnsi="仿宋" w:eastAsia="仿宋_GB2312" w:cs="宋体"/>
                <w:kern w:val="0"/>
                <w:szCs w:val="21"/>
              </w:rPr>
              <w:t>已登陆或影响我区及沿海，</w:t>
            </w:r>
            <w:r>
              <w:rPr>
                <w:rFonts w:ascii="仿宋_GB2312" w:hAnsi="仿宋" w:eastAsia="仿宋_GB2312" w:cs="宋体"/>
                <w:kern w:val="0"/>
                <w:szCs w:val="21"/>
              </w:rPr>
              <w:t>平均风力为8～9级，或阵风9～10级并可能持续</w:t>
            </w:r>
            <w:r>
              <w:rPr>
                <w:rFonts w:hint="eastAsia" w:ascii="仿宋_GB2312" w:hAnsi="仿宋" w:eastAsia="仿宋_GB2312" w:cs="宋体"/>
                <w:kern w:val="0"/>
                <w:szCs w:val="21"/>
              </w:rPr>
              <w:t>。</w:t>
            </w:r>
          </w:p>
        </w:tc>
      </w:tr>
      <w:tr w14:paraId="3291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101" w:type="dxa"/>
            <w:vAlign w:val="center"/>
          </w:tcPr>
          <w:p w14:paraId="45D42697">
            <w:pPr>
              <w:spacing w:line="320" w:lineRule="exact"/>
              <w:jc w:val="center"/>
              <w:rPr>
                <w:rFonts w:ascii="仿宋_GB2312" w:eastAsia="仿宋_GB2312"/>
                <w:sz w:val="32"/>
                <w:szCs w:val="32"/>
              </w:rPr>
            </w:pPr>
            <w:r>
              <w:rPr>
                <w:rFonts w:hint="eastAsia" w:ascii="仿宋_GB2312" w:eastAsia="仿宋_GB2312"/>
              </w:rPr>
              <w:t>Ⅱ级</w:t>
            </w:r>
          </w:p>
        </w:tc>
        <w:tc>
          <w:tcPr>
            <w:tcW w:w="7733" w:type="dxa"/>
          </w:tcPr>
          <w:p w14:paraId="1DEBF92E">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①区管河道发生超警戒水位洪水且发生重大险情或区管辖河道发生决口漫溢；</w:t>
            </w:r>
          </w:p>
          <w:p w14:paraId="6A3F3CB8">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②我区发生严重洪涝灾害；</w:t>
            </w:r>
          </w:p>
          <w:p w14:paraId="290AD2FE">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③我区发生特大干旱；</w:t>
            </w:r>
          </w:p>
          <w:p w14:paraId="61C76038">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④城区发生城市重度干旱；</w:t>
            </w:r>
          </w:p>
          <w:p w14:paraId="0CB21B93">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⑤</w:t>
            </w:r>
            <w:r>
              <w:rPr>
                <w:rFonts w:ascii="仿宋_GB2312" w:eastAsia="仿宋_GB2312"/>
                <w:szCs w:val="21"/>
              </w:rPr>
              <w:t>热带气旋</w:t>
            </w:r>
            <w:r>
              <w:rPr>
                <w:rFonts w:hint="eastAsia" w:ascii="仿宋_GB2312" w:eastAsia="仿宋_GB2312"/>
                <w:szCs w:val="21"/>
              </w:rPr>
              <w:t>已登陆或影响我区及沿海，</w:t>
            </w:r>
            <w:r>
              <w:rPr>
                <w:rFonts w:ascii="仿宋_GB2312" w:eastAsia="仿宋_GB2312"/>
                <w:szCs w:val="21"/>
              </w:rPr>
              <w:t>平均风力10～11级，或阵风11～12级并可能持续</w:t>
            </w:r>
            <w:r>
              <w:rPr>
                <w:rFonts w:hint="eastAsia" w:ascii="仿宋_GB2312" w:eastAsia="仿宋_GB2312"/>
                <w:szCs w:val="21"/>
              </w:rPr>
              <w:t>。</w:t>
            </w:r>
          </w:p>
        </w:tc>
      </w:tr>
      <w:tr w14:paraId="0FC2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101" w:type="dxa"/>
            <w:vAlign w:val="center"/>
          </w:tcPr>
          <w:p w14:paraId="0FAB2F5A">
            <w:pPr>
              <w:spacing w:line="320" w:lineRule="exact"/>
              <w:jc w:val="center"/>
              <w:rPr>
                <w:rFonts w:ascii="仿宋_GB2312" w:eastAsia="仿宋_GB2312"/>
                <w:sz w:val="32"/>
                <w:szCs w:val="32"/>
              </w:rPr>
            </w:pPr>
            <w:r>
              <w:rPr>
                <w:rFonts w:hint="eastAsia" w:ascii="仿宋_GB2312" w:eastAsia="仿宋_GB2312"/>
              </w:rPr>
              <w:t>Ⅰ级</w:t>
            </w:r>
          </w:p>
        </w:tc>
        <w:tc>
          <w:tcPr>
            <w:tcW w:w="7733" w:type="dxa"/>
          </w:tcPr>
          <w:p w14:paraId="62E759E7">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①我区发生特大洪涝灾害；</w:t>
            </w:r>
          </w:p>
          <w:p w14:paraId="08BFCB15">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②我区城区、马山街道办事处（金山湾管理处）同时发生特大干旱；</w:t>
            </w:r>
          </w:p>
          <w:p w14:paraId="56CF768A">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③城区发生城市极度干旱或马山街道办事处（金山湾管理处）发生极度干旱。</w:t>
            </w:r>
          </w:p>
          <w:p w14:paraId="61BD3A03">
            <w:pPr>
              <w:spacing w:line="320" w:lineRule="exact"/>
              <w:rPr>
                <w:rFonts w:ascii="仿宋_GB2312" w:hAnsi="仿宋" w:eastAsia="仿宋_GB2312" w:cs="宋体"/>
                <w:kern w:val="0"/>
                <w:szCs w:val="21"/>
              </w:rPr>
            </w:pPr>
            <w:r>
              <w:rPr>
                <w:rFonts w:hint="eastAsia" w:ascii="仿宋_GB2312" w:hAnsi="仿宋" w:eastAsia="仿宋_GB2312" w:cs="宋体"/>
                <w:kern w:val="0"/>
                <w:szCs w:val="21"/>
              </w:rPr>
              <w:t>④</w:t>
            </w:r>
            <w:r>
              <w:rPr>
                <w:rFonts w:ascii="仿宋_GB2312" w:eastAsia="仿宋_GB2312"/>
                <w:szCs w:val="21"/>
              </w:rPr>
              <w:t>热带气旋</w:t>
            </w:r>
            <w:r>
              <w:rPr>
                <w:rFonts w:hint="eastAsia" w:ascii="仿宋_GB2312" w:eastAsia="仿宋_GB2312"/>
                <w:szCs w:val="21"/>
              </w:rPr>
              <w:t>已登陆或影响我区及沿海，</w:t>
            </w:r>
            <w:r>
              <w:rPr>
                <w:rFonts w:ascii="仿宋_GB2312" w:eastAsia="仿宋_GB2312"/>
                <w:szCs w:val="21"/>
              </w:rPr>
              <w:t>平均风力可达12级以上，或者已达12级以上并可能持续</w:t>
            </w:r>
            <w:r>
              <w:rPr>
                <w:rFonts w:hint="eastAsia" w:ascii="仿宋_GB2312" w:eastAsia="仿宋_GB2312"/>
                <w:szCs w:val="21"/>
              </w:rPr>
              <w:t>。</w:t>
            </w:r>
          </w:p>
          <w:p w14:paraId="6AD69628">
            <w:pPr>
              <w:spacing w:line="320" w:lineRule="exact"/>
              <w:rPr>
                <w:rFonts w:ascii="仿宋_GB2312" w:hAnsi="仿宋" w:eastAsia="仿宋_GB2312" w:cs="宋体"/>
                <w:kern w:val="0"/>
                <w:szCs w:val="21"/>
              </w:rPr>
            </w:pPr>
          </w:p>
        </w:tc>
      </w:tr>
    </w:tbl>
    <w:p w14:paraId="42D3321B">
      <w:pPr>
        <w:spacing w:line="560" w:lineRule="exact"/>
        <w:rPr>
          <w:rFonts w:ascii="仿宋_GB2312" w:hAnsi="仿宋_GB2312" w:eastAsia="仿宋_GB2312" w:cs="仿宋_GB2312"/>
          <w:sz w:val="32"/>
          <w:szCs w:val="32"/>
        </w:rPr>
      </w:pPr>
    </w:p>
    <w:p w14:paraId="53595FF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烟台高新区突发地质灾害</w:t>
      </w:r>
      <w:r>
        <w:rPr>
          <w:rFonts w:hint="eastAsia" w:ascii="方正小标宋简体" w:hAnsi="Helvetica" w:eastAsia="方正小标宋简体" w:cs="Helvetica"/>
          <w:sz w:val="44"/>
          <w:szCs w:val="44"/>
        </w:rPr>
        <w:t>专项</w:t>
      </w:r>
      <w:r>
        <w:rPr>
          <w:rFonts w:hint="eastAsia" w:ascii="方正小标宋简体" w:hAnsi="方正小标宋简体" w:eastAsia="方正小标宋简体" w:cs="方正小标宋简体"/>
          <w:sz w:val="44"/>
          <w:szCs w:val="44"/>
        </w:rPr>
        <w:t>应急预案</w:t>
      </w:r>
    </w:p>
    <w:p w14:paraId="43E83CCD">
      <w:pPr>
        <w:spacing w:line="560" w:lineRule="exact"/>
        <w:rPr>
          <w:rFonts w:ascii="仿宋_GB2312" w:hAnsi="仿宋_GB2312" w:eastAsia="仿宋_GB2312" w:cs="仿宋_GB2312"/>
          <w:sz w:val="32"/>
          <w:szCs w:val="32"/>
        </w:rPr>
      </w:pPr>
    </w:p>
    <w:p w14:paraId="4EB10480">
      <w:pPr>
        <w:spacing w:line="55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 xml:space="preserve">1.总 则 </w:t>
      </w:r>
    </w:p>
    <w:p w14:paraId="0BC738F3">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1.1  编制目的</w:t>
      </w:r>
    </w:p>
    <w:p w14:paraId="3CD14F0B">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提高我区应对突发地质灾害应急反应能力，规范应急救援行为，保障突发地质灾害应急救援工作迅速、高效、有序进行，避免或最大限度地减少人民群众生命和财产损失，维护社会和谐稳定。</w:t>
      </w:r>
    </w:p>
    <w:p w14:paraId="1CCB7032">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1.2  编制依据 </w:t>
      </w:r>
    </w:p>
    <w:p w14:paraId="0A729108">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据《中华人民共和国突发事件应对法》《地质灾害防治条例》《国务院关于加强地质灾害防治工作的决定》（国发〔2011〕20号）《山东省突发事件应对条例》《山东省突发事件总体应急预案》《山东省突发地质灾害应急救援预案》《烟台市突发地质灾害应急救援预案》《烟台市突发事件总体应急预案》《烟台高新区突发事件总体应急预案》，结合我区实际制定本预案。</w:t>
      </w:r>
    </w:p>
    <w:p w14:paraId="5BD46B4B">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1.3  适用范围 </w:t>
      </w:r>
    </w:p>
    <w:p w14:paraId="29BAE30E">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本预案适用于辖区内自然因素或者人为活动引发的山体崩塌、滑坡、泥石流、地面塌陷、地裂缝等突发性地质灾害应急救援行动。 </w:t>
      </w:r>
    </w:p>
    <w:p w14:paraId="2AEFE177">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1.4  工作原则 </w:t>
      </w:r>
    </w:p>
    <w:p w14:paraId="30A03A38">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坚持以人为本、以防为主、防抗救相结合；统一领导、分工负责；分级管理、属地为主的工作原则。 </w:t>
      </w:r>
    </w:p>
    <w:p w14:paraId="6240E720">
      <w:pPr>
        <w:spacing w:line="550" w:lineRule="exact"/>
        <w:ind w:firstLine="624"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2.组织指挥体系及职责</w:t>
      </w:r>
      <w:r>
        <w:rPr>
          <w:rFonts w:hint="eastAsia" w:ascii="仿宋_GB2312" w:hAnsi="仿宋_GB2312" w:eastAsia="仿宋_GB2312" w:cs="仿宋_GB2312"/>
          <w:kern w:val="0"/>
          <w:sz w:val="32"/>
          <w:szCs w:val="32"/>
        </w:rPr>
        <w:t xml:space="preserve"> </w:t>
      </w:r>
    </w:p>
    <w:p w14:paraId="716F6CAF">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2.1  区指挥部组成及职责</w:t>
      </w:r>
    </w:p>
    <w:p w14:paraId="406DD80C">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地质灾害险情灾情发生后，区管委成立区地质灾害应急救援指挥部（以下简称区指挥部），负责小型地质灾害应急指挥和处置工作。其组成如下： </w:t>
      </w:r>
    </w:p>
    <w:p w14:paraId="271BAE98">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指 挥 长：</w:t>
      </w:r>
      <w:r>
        <w:rPr>
          <w:rFonts w:hint="eastAsia" w:ascii="仿宋_GB2312" w:hAnsi="仿宋_GB2312" w:eastAsia="仿宋_GB2312" w:cs="仿宋_GB2312"/>
          <w:kern w:val="0"/>
          <w:sz w:val="32"/>
          <w:szCs w:val="32"/>
        </w:rPr>
        <w:t>区管委分管应急管理工作的副主任</w:t>
      </w:r>
    </w:p>
    <w:p w14:paraId="5780F70C">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成    员：</w:t>
      </w:r>
      <w:r>
        <w:rPr>
          <w:rFonts w:hint="eastAsia" w:ascii="仿宋_GB2312" w:hAnsi="仿宋_GB2312" w:eastAsia="仿宋_GB2312" w:cs="仿宋_GB2312"/>
          <w:kern w:val="0"/>
          <w:sz w:val="32"/>
          <w:szCs w:val="32"/>
        </w:rPr>
        <w:t xml:space="preserve">区综合管理部、区经济发展部、区教育分局、区公安分局、区财政金融部、区规划国土建设部、区生态环境分局、区综合行政执法局、社会事业管理服务中心、区招商部、区卫生健康管理办公室、区应急分局、区消防救援大队、区供电所等部门和单位负责同志。 </w:t>
      </w:r>
    </w:p>
    <w:p w14:paraId="4C5F7A3A">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区指挥部主要职责：贯彻执行烟台市应急局和区工委、管委决策部署；统一领导、指挥和协调全区地质灾害应急处置工作；部署和组织有关部门和街道对受灾地区进行紧急援救。 </w:t>
      </w:r>
    </w:p>
    <w:p w14:paraId="44A2467B">
      <w:pPr>
        <w:spacing w:line="550" w:lineRule="exact"/>
        <w:ind w:firstLine="624" w:firstLineChars="200"/>
        <w:rPr>
          <w:rFonts w:ascii="仿宋_GB2312" w:hAnsi="仿宋_GB2312" w:eastAsia="仿宋_GB2312" w:cs="仿宋_GB2312"/>
          <w:kern w:val="0"/>
          <w:sz w:val="32"/>
          <w:szCs w:val="32"/>
        </w:rPr>
      </w:pPr>
      <w:r>
        <w:rPr>
          <w:rFonts w:hint="eastAsia" w:ascii="仿宋_GB2312" w:eastAsia="仿宋_GB2312"/>
          <w:kern w:val="0"/>
          <w:sz w:val="32"/>
          <w:szCs w:val="32"/>
        </w:rPr>
        <w:t>区指挥部办公室设在应急分局。办公室主任由应急分局局长担任，办公室副主任由应急分局分管副局长、规划国土建设部分管副部长、消防救援大队分管副大队长担任。</w:t>
      </w:r>
    </w:p>
    <w:p w14:paraId="45CE1FFB">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办公室主要职责：贯彻区指挥部的指示和部署，</w:t>
      </w:r>
      <w:r>
        <w:rPr>
          <w:rFonts w:hint="eastAsia" w:ascii="仿宋_GB2312" w:eastAsia="仿宋_GB2312"/>
          <w:kern w:val="0"/>
          <w:sz w:val="32"/>
          <w:szCs w:val="32"/>
        </w:rPr>
        <w:t>协调街道、区指挥部成员单位之间的应急工作，并督促落实</w:t>
      </w:r>
      <w:r>
        <w:rPr>
          <w:rFonts w:hint="eastAsia" w:ascii="仿宋_GB2312" w:hAnsi="仿宋_GB2312" w:eastAsia="仿宋_GB2312" w:cs="仿宋_GB2312"/>
          <w:kern w:val="0"/>
          <w:sz w:val="32"/>
          <w:szCs w:val="32"/>
        </w:rPr>
        <w:t>；</w:t>
      </w:r>
      <w:r>
        <w:rPr>
          <w:rFonts w:hint="eastAsia" w:ascii="仿宋_GB2312" w:eastAsia="仿宋_GB2312"/>
          <w:kern w:val="0"/>
          <w:sz w:val="32"/>
          <w:szCs w:val="32"/>
        </w:rPr>
        <w:t>组织有关部门和专家对地质灾害险情灾情发展趋势进行分析，提出启动应急响应建议意见；汇总、分析突发地质灾害险情灾情信息，上报地质灾害险情灾情和应急处置与救援进展情况；组织应急救援的信息、新闻发布；起草区指挥部文件；承担区指挥部日常事务和交办的其他工作。</w:t>
      </w:r>
    </w:p>
    <w:p w14:paraId="334CFB66">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2.2 各工作组及职责 </w:t>
      </w:r>
    </w:p>
    <w:p w14:paraId="4D8F7CBB">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综合协调组：</w:t>
      </w:r>
      <w:r>
        <w:rPr>
          <w:rFonts w:hint="eastAsia" w:ascii="仿宋_GB2312" w:eastAsia="仿宋_GB2312"/>
          <w:kern w:val="0"/>
          <w:sz w:val="32"/>
          <w:szCs w:val="32"/>
        </w:rPr>
        <w:t>由综合管理部牵头，会同应急分局、规划国土建设部、街道办事处组成。承担组织协调工作；督促落实区指挥部议定事项；协调各工作组、街道指挥部工作；调度汇总各工作组工作情况、灾害发生地抢险救援进展情况，报送灾情信息；负责文件传阅、归档及会务筹备、文稿起草工作；协调做好部、省、</w:t>
      </w:r>
      <w:r>
        <w:rPr>
          <w:rFonts w:ascii="仿宋_GB2312" w:eastAsia="仿宋_GB2312"/>
          <w:kern w:val="0"/>
          <w:sz w:val="32"/>
          <w:szCs w:val="32"/>
        </w:rPr>
        <w:t>市</w:t>
      </w:r>
      <w:r>
        <w:rPr>
          <w:rFonts w:hint="eastAsia" w:ascii="仿宋_GB2312" w:eastAsia="仿宋_GB2312"/>
          <w:kern w:val="0"/>
          <w:sz w:val="32"/>
          <w:szCs w:val="32"/>
        </w:rPr>
        <w:t>、区领导赴灾区视察的各项准备工作；做好现场指挥部在灾区活动的服务保障工作。负责对外协调、信息报送、新闻宣传、舆论监督；发布险情、灾情等相关信息；承办新闻发布会，有效引导社会舆论，做好舆情应对。</w:t>
      </w:r>
    </w:p>
    <w:p w14:paraId="0FF0108F">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应急救援组：</w:t>
      </w:r>
      <w:r>
        <w:rPr>
          <w:rFonts w:hint="eastAsia" w:ascii="仿宋_GB2312" w:eastAsia="仿宋_GB2312"/>
          <w:kern w:val="0"/>
          <w:sz w:val="32"/>
          <w:szCs w:val="32"/>
        </w:rPr>
        <w:t>由应急分局、规划国土建设部牵头，会同生态环境分局、综合行政执法局、卫生健康管理办公室、社会事业管理服务中心、消防救援大队、森林消防中队、各类专业救援队伍组成。负责组织协调各类抢险救援队伍、救援装备开展抢险救援，搜救被困群众；落实应急处置和应急救援相关措施；协调救援队伍之间衔接、配合，合理划分责任区边界；紧急转移和安置受地质灾害隐患威胁的群众。负责灾害性质、级别、危害程度等认定，监测、分析、研判灾害动态趋势，组织专家开展险情排查，对地质灾害引发的环境污染问题进行应急监测，为地质灾害处置提供决策依据和建议，协助开展应急救援。</w:t>
      </w:r>
    </w:p>
    <w:p w14:paraId="65627106">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医疗卫生组：</w:t>
      </w:r>
      <w:r>
        <w:rPr>
          <w:rFonts w:hint="eastAsia" w:ascii="仿宋_GB2312" w:eastAsia="仿宋_GB2312"/>
          <w:kern w:val="0"/>
          <w:sz w:val="32"/>
          <w:szCs w:val="32"/>
        </w:rPr>
        <w:t>由卫生健康管理办公室牵头，会同社会事业管理服务中心组成。负责医疗救援队伍调集，救治受伤人员；检查、监测灾区饮用水源，防范和控制传染病爆发，做好灾后卫生防疫，开展灾后心理援助。</w:t>
      </w:r>
    </w:p>
    <w:p w14:paraId="2B24A2E4">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社会治安组：</w:t>
      </w:r>
      <w:r>
        <w:rPr>
          <w:rFonts w:hint="eastAsia" w:ascii="仿宋_GB2312" w:eastAsia="仿宋_GB2312"/>
          <w:kern w:val="0"/>
          <w:sz w:val="32"/>
          <w:szCs w:val="32"/>
        </w:rPr>
        <w:t>由公安分局牵头，会同交警五大队组成。负责加强灾区社会治安管理，依法打击涉灾违法犯罪活动，妥善处置群体性事件；维护灾区道路交通秩序，保障救灾车辆畅通。</w:t>
      </w:r>
    </w:p>
    <w:p w14:paraId="4B1AF7AE">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善后处置组：</w:t>
      </w:r>
      <w:r>
        <w:rPr>
          <w:rFonts w:hint="eastAsia" w:ascii="仿宋_GB2312" w:eastAsia="仿宋_GB2312"/>
          <w:kern w:val="0"/>
          <w:sz w:val="32"/>
          <w:szCs w:val="32"/>
        </w:rPr>
        <w:t>由应急分局牵头，会同经济发展部、招商部、财政金融部、规划国土建设部、综合行政执法局、教育分局、生态环境分局、社会事业管理服务中心、区供电所及马山街道办事处组成。负责协调交通、电力、通讯等设施的抢险修复工作；负责救援人员、受灾困难群众的基本生活物资保障，开放应急避难场所，安置受灾群众；组织协调救灾物资的调拨和紧急配送；协调救灾资金、管理分配救灾款物并监督使用。积极创造条件，组织灾区学校复课。负责灾情的调查核查、损失评估。调查核查人员伤亡和财产损失情况，评估灾害对房屋、道路、桥梁等设施造成的直接经济损失。</w:t>
      </w:r>
    </w:p>
    <w:p w14:paraId="023F48F2">
      <w:pPr>
        <w:spacing w:line="550" w:lineRule="exact"/>
        <w:ind w:firstLine="624"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 xml:space="preserve">2.3 部门职责 </w:t>
      </w:r>
      <w:r>
        <w:rPr>
          <w:rFonts w:hint="eastAsia" w:ascii="仿宋_GB2312" w:hAnsi="仿宋_GB2312" w:eastAsia="仿宋_GB2312" w:cs="仿宋_GB2312"/>
          <w:kern w:val="0"/>
          <w:sz w:val="32"/>
          <w:szCs w:val="32"/>
        </w:rPr>
        <w:t xml:space="preserve"> </w:t>
      </w:r>
    </w:p>
    <w:p w14:paraId="4D1A3400">
      <w:pPr>
        <w:spacing w:line="550" w:lineRule="exact"/>
        <w:ind w:firstLine="624" w:firstLineChars="200"/>
        <w:rPr>
          <w:rFonts w:ascii="仿宋_GB2312" w:hAnsi="Times New Roman'" w:eastAsia="仿宋_GB2312"/>
          <w:kern w:val="0"/>
          <w:sz w:val="32"/>
          <w:szCs w:val="32"/>
        </w:rPr>
      </w:pPr>
      <w:r>
        <w:rPr>
          <w:rFonts w:hint="eastAsia" w:ascii="仿宋_GB2312" w:eastAsia="仿宋_GB2312"/>
          <w:kern w:val="0"/>
          <w:sz w:val="32"/>
          <w:szCs w:val="32"/>
        </w:rPr>
        <w:t>社会事业管理服务中心</w:t>
      </w:r>
      <w:r>
        <w:rPr>
          <w:rFonts w:hint="eastAsia" w:ascii="仿宋_GB2312" w:hAnsi="Times New Roman'" w:eastAsia="仿宋_GB2312"/>
          <w:kern w:val="0"/>
          <w:sz w:val="32"/>
          <w:szCs w:val="32"/>
        </w:rPr>
        <w:t>：</w:t>
      </w:r>
      <w:r>
        <w:rPr>
          <w:rFonts w:hint="eastAsia" w:ascii="仿宋_GB2312" w:eastAsia="仿宋_GB2312"/>
          <w:kern w:val="0"/>
          <w:sz w:val="32"/>
          <w:szCs w:val="32"/>
        </w:rPr>
        <w:t>（农业农村）负责地质灾害造成的农业资源损害进行调查评估；负责组织指导灾区动物疫病的预防控制工作，加强动物疫情的监测，防止和控制动物疫病的暴发流行。（气象）负责组织提供天气预报和地质灾害预警预报所需的气象资料信息，组织对灾区的气象条件进行监测预报。</w:t>
      </w:r>
    </w:p>
    <w:p w14:paraId="18131440">
      <w:pPr>
        <w:spacing w:line="550" w:lineRule="exact"/>
        <w:ind w:firstLine="624" w:firstLineChars="200"/>
        <w:rPr>
          <w:rFonts w:ascii="仿宋_GB2312" w:hAnsi="华文仿宋" w:eastAsia="仿宋_GB2312" w:cs="宋体"/>
          <w:kern w:val="0"/>
          <w:sz w:val="32"/>
          <w:szCs w:val="32"/>
        </w:rPr>
      </w:pPr>
      <w:r>
        <w:rPr>
          <w:rFonts w:hint="eastAsia" w:ascii="仿宋_GB2312" w:eastAsia="仿宋_GB2312"/>
          <w:kern w:val="0"/>
          <w:sz w:val="32"/>
          <w:szCs w:val="32"/>
        </w:rPr>
        <w:t>规划国土建设部：（自然资源）组织指导协调和监督地质灾害调查评价及隐患的普查、详查、排查，指导开展群测群防、专业监测和预报预警等工作，及时分析研判灾害动态，预测灾害发展趋势，承担地质灾害应急救援的技术支撑工作。（住建）负责组织指导开展灾区危房调查，及时消除可能造成二次危害的隐患，协助做好危房人员的疏散转移。（交通）负责所辖交通基础设施的安全，组织抢修所辖交通损毁基础设施，组织协调救灾物资运输保障。</w:t>
      </w:r>
    </w:p>
    <w:p w14:paraId="48B6BC7E">
      <w:pPr>
        <w:spacing w:line="550" w:lineRule="exact"/>
        <w:ind w:firstLine="624"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综合行政执法局：（城管）指导灾区被毁坏的市政供水、供气、道路、排水等基础设施的抢险、排险和恢复。（水利）负责受损毁水利工程、水利供水设施抢修；负责水情监测以及地质灾害引发的次生洪涝灾害处置的技术支撑。</w:t>
      </w:r>
    </w:p>
    <w:p w14:paraId="78023D68">
      <w:pPr>
        <w:spacing w:line="550" w:lineRule="exact"/>
        <w:ind w:firstLine="624"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应急管理分局：负责组织协调地质灾害应急救援工作，协调解放军、武警部队、消防救援队伍、社会力量等参与抢险救灾；组织开展救援工作，妥善安排受灾群众衣、食、住等基本生活；组织协调救灾物资的调拨和紧急配送；协调救灾资金、管理分配救灾款物并监督使用；协调指导灾情的调查核查、损失评估；负责地震监测，及时通报与地质灾害相关的震情。</w:t>
      </w:r>
    </w:p>
    <w:p w14:paraId="3D501C64">
      <w:pPr>
        <w:pStyle w:val="11"/>
        <w:widowControl w:val="0"/>
        <w:spacing w:before="0" w:beforeAutospacing="0" w:after="0" w:afterAutospacing="0" w:line="550" w:lineRule="exact"/>
        <w:ind w:firstLine="624" w:firstLineChars="200"/>
        <w:contextualSpacing/>
        <w:jc w:val="both"/>
        <w:rPr>
          <w:rFonts w:ascii="仿宋_GB2312" w:hAnsi="华文仿宋" w:eastAsia="仿宋_GB2312"/>
          <w:sz w:val="32"/>
          <w:szCs w:val="32"/>
        </w:rPr>
      </w:pPr>
      <w:r>
        <w:rPr>
          <w:rFonts w:hint="eastAsia" w:ascii="仿宋_GB2312" w:hAnsi="华文仿宋" w:eastAsia="仿宋_GB2312"/>
          <w:sz w:val="32"/>
          <w:szCs w:val="32"/>
        </w:rPr>
        <w:t>经济发展部：（发改）负责积极争取防灾减灾救灾中央预算内投资支持，统筹协调区煤电气保障工作，组织煤、电、油、气以及其它重要物资的紧急调度和交通运输综合协调。根据灾害应急需求，会同有关部门适时投放储备救灾物资，保障救灾物资供应。负责区级应急救灾储备物资管理，根据动用指令按照程序调运。（工信）负责为抢险救援工作做好通信服务保障，指导协调通信企事业单位做好公共通信设施的应急抢护；协调本地相关企业紧急生产工业应急物资，协助急管理分局、发改等做好应急物资的采购、调配等工作。（文旅）配合旅游景区的所有权单位和主管部门做好保护和排险，配合开展修复工作</w:t>
      </w:r>
    </w:p>
    <w:p w14:paraId="52B8A9F2">
      <w:pPr>
        <w:pStyle w:val="11"/>
        <w:widowControl w:val="0"/>
        <w:spacing w:before="0" w:beforeAutospacing="0" w:after="0" w:afterAutospacing="0" w:line="550" w:lineRule="exact"/>
        <w:ind w:firstLine="624" w:firstLineChars="200"/>
        <w:contextualSpacing/>
        <w:jc w:val="both"/>
        <w:rPr>
          <w:rFonts w:ascii="仿宋_GB2312" w:hAnsi="华文仿宋" w:eastAsia="仿宋_GB2312"/>
          <w:sz w:val="32"/>
          <w:szCs w:val="32"/>
        </w:rPr>
      </w:pPr>
      <w:r>
        <w:rPr>
          <w:rFonts w:hint="eastAsia" w:ascii="仿宋_GB2312" w:hAnsi="华文仿宋" w:eastAsia="仿宋_GB2312"/>
          <w:sz w:val="32"/>
          <w:szCs w:val="32"/>
        </w:rPr>
        <w:t>招商部：负责建立健全生活必需品市场供应应急管理机制。负责灾区生活必需品、重要消费品市场监测，保障市场供应。</w:t>
      </w:r>
    </w:p>
    <w:p w14:paraId="1D09CCA2">
      <w:pPr>
        <w:spacing w:line="550" w:lineRule="exact"/>
        <w:ind w:firstLine="624" w:firstLineChars="200"/>
        <w:rPr>
          <w:rFonts w:ascii="仿宋_GB2312" w:eastAsia="仿宋_GB2312"/>
          <w:kern w:val="0"/>
          <w:sz w:val="32"/>
          <w:szCs w:val="32"/>
        </w:rPr>
      </w:pPr>
      <w:r>
        <w:rPr>
          <w:rFonts w:hint="eastAsia" w:ascii="仿宋_GB2312" w:hAnsi="华文仿宋" w:eastAsia="仿宋_GB2312" w:cs="宋体"/>
          <w:kern w:val="0"/>
          <w:sz w:val="32"/>
          <w:szCs w:val="32"/>
        </w:rPr>
        <w:t>综合管理部：</w:t>
      </w:r>
      <w:r>
        <w:rPr>
          <w:rFonts w:hint="eastAsia" w:ascii="仿宋_GB2312" w:eastAsia="仿宋_GB2312"/>
          <w:kern w:val="0"/>
          <w:sz w:val="32"/>
          <w:szCs w:val="32"/>
        </w:rPr>
        <w:t>负责组织协调突发地质灾害新闻宣传、舆情监测、舆论引导、信息发布和舆情处置工作。</w:t>
      </w:r>
    </w:p>
    <w:p w14:paraId="2A394D32">
      <w:pPr>
        <w:spacing w:line="550" w:lineRule="exact"/>
        <w:ind w:firstLine="624"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财政金融部：负责做好救灾资金保障工作。</w:t>
      </w:r>
    </w:p>
    <w:p w14:paraId="6320F215">
      <w:pPr>
        <w:spacing w:line="550" w:lineRule="exact"/>
        <w:ind w:firstLine="624" w:firstLineChars="200"/>
        <w:rPr>
          <w:rFonts w:ascii="仿宋_GB2312" w:hAnsi="华文仿宋" w:eastAsia="仿宋_GB2312" w:cs="宋体"/>
          <w:kern w:val="0"/>
          <w:sz w:val="32"/>
          <w:szCs w:val="32"/>
        </w:rPr>
      </w:pPr>
      <w:r>
        <w:rPr>
          <w:rFonts w:hint="eastAsia" w:ascii="仿宋_GB2312" w:eastAsia="仿宋_GB2312"/>
          <w:kern w:val="0"/>
          <w:sz w:val="32"/>
          <w:szCs w:val="32"/>
        </w:rPr>
        <w:t>卫生健康管理办公室：负责组织医疗卫生机构积极开展伤病员救治工作，对灾区可能发生的传染病进行预警，采取有效措施防止和控制灾后传染病暴发流行，对灾区食品安全组织开展风险监测，对灾区饮用水安全进行监督检查，保障人民群众身体健康，并根据需要对基层卫生部门提供技术支持和业务指导。</w:t>
      </w:r>
    </w:p>
    <w:p w14:paraId="7624B637">
      <w:pPr>
        <w:spacing w:line="550" w:lineRule="exact"/>
        <w:ind w:firstLine="624"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教育分局：组织遭受破坏的区属学校学生转移安置，负责协调区属学校因灾损毁校舍修复和教育、教学资源调配，妥善解决灾区学生就学问题。</w:t>
      </w:r>
    </w:p>
    <w:p w14:paraId="1AEA9717">
      <w:pPr>
        <w:spacing w:line="550" w:lineRule="exact"/>
        <w:ind w:firstLine="624"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生态环境分局：负责加强灾区大气、饮用水、土壤、辐射环境质量等生态环境应急监测，指导处置地质灾害造成的突发环境事件等次生环境灾害，做好灾区环境风险隐患排查工作。</w:t>
      </w:r>
    </w:p>
    <w:p w14:paraId="33F846BA">
      <w:pPr>
        <w:spacing w:line="550" w:lineRule="exact"/>
        <w:ind w:firstLine="624" w:firstLineChars="200"/>
        <w:rPr>
          <w:rFonts w:ascii="仿宋_GB2312" w:eastAsia="仿宋_GB2312"/>
          <w:kern w:val="0"/>
          <w:sz w:val="32"/>
          <w:szCs w:val="32"/>
        </w:rPr>
      </w:pPr>
      <w:r>
        <w:rPr>
          <w:rFonts w:hint="eastAsia" w:ascii="仿宋_GB2312" w:hAnsi="华文仿宋" w:eastAsia="仿宋_GB2312" w:cs="宋体"/>
          <w:kern w:val="0"/>
          <w:sz w:val="32"/>
          <w:szCs w:val="32"/>
        </w:rPr>
        <w:t>区公安分局：</w:t>
      </w:r>
      <w:r>
        <w:rPr>
          <w:rFonts w:hint="eastAsia" w:ascii="仿宋_GB2312" w:eastAsia="仿宋_GB2312"/>
          <w:kern w:val="0"/>
          <w:sz w:val="32"/>
          <w:szCs w:val="32"/>
        </w:rPr>
        <w:t>负责维护社会治安秩序，依法查处涉灾网络舆情恶意炒作、造谣滋事等违法犯罪行为；指导涉灾群体性事件处置。</w:t>
      </w:r>
    </w:p>
    <w:p w14:paraId="7BB08251">
      <w:pPr>
        <w:spacing w:line="550" w:lineRule="exact"/>
        <w:ind w:firstLine="624" w:firstLineChars="200"/>
        <w:rPr>
          <w:rFonts w:ascii="仿宋_GB2312" w:eastAsia="仿宋_GB2312"/>
          <w:kern w:val="0"/>
          <w:sz w:val="32"/>
          <w:szCs w:val="32"/>
        </w:rPr>
      </w:pPr>
      <w:r>
        <w:rPr>
          <w:rFonts w:hint="eastAsia" w:ascii="仿宋_GB2312" w:eastAsia="仿宋_GB2312"/>
          <w:kern w:val="0"/>
          <w:sz w:val="32"/>
          <w:szCs w:val="32"/>
        </w:rPr>
        <w:t>交警五大队：对灾害地和通往灾害地的道路实行交通管制，优先保障应急抢险救援人员、救灾物资运输车辆、伤病人员的通行。</w:t>
      </w:r>
    </w:p>
    <w:p w14:paraId="18AFCF8F">
      <w:pPr>
        <w:spacing w:line="550" w:lineRule="exact"/>
        <w:ind w:firstLine="624" w:firstLineChars="200"/>
        <w:rPr>
          <w:rFonts w:ascii="仿宋_GB2312" w:eastAsia="仿宋_GB2312"/>
          <w:kern w:val="0"/>
          <w:sz w:val="32"/>
          <w:szCs w:val="32"/>
        </w:rPr>
      </w:pPr>
      <w:r>
        <w:rPr>
          <w:rFonts w:hint="eastAsia" w:ascii="仿宋_GB2312" w:eastAsia="仿宋_GB2312"/>
          <w:kern w:val="0"/>
          <w:sz w:val="32"/>
          <w:szCs w:val="32"/>
        </w:rPr>
        <w:t>财政金融部：按照事权与支出责任相匹配的原则，负责区地质灾害应急救援相关资金保障工作。</w:t>
      </w:r>
    </w:p>
    <w:p w14:paraId="0B890997">
      <w:pPr>
        <w:spacing w:line="550" w:lineRule="exact"/>
        <w:ind w:firstLine="624" w:firstLineChars="200"/>
        <w:rPr>
          <w:rFonts w:ascii="仿宋_GB2312" w:eastAsia="仿宋_GB2312"/>
          <w:kern w:val="0"/>
          <w:sz w:val="32"/>
          <w:szCs w:val="32"/>
        </w:rPr>
      </w:pPr>
      <w:r>
        <w:rPr>
          <w:rFonts w:hint="eastAsia" w:ascii="仿宋_GB2312" w:eastAsia="仿宋_GB2312"/>
          <w:kern w:val="0"/>
          <w:sz w:val="32"/>
          <w:szCs w:val="32"/>
        </w:rPr>
        <w:t>区消防救援大队：负责组织指挥消防救援队伍参加应急抢险救援工作，协助地方政府转移和救援群众。</w:t>
      </w:r>
    </w:p>
    <w:p w14:paraId="45603AEC">
      <w:pPr>
        <w:spacing w:line="550" w:lineRule="exact"/>
        <w:ind w:firstLine="624" w:firstLineChars="200"/>
        <w:rPr>
          <w:rFonts w:ascii="黑体" w:hAnsi="黑体" w:eastAsia="黑体" w:cs="黑体"/>
          <w:kern w:val="0"/>
          <w:sz w:val="32"/>
          <w:szCs w:val="32"/>
        </w:rPr>
      </w:pPr>
      <w:r>
        <w:rPr>
          <w:rFonts w:hint="eastAsia" w:ascii="仿宋_GB2312" w:eastAsia="仿宋_GB2312"/>
          <w:kern w:val="0"/>
          <w:sz w:val="32"/>
          <w:szCs w:val="32"/>
        </w:rPr>
        <w:t>区供电所：负责所辖电力设施的抢修恢复工作，协同做好突发灾害处置现场的电力供应。</w:t>
      </w:r>
    </w:p>
    <w:p w14:paraId="5ACC2FB4">
      <w:pPr>
        <w:spacing w:line="55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 xml:space="preserve">3.信息报送 </w:t>
      </w:r>
    </w:p>
    <w:p w14:paraId="65E1CEA1">
      <w:pPr>
        <w:spacing w:line="550" w:lineRule="exact"/>
        <w:ind w:firstLine="624"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3.1 监测、预警、预报</w:t>
      </w:r>
      <w:r>
        <w:rPr>
          <w:rFonts w:hint="eastAsia" w:ascii="仿宋_GB2312" w:hAnsi="仿宋_GB2312" w:eastAsia="仿宋_GB2312" w:cs="仿宋_GB2312"/>
          <w:kern w:val="0"/>
          <w:sz w:val="32"/>
          <w:szCs w:val="32"/>
        </w:rPr>
        <w:t xml:space="preserve"> </w:t>
      </w:r>
    </w:p>
    <w:p w14:paraId="23F700E1">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（1）区、街道要健全完善群测群防、群专结合、上下信息互通的地质灾害监测网络。 </w:t>
      </w:r>
    </w:p>
    <w:p w14:paraId="2F90CB91">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（2）自然资源和规划部门要加强重要地质灾害隐患点监测，及时研判隐患动向，按规定发出预警预报。对灾害发生点及其周 围，迅速指导开展应急监测工作，密切关注动态变化，提出措施 建议，作出险情警报。自然资源和规划、气象等部门要按规定向 社会发布地质灾害气象风险预警信息。 </w:t>
      </w:r>
    </w:p>
    <w:p w14:paraId="3CC08431">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（3）交通运输、住房城乡建设、农业农村、水利等部门密切配合，按各自职责做好地质灾害险情巡查工作并及时处置。 </w:t>
      </w:r>
    </w:p>
    <w:p w14:paraId="36EF0FBD">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3.2 灾情险情报送 </w:t>
      </w:r>
    </w:p>
    <w:p w14:paraId="78F8F3DC">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3.2.1 报送内容 </w:t>
      </w:r>
    </w:p>
    <w:p w14:paraId="1CCA2A2A">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地质灾害发生的时间、地点、地质灾害类型、规模等；地质 灾害造成的伤亡和失踪人数、直接经济损失；受地质灾害威胁的 户数、人数、财产数；地质灾害引发原因及趋势、已采取措施及建议意见。 </w:t>
      </w:r>
    </w:p>
    <w:p w14:paraId="7E361DFF">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3.2.2 报送流程 </w:t>
      </w:r>
    </w:p>
    <w:p w14:paraId="53895E60">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（1）在发现地质险情或灾情时，监测人员、村委会、街道等应立即向区自然资源和规划、应急部门报告，区自然资源和规划、应急部门在获知地质灾害发生信息后，应立即向区管委和各自上级主管部门报告。 </w:t>
      </w:r>
    </w:p>
    <w:p w14:paraId="6AD831DD">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（2）地质灾害发生信息原则上应逐级上报，遇有中型以上或有人员伤亡的重要地质灾害时，监测人员、村委会、街道等可越级上报。 </w:t>
      </w:r>
    </w:p>
    <w:p w14:paraId="38FEC314">
      <w:pPr>
        <w:spacing w:line="55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 xml:space="preserve">4.应急响应 </w:t>
      </w:r>
    </w:p>
    <w:p w14:paraId="4FD135CB">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根据地质灾害危害程度和规模大小等因素，地质灾害险情和灾情分为特大型、大型、中型、小型四级。根据分级情况，突发地质灾害应急响应分为Ⅰ级、Ⅱ级、Ⅲ级和Ⅳ级。 </w:t>
      </w:r>
    </w:p>
    <w:p w14:paraId="03BFF693">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4.1 Ⅳ级响应 </w:t>
      </w:r>
    </w:p>
    <w:p w14:paraId="29FC6B50">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4.1.1 启动条件 </w:t>
      </w:r>
    </w:p>
    <w:p w14:paraId="2B954161">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受灾害威胁，需搬迁转移人数在100人以下，或潜在经济损失500万元以下的小型地质灾害险情。</w:t>
      </w:r>
    </w:p>
    <w:p w14:paraId="2595BAEF">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因灾死亡3人以下，或因灾造成直接经济损失100万元以下的小型地质灾害灾情。</w:t>
      </w:r>
    </w:p>
    <w:p w14:paraId="1F3A0C6C">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4.1.2 启动程序 </w:t>
      </w:r>
    </w:p>
    <w:p w14:paraId="5B40082B">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接到灾情险情信息后，区指挥部办公室召集相关部门专家紧急会商、分析评估，认定灾情险情达到启动标准后，报告区指挥部，指挥长启动</w:t>
      </w:r>
      <w:r>
        <w:rPr>
          <w:rFonts w:hint="eastAsia" w:ascii="楷体_GB2312" w:hAnsi="楷体_GB2312" w:eastAsia="楷体_GB2312" w:cs="楷体_GB2312"/>
          <w:kern w:val="0"/>
          <w:sz w:val="32"/>
          <w:szCs w:val="32"/>
        </w:rPr>
        <w:t>Ⅳ</w:t>
      </w:r>
      <w:r>
        <w:rPr>
          <w:rFonts w:hint="eastAsia" w:ascii="仿宋_GB2312" w:hAnsi="仿宋_GB2312" w:eastAsia="仿宋_GB2312" w:cs="仿宋_GB2312"/>
          <w:kern w:val="0"/>
          <w:sz w:val="32"/>
          <w:szCs w:val="32"/>
        </w:rPr>
        <w:t xml:space="preserve">级应急响应。 </w:t>
      </w:r>
    </w:p>
    <w:p w14:paraId="38BA0FE8">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4.1.3 响应措施 </w:t>
      </w:r>
    </w:p>
    <w:p w14:paraId="3B88C480">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（1）区指挥部指挥长主持会商，区指挥部成员单位及受灾街道参加，分析灾区形势，安排部署应急救援救灾工作。 </w:t>
      </w:r>
    </w:p>
    <w:p w14:paraId="5D09499A">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（2）立即向市委、市政府及市应急局、市自然资源和规划局报告灾情险情。</w:t>
      </w:r>
    </w:p>
    <w:p w14:paraId="65850B55">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（3）派出区指挥部指挥长或副指挥长带队，有关部门参加的工作组赴灾区，成立市、区联合现场指挥部，指导、协调应急救援救灾工作。 </w:t>
      </w:r>
    </w:p>
    <w:p w14:paraId="2B8528B1">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（4）加强值班力量，监测灾害发展趋势，与灾区保持密切联系，及时掌握灾情和救援工作动态，按照有关规定统一发布灾情，及时发布灾区需求。 </w:t>
      </w:r>
    </w:p>
    <w:p w14:paraId="76726B84">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5）统筹组织全区应急救援力量、各部门专家队伍等，指导灾区开展抢险救援、紧急转移、灾情监测、医疗救护、转移安置、环境监测、卫生防疫等工作。根据险情灾情需要，协调部队、武警和民兵支援灾区开展应急处置工作。 </w:t>
      </w:r>
    </w:p>
    <w:p w14:paraId="103D4171">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（6）紧急向灾区调拨救援装备、生活救助物资，协调公安、 交通部门做好运输保障。及时向烟台市汇报受灾情况，并申请给予生活补助资金支持。指导监督基层救灾应急措施的落实和救灾款物的发放。</w:t>
      </w:r>
    </w:p>
    <w:p w14:paraId="6821BA34">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（7）区指挥部成员单位每日向区指挥部办公室报告工作开展情况，重要情况及时报告。 </w:t>
      </w:r>
    </w:p>
    <w:p w14:paraId="29B7C941">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（8）有关情况及时上报区工委、管委、市应急局、市自然资源和规划局，通报区指挥部成员单位，根据领导批示作出进一步工作部署。</w:t>
      </w:r>
    </w:p>
    <w:p w14:paraId="455B0229">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（9）视情请求上级支援应急处置工作。  </w:t>
      </w:r>
    </w:p>
    <w:p w14:paraId="0872EC29">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4.2 Ⅲ级及以上响应 </w:t>
      </w:r>
    </w:p>
    <w:p w14:paraId="74DBA2F8">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当发生中型以上地质灾害时，由市级以上人民政府成立指挥部，负责灾害的应急处置，同时对应启动Ⅲ级以上应急响应。区指挥部配合上级指挥部做好灾害的应急处置工作。</w:t>
      </w:r>
    </w:p>
    <w:p w14:paraId="796579BF">
      <w:pPr>
        <w:spacing w:line="55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 xml:space="preserve">5.保障措施 </w:t>
      </w:r>
    </w:p>
    <w:p w14:paraId="5B1EBF9B">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5.1 应急救援队伍 </w:t>
      </w:r>
    </w:p>
    <w:p w14:paraId="36ABDCB7">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区有关部门、解放军、武警部队加强地质灾害紧急救援、武警部队、综合性消防救援、医疗卫生救援等专业抢险救灾队伍建设，配备必要的物资装备，经常性地开展协同演练，提高共同应对地质灾害的能力。 </w:t>
      </w:r>
    </w:p>
    <w:p w14:paraId="7B40996E">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城市供水、供电、供气等生命线工程设施产权单位、管理或 者生产经营单位加强抢险抢修队伍建设。 </w:t>
      </w:r>
    </w:p>
    <w:p w14:paraId="7DAB373B">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街道办事处组织动员社会力量，建立基层应急救援队伍，加强日常管理和培训。区有关部门发挥共青团和红十字会作用，依托社会团体、企事业单位及社区建立应急救援志愿者队伍，形成广泛参与应急救援的社会动员机制。 </w:t>
      </w:r>
    </w:p>
    <w:p w14:paraId="5163F541">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5.2 指挥平台 </w:t>
      </w:r>
    </w:p>
    <w:p w14:paraId="6178423D">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应急部门协同自然资源和规划部门综合利用自动监测、通信、计算机、遥感等技术，建立健全应急指挥信息系统。形成上下贯通、反应灵敏、功能完善、统一高效的应急指挥平台。实现险情灾情快速响应、趋势判断快速反馈、应急指挥科学决策、灾害损失快速评估。保障区管委在应急救援中进行合理调度、科学决策和准确指挥。 </w:t>
      </w:r>
    </w:p>
    <w:p w14:paraId="4204E1A9">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5.3 应急技术支撑 </w:t>
      </w:r>
    </w:p>
    <w:p w14:paraId="7A279CE2">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自然资源和规划部门加强地质灾害应急调查专业队伍建设，建立地质灾害应急技术支撑体系，明确技术支撑单位，推进新技术、新方法在应急调查监测预警中的应用，保障突发地质灾害险情调查监测和趋势判断等工作的开展，为地质灾害应急救援和处置工作提供技术支撑。 </w:t>
      </w:r>
    </w:p>
    <w:p w14:paraId="0E66DC0A">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5.4 资金与物资装备 </w:t>
      </w:r>
    </w:p>
    <w:p w14:paraId="3B0ECD97">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有关部门建立健全应急物资储备、生产、调拨及紧急配送体系，保障地质灾害应急工作所需生活救助物资、应急救援、监测预警、现场调查、人员防护、应急通讯、通信指挥、后勤保障、工程抢险装备、医疗器械和药品等的生产供应。区有关部门根据有关法律法规，做好应急物资储备工作，并通过与有关生产经营企业签订协议等方式，保障应急物资、生活必需品和应急处置装备的生产、供给。 </w:t>
      </w:r>
    </w:p>
    <w:p w14:paraId="62712F1D">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区财政部门保障应急救援工作所需经费。 </w:t>
      </w:r>
    </w:p>
    <w:p w14:paraId="6EA26BFA">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5.5 应急避难场所 </w:t>
      </w:r>
    </w:p>
    <w:p w14:paraId="0FC80808">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有关部门，要新建必要的应急避难场所，合理利用符合条件的广场、绿地、公园、学校、体育场馆等公共设施，因地制宜设立地质灾害应急避难场所，统筹安排所必需的交通、通信、供水、供电、排污、环保、物资储备等设备设施。 </w:t>
      </w:r>
    </w:p>
    <w:p w14:paraId="2577B1C2">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5.6 通信电力 </w:t>
      </w:r>
    </w:p>
    <w:p w14:paraId="1B6D0E8E">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区工信部门建立健全应急通信保障系统，确保应急救援工作的通信畅通。在基础通信网络等基础设施遭到严重损毁且短时间难以修复的极端情况下，确保至少有一种临时通信手段有效、畅通。 </w:t>
      </w:r>
    </w:p>
    <w:p w14:paraId="74475122">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同时，区文旅部门要督导播出、传输机构完善广播电视传输覆盖网、建立完善有线和无线相结合、基础广播电视传输覆盖设施网与机动保障相结合的国家应急广播体系，在广播电视传输覆盖设施遭到严重损毁且短时间难以修复的极端情况下，确保至少一种广播电视传输覆盖手段有效、畅通。 </w:t>
      </w:r>
    </w:p>
    <w:p w14:paraId="2443674D">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区发改部门和区供电所指导、协调电力企业加强电力基础设施、电力调度系统建设，保障现场应急装备的临时供电需求和灾区电力供应。 </w:t>
      </w:r>
    </w:p>
    <w:p w14:paraId="276C21A5">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5.7 交通运输 </w:t>
      </w:r>
    </w:p>
    <w:p w14:paraId="048F8884">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区交警部门、区交通运输部门等建立健全公路紧急运输保障体系，加强统一指挥调度，采取必要的交通管制措施，建立应急救援“绿色通道”机制。 </w:t>
      </w:r>
    </w:p>
    <w:p w14:paraId="499B5A21">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5.8 宣传培训与演练 </w:t>
      </w:r>
    </w:p>
    <w:p w14:paraId="17732CDE">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宣传、教育、广播电视等主管部门密切配合，开展防灾减灾科学、法律知识普及和宣传教育，动员社会公众积极参与防灾减灾活动，提高全社会防灾避险和自救互救能力。学校把防灾减灾知识教育纳入教学内容，加强防灾减灾专业人才培养，区教育分局、区规划国土建设部等主管部门加强指导和监督。</w:t>
      </w:r>
    </w:p>
    <w:p w14:paraId="0709FBB7">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建立健全地质灾害应急管理培训制度，结合本区域实际，组织应急管理人员、救援人员、志愿者等进行应急知识和技能培训。</w:t>
      </w:r>
    </w:p>
    <w:p w14:paraId="7A3C5509">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区有关部门要制定演练计划，组织开展地质灾害应急演练。 </w:t>
      </w:r>
    </w:p>
    <w:p w14:paraId="76305741">
      <w:pPr>
        <w:spacing w:line="55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 xml:space="preserve">6.预案管理 </w:t>
      </w:r>
    </w:p>
    <w:p w14:paraId="68F72B45">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预案实施后，根据实际情况，适时组织评估和修订。</w:t>
      </w:r>
    </w:p>
    <w:p w14:paraId="7CC1B62F">
      <w:pPr>
        <w:spacing w:line="55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 xml:space="preserve">7.责任与奖励 </w:t>
      </w:r>
    </w:p>
    <w:p w14:paraId="4CE893F4">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7.1 奖 励 </w:t>
      </w:r>
    </w:p>
    <w:p w14:paraId="5662D847">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对在地质灾害应急工作中贡献突出需表彰奖励的单位和个 人，按照相关规定给予表彰和奖励，对在应急救援工作中伤亡的 人员按规定给予抚恤。 </w:t>
      </w:r>
    </w:p>
    <w:p w14:paraId="64396CBA">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7.2  责任追究 </w:t>
      </w:r>
    </w:p>
    <w:p w14:paraId="6B2BE3A1">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对引发地质灾害的单位和个人的责任追究，按照《地质灾害防治条例》相关规定处理；对在地质灾害应急处置中失职、渎职造成损失的有关人员，按国家有关法律、法规追究责任。 </w:t>
      </w:r>
    </w:p>
    <w:p w14:paraId="322ACE7B">
      <w:pPr>
        <w:spacing w:line="55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 xml:space="preserve">8.附 则 </w:t>
      </w:r>
    </w:p>
    <w:p w14:paraId="3685BBE4">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8.1 名词术语解释 </w:t>
      </w:r>
    </w:p>
    <w:p w14:paraId="353B76B7">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重大地质灾害：指特大型（Ⅰ级）、大型（Ⅱ级）、中型（Ⅲ级）、小型（</w:t>
      </w:r>
      <w:r>
        <w:rPr>
          <w:rFonts w:hint="eastAsia" w:ascii="楷体" w:hAnsi="楷体" w:eastAsia="楷体" w:cs="楷体"/>
          <w:kern w:val="0"/>
          <w:sz w:val="32"/>
          <w:szCs w:val="32"/>
        </w:rPr>
        <w:t>Ⅳ</w:t>
      </w:r>
      <w:r>
        <w:rPr>
          <w:rFonts w:hint="eastAsia" w:ascii="仿宋_GB2312" w:hAnsi="仿宋_GB2312" w:eastAsia="仿宋_GB2312" w:cs="仿宋_GB2312"/>
          <w:kern w:val="0"/>
          <w:sz w:val="32"/>
          <w:szCs w:val="32"/>
        </w:rPr>
        <w:t xml:space="preserve">级）地质灾害。 </w:t>
      </w:r>
    </w:p>
    <w:p w14:paraId="637CBD8F">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地质灾害危险区：指已经出现地质灾害迹象，明显可能发生地质灾害且可能造成人员伤亡和经济损失的区域或地段。</w:t>
      </w:r>
    </w:p>
    <w:p w14:paraId="422E4C34">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次生灾害：指由地质灾害造成的工程结构、设施和自然环境破坏而引发的灾害，如水灾、爆炸及剧毒和强腐蚀性物质</w:t>
      </w:r>
      <w:r>
        <w:rPr>
          <w:rFonts w:hint="eastAsia" w:ascii="仿宋_GB2312" w:hAnsi="仿宋_GB2312" w:eastAsia="仿宋_GB2312" w:cs="仿宋_GB2312"/>
          <w:kern w:val="0"/>
          <w:sz w:val="32"/>
          <w:szCs w:val="32"/>
          <w:lang w:eastAsia="zh-CN"/>
        </w:rPr>
        <w:t>泄漏</w:t>
      </w:r>
      <w:r>
        <w:rPr>
          <w:rFonts w:hint="eastAsia" w:ascii="仿宋_GB2312" w:hAnsi="仿宋_GB2312" w:eastAsia="仿宋_GB2312" w:cs="仿宋_GB2312"/>
          <w:kern w:val="0"/>
          <w:sz w:val="32"/>
          <w:szCs w:val="32"/>
        </w:rPr>
        <w:t>等。</w:t>
      </w:r>
    </w:p>
    <w:p w14:paraId="70AB66F6">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生命线设施：指供水、供电、粮油、排水、燃料、热力系统及通信、交通等城市公用设施。 </w:t>
      </w:r>
    </w:p>
    <w:p w14:paraId="0783F574">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直接经济损失：指地质灾害及次生灾害造成的物质破坏，包括建筑物和其他工程结构、设施、设备、物品、财物等破坏而引起的经济损失，以重新修复所需费用计算。不包括非实物财产，如货币、有价证券等损失。 </w:t>
      </w:r>
    </w:p>
    <w:p w14:paraId="4FB0F6B8">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本预案有关数量的表述中，“以上”含本数，“以下”不含本数。 </w:t>
      </w:r>
    </w:p>
    <w:p w14:paraId="0AD2C3CD">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8.2  预案解释部门 </w:t>
      </w:r>
    </w:p>
    <w:p w14:paraId="0A301B8F">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本预案由区应急分局和区规划国土建设部负责各自相关解释。 </w:t>
      </w:r>
    </w:p>
    <w:p w14:paraId="7233BB04">
      <w:pPr>
        <w:spacing w:line="55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8.3  实施时间 </w:t>
      </w:r>
    </w:p>
    <w:p w14:paraId="76B15469">
      <w:pPr>
        <w:spacing w:line="55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本预案自印发之日起实施。</w:t>
      </w:r>
    </w:p>
    <w:p w14:paraId="4F62946A">
      <w:pPr>
        <w:spacing w:line="560" w:lineRule="exact"/>
      </w:pPr>
    </w:p>
    <w:p w14:paraId="3F64CDC0">
      <w:pPr>
        <w:spacing w:line="560" w:lineRule="exact"/>
      </w:pPr>
    </w:p>
    <w:p w14:paraId="7DC2778A">
      <w:pPr>
        <w:spacing w:line="560" w:lineRule="exact"/>
      </w:pPr>
    </w:p>
    <w:p w14:paraId="652EC971">
      <w:pPr>
        <w:spacing w:line="560" w:lineRule="exact"/>
      </w:pPr>
    </w:p>
    <w:p w14:paraId="4E4B86E3">
      <w:pPr>
        <w:spacing w:line="560" w:lineRule="exact"/>
      </w:pPr>
    </w:p>
    <w:p w14:paraId="4F591EBB">
      <w:pPr>
        <w:spacing w:line="560" w:lineRule="exact"/>
      </w:pPr>
    </w:p>
    <w:p w14:paraId="0106DDDA">
      <w:pPr>
        <w:spacing w:line="560" w:lineRule="exact"/>
      </w:pPr>
    </w:p>
    <w:p w14:paraId="3A02204E">
      <w:pPr>
        <w:spacing w:line="560" w:lineRule="exact"/>
      </w:pPr>
    </w:p>
    <w:p w14:paraId="73BC9846">
      <w:pPr>
        <w:spacing w:line="560" w:lineRule="exact"/>
      </w:pPr>
    </w:p>
    <w:p w14:paraId="78EBB4EC">
      <w:pPr>
        <w:spacing w:line="560" w:lineRule="exact"/>
      </w:pPr>
    </w:p>
    <w:p w14:paraId="14093F25">
      <w:pPr>
        <w:spacing w:line="560" w:lineRule="exact"/>
      </w:pPr>
    </w:p>
    <w:p w14:paraId="1CA6BD20">
      <w:pPr>
        <w:spacing w:beforeLines="100" w:afterLines="10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烟台高新区海洋灾害</w:t>
      </w:r>
      <w:r>
        <w:rPr>
          <w:rFonts w:hint="eastAsia" w:ascii="方正小标宋简体" w:hAnsi="Helvetica" w:eastAsia="方正小标宋简体" w:cs="Helvetica"/>
          <w:sz w:val="44"/>
          <w:szCs w:val="44"/>
        </w:rPr>
        <w:t>专项</w:t>
      </w:r>
      <w:r>
        <w:rPr>
          <w:rFonts w:hint="eastAsia" w:ascii="方正小标宋简体" w:hAnsi="方正小标宋简体" w:eastAsia="方正小标宋简体" w:cs="方正小标宋简体"/>
          <w:kern w:val="0"/>
          <w:sz w:val="44"/>
          <w:szCs w:val="44"/>
        </w:rPr>
        <w:t>应急预案</w:t>
      </w:r>
    </w:p>
    <w:p w14:paraId="40688D6B">
      <w:pPr>
        <w:widowControl/>
        <w:spacing w:line="560" w:lineRule="exact"/>
        <w:ind w:firstLine="624" w:firstLineChars="200"/>
        <w:rPr>
          <w:rFonts w:ascii="黑体" w:hAnsi="黑体" w:eastAsia="黑体" w:cs="黑体"/>
          <w:kern w:val="0"/>
          <w:sz w:val="32"/>
          <w:szCs w:val="32"/>
        </w:rPr>
      </w:pPr>
      <w:r>
        <w:rPr>
          <w:rFonts w:hint="eastAsia" w:ascii="黑体" w:hAnsi="黑体" w:eastAsia="黑体" w:cs="黑体"/>
          <w:kern w:val="0"/>
          <w:sz w:val="32"/>
          <w:szCs w:val="32"/>
        </w:rPr>
        <w:t xml:space="preserve">1.总 则 </w:t>
      </w:r>
    </w:p>
    <w:p w14:paraId="5588FD79">
      <w:pPr>
        <w:widowControl/>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1.1 编制目的 </w:t>
      </w:r>
    </w:p>
    <w:p w14:paraId="0E4A2D4D">
      <w:pPr>
        <w:widowControl/>
        <w:spacing w:line="560" w:lineRule="exact"/>
        <w:ind w:firstLine="624" w:firstLineChars="200"/>
        <w:rPr>
          <w:kern w:val="0"/>
          <w:sz w:val="32"/>
          <w:szCs w:val="32"/>
        </w:rPr>
      </w:pPr>
      <w:r>
        <w:rPr>
          <w:rFonts w:ascii="仿宋_GB2312" w:hAnsi="宋体" w:eastAsia="仿宋_GB2312" w:cs="仿宋_GB2312"/>
          <w:kern w:val="0"/>
          <w:sz w:val="32"/>
          <w:szCs w:val="32"/>
        </w:rPr>
        <w:t>提高全</w:t>
      </w:r>
      <w:r>
        <w:rPr>
          <w:rFonts w:hint="eastAsia" w:ascii="仿宋_GB2312" w:hAnsi="宋体" w:eastAsia="仿宋_GB2312" w:cs="仿宋_GB2312"/>
          <w:kern w:val="0"/>
          <w:sz w:val="32"/>
          <w:szCs w:val="32"/>
        </w:rPr>
        <w:t>区</w:t>
      </w:r>
      <w:r>
        <w:rPr>
          <w:rFonts w:ascii="仿宋_GB2312" w:hAnsi="宋体" w:eastAsia="仿宋_GB2312" w:cs="仿宋_GB2312"/>
          <w:kern w:val="0"/>
          <w:sz w:val="32"/>
          <w:szCs w:val="32"/>
        </w:rPr>
        <w:t>海洋灾害风险防范与应急处置能力，建立健全风暴</w:t>
      </w:r>
      <w:r>
        <w:rPr>
          <w:rFonts w:hint="eastAsia" w:ascii="仿宋_GB2312" w:hAnsi="宋体" w:eastAsia="仿宋_GB2312" w:cs="仿宋_GB2312"/>
          <w:kern w:val="0"/>
          <w:sz w:val="32"/>
          <w:szCs w:val="32"/>
        </w:rPr>
        <w:t>潮、海浪、海啸、海冰、赤潮、绿潮等海洋灾害应急救援体系和运行机制，最大程度地保障人民群众生命和财产安全，维护社会稳定。</w:t>
      </w:r>
    </w:p>
    <w:p w14:paraId="25356C75">
      <w:pPr>
        <w:widowControl/>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1.2 编制依据 </w:t>
      </w:r>
    </w:p>
    <w:p w14:paraId="3FE4F59A">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依据《中华人民共和国突发事件应对法》《海洋观测预报管理条例》《山东省突发事件应对条例》《山东省突发事件总体应急预案》和《山东省自然灾害救助应急预案》《烟台市海洋灾害应急救援预案》《烟台高新技术产业开发区突发事件总体应急预案》，结合我区实际制定本预案。</w:t>
      </w:r>
    </w:p>
    <w:p w14:paraId="681A45D4">
      <w:pPr>
        <w:widowControl/>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1.3 适用范围 </w:t>
      </w:r>
    </w:p>
    <w:p w14:paraId="6DD668AD">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本预案适用于</w:t>
      </w:r>
      <w:r>
        <w:rPr>
          <w:rFonts w:hint="eastAsia" w:ascii="仿宋_GB2312" w:eastAsia="仿宋_GB2312" w:cs="仿宋_GB2312"/>
          <w:kern w:val="0"/>
          <w:sz w:val="32"/>
          <w:szCs w:val="32"/>
        </w:rPr>
        <w:t>烟台高新区管辖海域</w:t>
      </w:r>
      <w:r>
        <w:rPr>
          <w:rFonts w:hint="eastAsia" w:ascii="仿宋_GB2312" w:hAnsi="宋体" w:eastAsia="仿宋_GB2312" w:cs="仿宋_GB2312"/>
          <w:kern w:val="0"/>
          <w:sz w:val="32"/>
          <w:szCs w:val="32"/>
        </w:rPr>
        <w:t xml:space="preserve">内风暴潮、海浪、海啸、海冰、赤潮、绿潮等海洋灾害事件的应急救援行动。 </w:t>
      </w:r>
    </w:p>
    <w:p w14:paraId="71E7A260">
      <w:pPr>
        <w:widowControl/>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1.4 工作原则 </w:t>
      </w:r>
    </w:p>
    <w:p w14:paraId="37B14FFD">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以人为本、减少损失；统一领导、协同联动；分级负责、属地管理；科学务实、快速高效。 </w:t>
      </w:r>
    </w:p>
    <w:p w14:paraId="683D9291">
      <w:pPr>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1.5 海洋灾害分级 </w:t>
      </w:r>
    </w:p>
    <w:p w14:paraId="6971715A">
      <w:pPr>
        <w:spacing w:line="560" w:lineRule="exact"/>
        <w:ind w:firstLine="624"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按照灾害的危害程度、造成损失、可控性和影响范围等因素，海洋灾害分为特别重大、重大、较大和一般四级（详见附则）。</w:t>
      </w:r>
    </w:p>
    <w:p w14:paraId="008218E2">
      <w:pPr>
        <w:spacing w:line="560" w:lineRule="exact"/>
        <w:ind w:firstLine="624" w:firstLineChars="200"/>
        <w:rPr>
          <w:kern w:val="0"/>
          <w:sz w:val="32"/>
          <w:szCs w:val="32"/>
        </w:rPr>
      </w:pPr>
      <w:r>
        <w:rPr>
          <w:rFonts w:hint="eastAsia" w:ascii="黑体" w:hAnsi="宋体" w:eastAsia="黑体" w:cs="黑体"/>
          <w:kern w:val="0"/>
          <w:sz w:val="32"/>
          <w:szCs w:val="32"/>
        </w:rPr>
        <w:t xml:space="preserve">2.组织体系 </w:t>
      </w:r>
    </w:p>
    <w:p w14:paraId="42925DD8">
      <w:pPr>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2.1 区指挥部组成 </w:t>
      </w:r>
    </w:p>
    <w:p w14:paraId="11F81E82">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发生海洋灾害后，区管委成立区海洋灾害应急救援指挥部（以下简称区指挥部），负责一般海洋灾害应急指挥和处置工作。其组成如下： </w:t>
      </w:r>
    </w:p>
    <w:p w14:paraId="6D62C63D">
      <w:pPr>
        <w:widowControl/>
        <w:spacing w:line="560" w:lineRule="exact"/>
        <w:ind w:firstLine="624" w:firstLineChars="200"/>
        <w:rPr>
          <w:kern w:val="0"/>
          <w:sz w:val="32"/>
          <w:szCs w:val="32"/>
        </w:rPr>
      </w:pPr>
      <w:r>
        <w:rPr>
          <w:rFonts w:hint="eastAsia" w:ascii="黑体" w:hAnsi="宋体" w:eastAsia="黑体" w:cs="黑体"/>
          <w:kern w:val="0"/>
          <w:sz w:val="32"/>
          <w:szCs w:val="32"/>
        </w:rPr>
        <w:t>指 挥 长：</w:t>
      </w:r>
      <w:r>
        <w:rPr>
          <w:rFonts w:hint="eastAsia" w:ascii="仿宋_GB2312" w:hAnsi="宋体" w:eastAsia="仿宋_GB2312" w:cs="仿宋_GB2312"/>
          <w:kern w:val="0"/>
          <w:sz w:val="32"/>
          <w:szCs w:val="32"/>
        </w:rPr>
        <w:t>管委分管应急管理工作的副主任</w:t>
      </w:r>
    </w:p>
    <w:p w14:paraId="267FB449">
      <w:pPr>
        <w:widowControl/>
        <w:spacing w:line="560" w:lineRule="exact"/>
        <w:ind w:firstLine="624" w:firstLineChars="200"/>
        <w:rPr>
          <w:kern w:val="0"/>
          <w:sz w:val="32"/>
          <w:szCs w:val="32"/>
        </w:rPr>
      </w:pPr>
      <w:r>
        <w:rPr>
          <w:rFonts w:hint="eastAsia" w:ascii="黑体" w:hAnsi="宋体" w:eastAsia="黑体" w:cs="黑体"/>
          <w:kern w:val="0"/>
          <w:sz w:val="32"/>
          <w:szCs w:val="32"/>
        </w:rPr>
        <w:t>成    员：</w:t>
      </w:r>
      <w:r>
        <w:rPr>
          <w:rFonts w:hint="eastAsia" w:ascii="仿宋_GB2312" w:hAnsi="宋体" w:eastAsia="仿宋_GB2312" w:cs="仿宋_GB2312"/>
          <w:kern w:val="0"/>
          <w:sz w:val="32"/>
          <w:szCs w:val="32"/>
        </w:rPr>
        <w:t>马山街道办事处、</w:t>
      </w:r>
      <w:r>
        <w:rPr>
          <w:rFonts w:hint="eastAsia" w:ascii="仿宋_GB2312" w:hAnsi="仿宋_GB2312" w:eastAsia="仿宋_GB2312" w:cs="仿宋_GB2312"/>
          <w:kern w:val="0"/>
          <w:sz w:val="32"/>
          <w:szCs w:val="32"/>
        </w:rPr>
        <w:t>社会事业管理服务中心</w:t>
      </w:r>
      <w:r>
        <w:rPr>
          <w:rFonts w:hint="eastAsia" w:ascii="仿宋_GB2312" w:hAnsi="宋体" w:eastAsia="仿宋_GB2312" w:cs="仿宋_GB2312"/>
          <w:kern w:val="0"/>
          <w:sz w:val="32"/>
          <w:szCs w:val="32"/>
        </w:rPr>
        <w:t xml:space="preserve">、综合管理部、招商部、经济发展部、财政金融部、规划国土建设部、综合行政执法局、卫生健康管理办公室、生态环境分局、教育分局、市场监管分局、应急分局、公安分局、消防救援大队、区供电所等部门和单位的负责同志。 </w:t>
      </w:r>
    </w:p>
    <w:p w14:paraId="08B7D1C3">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区指挥部主要职责：贯彻执行市应急局和区工委、管委决策部署；统一领导、指挥和协调全区海洋灾害应急处置工作；部署和组织有关部门和有关地区对受灾地区进行紧急援救。 </w:t>
      </w:r>
    </w:p>
    <w:p w14:paraId="7D020B1B">
      <w:pPr>
        <w:widowControl/>
        <w:spacing w:line="560" w:lineRule="exact"/>
        <w:ind w:firstLine="624"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区指挥部办公室设在区应急分局。办公室主任由区应急分局局长担任，办公室副主任由区应急分局分管副局长、经济发展部分管副部长、区消防救援大队大队长担任。</w:t>
      </w:r>
    </w:p>
    <w:p w14:paraId="49B674F6">
      <w:pPr>
        <w:spacing w:line="560" w:lineRule="exact"/>
        <w:ind w:firstLine="624" w:firstLineChars="200"/>
        <w:rPr>
          <w:kern w:val="0"/>
          <w:sz w:val="32"/>
          <w:szCs w:val="32"/>
        </w:rPr>
      </w:pPr>
      <w:r>
        <w:rPr>
          <w:rFonts w:hint="eastAsia" w:ascii="仿宋_GB2312" w:hAnsi="宋体" w:eastAsia="仿宋_GB2312" w:cs="仿宋_GB2312"/>
          <w:kern w:val="0"/>
          <w:sz w:val="32"/>
          <w:szCs w:val="32"/>
        </w:rPr>
        <w:t>办公室主要职责：贯彻区指挥部的指示和部署，协调区海洋灾害应急救援指挥部的应急救援工作，并督促落实；组织有关部门和专家对海洋灾害险情灾情发展趋势进行分析，提出启动应急响应建议意见；汇总、分析海洋灾害险情灾情信息，上报险情灾情和应急处置与救援进展情况；组织应急救援的信息、新闻发布；起草市指挥部文件；承担区指挥部日常事务和交办的其他工作。</w:t>
      </w:r>
    </w:p>
    <w:p w14:paraId="5988EAFC">
      <w:pPr>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2.2 各工作组职责 </w:t>
      </w:r>
    </w:p>
    <w:p w14:paraId="60A11237">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综合协调组：由区应急分局牵头，由经济发展部、灾区街道组成。承担组织协调工作；督促落实区指挥部议定事项；协调各工作组工作；调度汇总各工作组工作情况、灾害发生地抢险救援进展情况，报送灾情信息；负责文件传阅、归档及会务筹备、文稿起草工作；协调做好部、省、市、区领导赴灾区视察的各项准备工作。负责对外协调、信息报送、新闻宣传、舆论监督；发布险情、灾情等相关信息；适时召开新闻发布会，有效引导社会舆论，做好舆情应对。 </w:t>
      </w:r>
    </w:p>
    <w:p w14:paraId="60327284">
      <w:pPr>
        <w:spacing w:line="560" w:lineRule="exact"/>
        <w:ind w:firstLine="624" w:firstLineChars="200"/>
        <w:rPr>
          <w:kern w:val="0"/>
          <w:sz w:val="32"/>
          <w:szCs w:val="32"/>
        </w:rPr>
      </w:pPr>
      <w:r>
        <w:rPr>
          <w:rFonts w:hint="eastAsia" w:ascii="仿宋_GB2312" w:hAnsi="宋体" w:eastAsia="仿宋_GB2312" w:cs="仿宋_GB2312"/>
          <w:kern w:val="0"/>
          <w:sz w:val="32"/>
          <w:szCs w:val="32"/>
        </w:rPr>
        <w:t>应急救援组：由区应急分局、经济发展部牵头，由生态环境分局、规划国土建设部、综合行政执法局、卫生健康管理办公室、</w:t>
      </w:r>
      <w:r>
        <w:rPr>
          <w:rFonts w:hint="eastAsia" w:ascii="仿宋_GB2312" w:hAnsi="仿宋_GB2312" w:eastAsia="仿宋_GB2312" w:cs="仿宋_GB2312"/>
          <w:kern w:val="0"/>
          <w:sz w:val="32"/>
          <w:szCs w:val="32"/>
        </w:rPr>
        <w:t>社会事业管理服务中心、</w:t>
      </w:r>
      <w:r>
        <w:rPr>
          <w:rFonts w:hint="eastAsia" w:ascii="仿宋_GB2312" w:hAnsi="宋体" w:eastAsia="仿宋_GB2312" w:cs="仿宋_GB2312"/>
          <w:kern w:val="0"/>
          <w:sz w:val="32"/>
          <w:szCs w:val="32"/>
        </w:rPr>
        <w:t xml:space="preserve">区消防救援大队、各类专业救援队伍组成，必要时申请烟台警备区、武警烟台支队协助。负责组织协调各类抢险救援队伍、救援装备开展抢险救援，搜救被困群众；落实应急处置和应急救援相关措施；协调救援队伍之间衔接、配合，合理划分责任区边界；紧急转移和安置受海洋灾害隐患威胁的群众。负责灾害性质、级别、危害程度等认定，监测、分析、研判灾害动态趋势，组织专家开展险情排查，对海洋灾害引发的环境污染问题进行应急监测，为海洋灾害处置提供决策依据和建议，协助开展应急救援。 </w:t>
      </w:r>
    </w:p>
    <w:p w14:paraId="5C44FCE2">
      <w:pPr>
        <w:spacing w:line="560" w:lineRule="exact"/>
        <w:ind w:firstLine="624" w:firstLineChars="200"/>
        <w:rPr>
          <w:kern w:val="0"/>
          <w:sz w:val="32"/>
          <w:szCs w:val="32"/>
        </w:rPr>
      </w:pPr>
      <w:r>
        <w:rPr>
          <w:rFonts w:hint="eastAsia" w:ascii="仿宋_GB2312" w:hAnsi="宋体" w:eastAsia="仿宋_GB2312" w:cs="仿宋_GB2312"/>
          <w:kern w:val="0"/>
          <w:sz w:val="32"/>
          <w:szCs w:val="32"/>
        </w:rPr>
        <w:t>医疗卫生组：由卫生健康管理办公室牵头，</w:t>
      </w:r>
      <w:r>
        <w:rPr>
          <w:rFonts w:hint="eastAsia" w:ascii="仿宋_GB2312" w:hAnsi="仿宋_GB2312" w:eastAsia="仿宋_GB2312" w:cs="仿宋_GB2312"/>
          <w:kern w:val="0"/>
          <w:sz w:val="32"/>
          <w:szCs w:val="32"/>
        </w:rPr>
        <w:t>社会事业管理服务中心</w:t>
      </w:r>
      <w:r>
        <w:rPr>
          <w:rFonts w:hint="eastAsia" w:ascii="仿宋_GB2312" w:hAnsi="宋体" w:eastAsia="仿宋_GB2312" w:cs="仿宋_GB2312"/>
          <w:kern w:val="0"/>
          <w:sz w:val="32"/>
          <w:szCs w:val="32"/>
        </w:rPr>
        <w:t xml:space="preserve">组成。负责组织医疗救援队伍救治伤员；监测灾区饮用水源水质，组织指导做好灾后卫生防疫工作，开展灾后心理援助。 </w:t>
      </w:r>
    </w:p>
    <w:p w14:paraId="31B41638">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社会治安组：由公安分局牵头，交警五大队，灾区派出所组成。负责加强灾区社会治安管理，依法打击涉灾违法犯罪活动，妥善处置群体性事件；维护灾区道路交通秩序，保障救灾车辆畅通。 </w:t>
      </w:r>
    </w:p>
    <w:p w14:paraId="4354E2B7">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后勤保障组：由应急分局牵头，招商部、经济发展部、财政金融部、规划国土建设部、生态环境分局、教育分局、综合行政执法局、</w:t>
      </w:r>
      <w:r>
        <w:rPr>
          <w:rFonts w:hint="eastAsia" w:ascii="仿宋_GB2312" w:hAnsi="仿宋_GB2312" w:eastAsia="仿宋_GB2312" w:cs="仿宋_GB2312"/>
          <w:kern w:val="0"/>
          <w:sz w:val="32"/>
          <w:szCs w:val="32"/>
        </w:rPr>
        <w:t>社会事业管理服务中心、</w:t>
      </w:r>
      <w:r>
        <w:rPr>
          <w:rFonts w:hint="eastAsia" w:ascii="仿宋_GB2312" w:hAnsi="宋体" w:eastAsia="仿宋_GB2312" w:cs="仿宋_GB2312"/>
          <w:kern w:val="0"/>
          <w:sz w:val="32"/>
          <w:szCs w:val="32"/>
        </w:rPr>
        <w:t>区供电所及灾区街道组成。负责协调交通、电力等设施的抢险修复工作；负责救援人员、受灾困难群众的基本生活物资保障，开放应急避难场所，安置受灾群众；组织协调救灾物资的调拨和紧急配送；协调救灾资金、管理分配救灾款物并监督使用。积极创造条件，组织灾区学校复课。</w:t>
      </w:r>
    </w:p>
    <w:p w14:paraId="20914B89">
      <w:pPr>
        <w:spacing w:line="560" w:lineRule="exact"/>
        <w:ind w:firstLine="624" w:firstLineChars="200"/>
        <w:rPr>
          <w:kern w:val="0"/>
          <w:sz w:val="32"/>
          <w:szCs w:val="32"/>
        </w:rPr>
      </w:pPr>
      <w:r>
        <w:rPr>
          <w:rFonts w:hint="eastAsia" w:ascii="仿宋_GB2312" w:hAnsi="宋体" w:eastAsia="仿宋_GB2312" w:cs="仿宋_GB2312"/>
          <w:kern w:val="0"/>
          <w:sz w:val="32"/>
          <w:szCs w:val="32"/>
        </w:rPr>
        <w:t>灾情评估组：由应急分局牵头，、规划国土建设部、综合行政执法局、</w:t>
      </w:r>
      <w:r>
        <w:rPr>
          <w:rFonts w:hint="eastAsia" w:ascii="仿宋_GB2312" w:hAnsi="仿宋_GB2312" w:eastAsia="仿宋_GB2312" w:cs="仿宋_GB2312"/>
          <w:kern w:val="0"/>
          <w:sz w:val="32"/>
          <w:szCs w:val="32"/>
        </w:rPr>
        <w:t>社会事业管理服务中心</w:t>
      </w:r>
      <w:r>
        <w:rPr>
          <w:rFonts w:hint="eastAsia" w:ascii="仿宋_GB2312" w:hAnsi="宋体" w:eastAsia="仿宋_GB2312" w:cs="仿宋_GB2312"/>
          <w:kern w:val="0"/>
          <w:sz w:val="32"/>
          <w:szCs w:val="32"/>
        </w:rPr>
        <w:t xml:space="preserve">和灾区街道组成。负责灾情的调查核查、损失评估。调查核查人员伤亡和财产损失情况，评估灾害对房屋、道路、桥梁等设施造成的直接经济损失。 </w:t>
      </w:r>
    </w:p>
    <w:p w14:paraId="1D7E2D07">
      <w:pPr>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2.3 成员单位职责 </w:t>
      </w:r>
    </w:p>
    <w:p w14:paraId="7E4EC35C">
      <w:pPr>
        <w:spacing w:line="560" w:lineRule="exact"/>
        <w:ind w:firstLine="624" w:firstLineChars="200"/>
        <w:rPr>
          <w:kern w:val="0"/>
          <w:sz w:val="32"/>
          <w:szCs w:val="32"/>
        </w:rPr>
      </w:pPr>
      <w:r>
        <w:rPr>
          <w:rFonts w:hint="eastAsia" w:ascii="仿宋_GB2312" w:hAnsi="宋体" w:eastAsia="仿宋_GB2312" w:cs="仿宋_GB2312"/>
          <w:kern w:val="0"/>
          <w:sz w:val="32"/>
          <w:szCs w:val="32"/>
        </w:rPr>
        <w:t>（1）综合管理部：负责组织协调海洋灾害新闻宣传、舆情监测、舆论引导、信息发布和舆情处置工作（宣传）。</w:t>
      </w:r>
    </w:p>
    <w:p w14:paraId="681B02C7">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2）经济发展部：负责积极争取防灾减灾救灾中央预算内投资支持，统筹协调全区煤电气保障工作，组织煤、电、油、气以及其他重要物资的紧急调度和交通运输综合协调。根据灾害应急需求，会同有关部门适时投放储备救灾物资，保障救灾物资供应。负责区级应急救灾物资储备管理，根据动用指令按照程序调运（发改）。负责为抢险救援工作做好通信服务保障，保障应急指挥和相关重点用户的通信畅通；指导督促全区工业行业做好防御海洋灾害工作；协调本地相关企业紧急生产工业应急物资，协助区应急、区发展改革委等部门做好应急物资的采购、调配等工作。配合做好工业行业灾情调查核实，指导和协调灾后工业行业恢复生产（工信）。负责海洋观测预报、预警监测和防灾工作，开展风险评估和隐患排查治理，发布海洋灾害警报，承担海洋灾害应急救援的技术支撑工作。负责海上渔船安全生产的监督管理，组织、指导沿海渔业防灾减灾和应急处置（海洋渔业）。在区宣传部门领导下，协调广播、电视等新闻媒体对抢险救灾工作的宣传报道，向公众发布风暴潮等相关信息，向社会宣传抢险救灾、抗灾自救知识。负责指导沿海 A 级旅游景区制定安全管理制度、做好海洋灾害防御工作（文旅）。 </w:t>
      </w:r>
    </w:p>
    <w:p w14:paraId="7432FFD0">
      <w:pPr>
        <w:spacing w:line="560" w:lineRule="exact"/>
        <w:ind w:firstLine="624"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（3）教育分局：组织遭受破坏的区属学校学生转移安置，负责协调区属学校因灾损毁校舍修复和教育、教学资源调配，妥善解决灾区学生就学问题。</w:t>
      </w:r>
    </w:p>
    <w:p w14:paraId="126B9C74">
      <w:pPr>
        <w:spacing w:line="560" w:lineRule="exact"/>
        <w:ind w:firstLine="624"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4）公安分局：维护社会治安秩序，依法打击盗窃、哄抢防灾减灾物资、涉灾网络舆情恶意炒作、造谣滋事及其他干扰妨碍海洋灾害应急处置的违法犯罪行为，指导、协调处置因应对海洋灾害引发的群体性事件；积极参加抢险救灾工作；协助地方政府组织受灾群众撤离和转移。 </w:t>
      </w:r>
    </w:p>
    <w:p w14:paraId="538D131C">
      <w:pPr>
        <w:spacing w:line="560" w:lineRule="exact"/>
        <w:ind w:firstLine="624"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（5）交警五大队：协调保障抢险救灾行动的道路畅通；协助地方政府组织受灾群众撤离和转移。 </w:t>
      </w:r>
    </w:p>
    <w:p w14:paraId="69BC73EB">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（6）财政金融部：按照事权与支出责任相匹配的原则，负责区海洋灾害相关资金保障工作。 </w:t>
      </w:r>
    </w:p>
    <w:p w14:paraId="543AED2C">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（7）生态环境分局：指导协调因海洋灾害引发的突发环境事件的应急处置；负责因海洋灾害引发的全市辐射环境事故应急处理；组织实施沿海受灾区域的生态环境质量应急监测。 </w:t>
      </w:r>
    </w:p>
    <w:p w14:paraId="039F3B90">
      <w:pPr>
        <w:spacing w:line="560" w:lineRule="exact"/>
        <w:ind w:firstLine="624" w:firstLineChars="200"/>
        <w:rPr>
          <w:kern w:val="0"/>
          <w:sz w:val="32"/>
          <w:szCs w:val="32"/>
        </w:rPr>
      </w:pPr>
      <w:r>
        <w:rPr>
          <w:rFonts w:hint="eastAsia" w:ascii="仿宋_GB2312" w:hAnsi="宋体" w:eastAsia="仿宋_GB2312" w:cs="仿宋_GB2312"/>
          <w:kern w:val="0"/>
          <w:sz w:val="32"/>
          <w:szCs w:val="32"/>
        </w:rPr>
        <w:t>（8）规划国土建设部：组织指导开展灾区危房调查，及时消除可能造成二次危害的隐患，协助做好危房人员的疏散转移（住建）。组织协调交通运输行业海洋灾害应急管理工作；配合公安等部门保障好海洋灾害影响期间所辖交通基础设施的安全；协助抢险救灾人员和物资设备紧急运输；配合开展交通运输行业海洋灾害损失统计工作（交通）。</w:t>
      </w:r>
    </w:p>
    <w:p w14:paraId="4B41D097">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9）综合行政执法局：指导灾区被毁坏的市政供水、供气、道路、排水等基础设施的抢险、排险和恢复。指导协调沿海城市市政公用领域、市容环境卫生等方面的海洋灾害防御与安全管理工作；指导城市建成区排涝抢险工作（城管）。承担水情监测，指导受海洋灾害损坏损毁的水利部门管理的水利工程的修复；为水利工程应急处置提供技术支撑。海洋灾害期间，加强与海洋发展和渔业部门沟通协调，承担重要水工程调度工作，负责水雨情监测和洪水监测预报工作（水利）。 </w:t>
      </w:r>
    </w:p>
    <w:p w14:paraId="53FD411C">
      <w:pPr>
        <w:spacing w:line="560" w:lineRule="exact"/>
        <w:ind w:firstLine="624" w:firstLineChars="200"/>
        <w:rPr>
          <w:kern w:val="0"/>
          <w:sz w:val="32"/>
          <w:szCs w:val="32"/>
        </w:rPr>
      </w:pPr>
      <w:r>
        <w:rPr>
          <w:rFonts w:hint="eastAsia" w:ascii="仿宋_GB2312" w:hAnsi="宋体" w:eastAsia="仿宋_GB2312" w:cs="仿宋_GB2312"/>
          <w:kern w:val="0"/>
          <w:sz w:val="32"/>
          <w:szCs w:val="32"/>
        </w:rPr>
        <w:t>（10）</w:t>
      </w:r>
      <w:r>
        <w:rPr>
          <w:rFonts w:hint="eastAsia" w:ascii="仿宋_GB2312" w:hAnsi="仿宋_GB2312" w:eastAsia="仿宋_GB2312" w:cs="仿宋_GB2312"/>
          <w:kern w:val="0"/>
          <w:sz w:val="32"/>
          <w:szCs w:val="32"/>
        </w:rPr>
        <w:t>社会事业管理服务中心</w:t>
      </w:r>
      <w:r>
        <w:rPr>
          <w:rFonts w:hint="eastAsia" w:ascii="仿宋_GB2312" w:hAnsi="宋体" w:eastAsia="仿宋_GB2312" w:cs="仿宋_GB2312"/>
          <w:kern w:val="0"/>
          <w:sz w:val="32"/>
          <w:szCs w:val="32"/>
        </w:rPr>
        <w:t xml:space="preserve">：指导海洋灾害灾区农业生产救灾和灾后恢复生产工作；配合开展农业系统海洋灾害损失统计工作（农业农村）。组织及时提供海洋灾害期间的短期气候预 </w:t>
      </w:r>
    </w:p>
    <w:p w14:paraId="565353E8">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测、中短期天气预报和有关实时气象信息，提供海洋防灾减灾救灾有关气象资料，并参与海洋灾害会商（气象）。 </w:t>
      </w:r>
    </w:p>
    <w:p w14:paraId="44FA7AE6">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（11）招商部：负责建立健全生活必需品市场供应应急管理机制。负责灾区生活必需品、重要消费品市场监测，保障市场供应。</w:t>
      </w:r>
    </w:p>
    <w:p w14:paraId="135A33CE">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12）卫生健康管理办公室：负责组织医疗卫生机构开展伤病员救治工作，对灾区可能发生的传染病进行预警，指导采取有效措施预防控制灾后传染病暴发流行，对灾区食品安全组织开展风险监测，对灾区饮用水安全进行监督检查，保障人民群众身体健康，并根据需要对基层卫生部门提供技术支持和业务指导。</w:t>
      </w:r>
    </w:p>
    <w:p w14:paraId="7FE964FA">
      <w:pPr>
        <w:spacing w:line="560" w:lineRule="exact"/>
        <w:ind w:firstLine="624" w:firstLineChars="200"/>
        <w:rPr>
          <w:kern w:val="0"/>
          <w:sz w:val="32"/>
          <w:szCs w:val="32"/>
        </w:rPr>
      </w:pPr>
      <w:r>
        <w:rPr>
          <w:rFonts w:hint="eastAsia" w:ascii="仿宋_GB2312" w:hAnsi="宋体" w:eastAsia="仿宋_GB2312" w:cs="仿宋_GB2312"/>
          <w:kern w:val="0"/>
          <w:sz w:val="32"/>
          <w:szCs w:val="32"/>
        </w:rPr>
        <w:t>（13）应急分局：传达贯彻落实国家、省、市决策部署，执行区工委、管委工作要求；承担地震的震情分析会商，提供地震震情趋势判断意见；参与分析、判断地震海啸的发生发展趋势和研究地震海啸抗灾工作方案、措施和建议；负责组织协调海洋灾害应急救援工作，协调解放军、武警部队、消防救援队伍、社会力量等参与抢险救灾；开展救援工作，妥善安排受灾群众衣、食、住等基本生活；组织协调救灾物资的调拨和紧急配送；协调救灾资金、管理分配救灾款物并监督使用；协调指导灾情的调查核查、损失评估；负责地震监测，及时通报与海洋灾害相关的震情。</w:t>
      </w:r>
    </w:p>
    <w:p w14:paraId="57371DDF">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（14）市场监管分局：海洋灾害期间，加强市场管理，做好灾区食品安全监管工作。 </w:t>
      </w:r>
    </w:p>
    <w:p w14:paraId="36FEB644">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（15）区供电所：负责辖区内海洋灾害防灾减灾救灾用电的供应；及时抢修水毁电力设施，保障电力供应；提供所辖电力设备设施受灾损失情况。 </w:t>
      </w:r>
    </w:p>
    <w:p w14:paraId="2A629F55">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（16）消防救援大队：负责组织指挥消防救援队伍参加应急抢险救援工作，协助街道转移和救援群众。 </w:t>
      </w:r>
    </w:p>
    <w:p w14:paraId="5D93407B">
      <w:pPr>
        <w:widowControl/>
        <w:spacing w:line="560" w:lineRule="exact"/>
        <w:ind w:firstLine="624" w:firstLineChars="200"/>
        <w:rPr>
          <w:kern w:val="0"/>
          <w:sz w:val="32"/>
          <w:szCs w:val="32"/>
        </w:rPr>
      </w:pPr>
      <w:r>
        <w:rPr>
          <w:rFonts w:hint="eastAsia" w:ascii="黑体" w:hAnsi="宋体" w:eastAsia="黑体" w:cs="黑体"/>
          <w:kern w:val="0"/>
          <w:sz w:val="32"/>
          <w:szCs w:val="32"/>
        </w:rPr>
        <w:t xml:space="preserve">3.预测预警与信息报告 </w:t>
      </w:r>
    </w:p>
    <w:p w14:paraId="0A382D57">
      <w:pPr>
        <w:widowControl/>
        <w:spacing w:line="560" w:lineRule="exact"/>
        <w:ind w:firstLine="624" w:firstLineChars="200"/>
        <w:rPr>
          <w:rFonts w:ascii="楷体_GB2312" w:hAnsi="宋体" w:eastAsia="楷体_GB2312" w:cs="楷体_GB2312"/>
          <w:kern w:val="0"/>
          <w:sz w:val="32"/>
          <w:szCs w:val="32"/>
        </w:rPr>
      </w:pPr>
      <w:r>
        <w:rPr>
          <w:rFonts w:hint="eastAsia" w:ascii="楷体_GB2312" w:hAnsi="宋体" w:eastAsia="楷体_GB2312" w:cs="楷体_GB2312"/>
          <w:kern w:val="0"/>
          <w:sz w:val="32"/>
          <w:szCs w:val="32"/>
        </w:rPr>
        <w:t xml:space="preserve">3.1 预 测 </w:t>
      </w:r>
    </w:p>
    <w:p w14:paraId="1A80D320">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经济发展部根据历年风暴潮、海浪、海冰及赤潮、绿潮灾害发生情况汇总、年度气候趋势预测等，对海洋灾害形势进行分析预测。 </w:t>
      </w:r>
    </w:p>
    <w:p w14:paraId="523D0E40">
      <w:pPr>
        <w:widowControl/>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3.2 预警发布 </w:t>
      </w:r>
    </w:p>
    <w:p w14:paraId="3BB760C5">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经济发展部要开展海洋观测预报、预警监测等日常监测工作，及时研判趋势，会同气象部门按规定向社会发布预警预报信息。 </w:t>
      </w:r>
    </w:p>
    <w:p w14:paraId="392761A2">
      <w:pPr>
        <w:widowControl/>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3.3 信息报告 </w:t>
      </w:r>
    </w:p>
    <w:p w14:paraId="3BE04CA5">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应急、海洋发展和渔业等主管部门和单位应按区工委、管委及国家相关行业主管部门要求，及时准确向各自上级报告海洋灾害信息。 </w:t>
      </w:r>
    </w:p>
    <w:p w14:paraId="78F61CB8">
      <w:pPr>
        <w:widowControl/>
        <w:spacing w:line="560" w:lineRule="exact"/>
        <w:ind w:firstLine="624" w:firstLineChars="200"/>
        <w:rPr>
          <w:kern w:val="0"/>
          <w:sz w:val="32"/>
          <w:szCs w:val="32"/>
        </w:rPr>
      </w:pPr>
      <w:r>
        <w:rPr>
          <w:rFonts w:hint="eastAsia" w:ascii="黑体" w:hAnsi="宋体" w:eastAsia="黑体" w:cs="黑体"/>
          <w:kern w:val="0"/>
          <w:sz w:val="32"/>
          <w:szCs w:val="32"/>
        </w:rPr>
        <w:t xml:space="preserve">4.应急响应 </w:t>
      </w:r>
    </w:p>
    <w:p w14:paraId="18604987">
      <w:pPr>
        <w:widowControl/>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4.1 响应分级 </w:t>
      </w:r>
    </w:p>
    <w:p w14:paraId="2D5FFF24">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海洋灾害应急响应从高到低分为Ⅰ级、Ⅱ级、Ⅲ级和Ⅳ级。应对特别重大、重大、较大海洋灾害，分别启动Ⅰ级、Ⅱ级、Ⅲ级响应，由烟台市指挥部开展应对工作，。 </w:t>
      </w:r>
    </w:p>
    <w:p w14:paraId="4EF6FA72">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应对一般海洋灾害，启动Ⅳ级响应，由区工委、管委及设立的海洋灾害应急指挥部开展应对工作。根据情况，请市应急局给予支持指导，必要时，请求省应急厅指导、协助做好应急处置工作。 </w:t>
      </w:r>
    </w:p>
    <w:p w14:paraId="35966CF2">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对海洋灾害发生在敏感地区、敏感时间和应急救援能力薄弱地区等特殊情况时，根据应对工作需要，响应等级可酌情调整。 </w:t>
      </w:r>
    </w:p>
    <w:p w14:paraId="1094CC8A">
      <w:pPr>
        <w:widowControl/>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4.2 响应启动 </w:t>
      </w:r>
    </w:p>
    <w:p w14:paraId="5BD30BFA">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收到海洋灾害信息报告后，经初判达到特别重大、重大、较大海洋灾害等级，报市指挥部分析评估，经市政府同意，由市指挥部分别启动Ⅰ级、Ⅱ级、Ⅲ级响应。经初判达到一般海洋灾害等级，由区指挥部启动Ⅳ级响应。 </w:t>
      </w:r>
    </w:p>
    <w:p w14:paraId="54D9418D">
      <w:pPr>
        <w:widowControl/>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4.3 响应措施 </w:t>
      </w:r>
    </w:p>
    <w:p w14:paraId="0E5687F7">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4.3.1 先期处置 </w:t>
      </w:r>
    </w:p>
    <w:p w14:paraId="321B37EF">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海洋灾害发生后，区有关责任单位发现或接报发生海洋灾害后，应第一时间向上级报告有关信息，并立即采取必要的先期处置措施，防止灾情进一步扩大和防范二次或次生灾害。情况紧急时，可先行组织搜救被困或失联人员和疏散撤离受灾害威胁区域人员。 </w:t>
      </w:r>
    </w:p>
    <w:p w14:paraId="5C3464F2">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4.3.2 Ⅳ级响应 </w:t>
      </w:r>
    </w:p>
    <w:p w14:paraId="65BA7D99">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启动Ⅳ级响应后，区海洋灾害应急指挥部组织、协调各方应急力量开展应急处置和救援工作。区应急分局及有关部门按照各自职责采取以下应急响应措施： </w:t>
      </w:r>
    </w:p>
    <w:p w14:paraId="2F9E72BF">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（1）区应急分局保持与受灾地区的海洋灾害应急指挥部的通信联络，及时掌握事件动态情况。 </w:t>
      </w:r>
    </w:p>
    <w:p w14:paraId="6A9CDDAE">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（2）区应急分局组织做好分析研判，必要时，派出相关应急救援力量赴现场参与指导现场应急救援，并为受灾地区的海洋灾害应急指挥部提供技术支持。同时，将情况及时上报市委、市政府和市应急局。 </w:t>
      </w:r>
    </w:p>
    <w:p w14:paraId="5E200374">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（3）区有关部门按照应急工作需要，根据职责配合开展有关工作。</w:t>
      </w:r>
    </w:p>
    <w:p w14:paraId="43960F96">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4.3.3 Ⅲ级及以上响应 </w:t>
      </w:r>
    </w:p>
    <w:p w14:paraId="0B064E6E">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启动Ⅲ级及以上响应后，由烟台市指挥部统一组织、领导、协调，开展海洋灾害救助工作，指导支持灾区开展海洋灾害救助工作。  </w:t>
      </w:r>
    </w:p>
    <w:p w14:paraId="36342835">
      <w:pPr>
        <w:widowControl/>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4.4 响应终止 </w:t>
      </w:r>
    </w:p>
    <w:p w14:paraId="70EDB343">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海洋发展和渔业部门发布灾害预警级别降低或解除预警，海 </w:t>
      </w:r>
    </w:p>
    <w:p w14:paraId="26E4D4FF">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洋灾害相关威胁和危害得到控制或者消除后，启动应急响应的机构或部门综合研判，决定降低应急响应级别或终止响应。 </w:t>
      </w:r>
    </w:p>
    <w:p w14:paraId="07E90CA6">
      <w:pPr>
        <w:widowControl/>
        <w:spacing w:line="560" w:lineRule="exact"/>
        <w:ind w:firstLine="624" w:firstLineChars="200"/>
        <w:rPr>
          <w:kern w:val="0"/>
          <w:sz w:val="32"/>
          <w:szCs w:val="32"/>
        </w:rPr>
      </w:pPr>
      <w:r>
        <w:rPr>
          <w:rFonts w:hint="eastAsia" w:ascii="黑体" w:hAnsi="宋体" w:eastAsia="黑体" w:cs="黑体"/>
          <w:kern w:val="0"/>
          <w:sz w:val="32"/>
          <w:szCs w:val="32"/>
        </w:rPr>
        <w:t xml:space="preserve">5.应急保障 </w:t>
      </w:r>
    </w:p>
    <w:p w14:paraId="740C8F91">
      <w:pPr>
        <w:widowControl/>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5.1 海洋灾害风险防控 </w:t>
      </w:r>
    </w:p>
    <w:p w14:paraId="7CBAF6A3">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区、街道应当建立海洋灾害风险管理体系，健全海洋灾害风险识别、评估、控制等风险管理制度，开展海洋灾害隐患排查治理，建立重要承灾体、历史海洋灾情信息数据库，加强社区和重点行业海洋灾害风险管控。 </w:t>
      </w:r>
    </w:p>
    <w:p w14:paraId="01D76111">
      <w:pPr>
        <w:widowControl/>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5.2 海洋灾害预警监测 </w:t>
      </w:r>
    </w:p>
    <w:p w14:paraId="0C68BFA3">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区经济发展部负责海洋灾害过程的观测预报、预警发布和防灾工作，并将海洋灾害预警信息及时报送区工委、管委，同时报送区应急分局。区应急分局组织开展灾情分析预测，参与海洋灾害应急处置的各部门及受灾地区街道，按照工作职能和任务分工，强化灾情监视跟踪、灾害防御措施和应急救援准备，保持社会安定。 </w:t>
      </w:r>
    </w:p>
    <w:p w14:paraId="5484DEB4">
      <w:pPr>
        <w:widowControl/>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5.3 灾害调查评估与信息报告 </w:t>
      </w:r>
    </w:p>
    <w:p w14:paraId="55079E80">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区应急分局会同区经济发展部等有关部门组织开展海洋灾害损失调查评估工作，及时分析研判灾情和地方应急处置救援工作情况，提出处置救援建议。区应急分局建立健全海洋灾害信息报告协调联动机制，按区工委、管委工作要求及时核报灾害信息。 </w:t>
      </w:r>
    </w:p>
    <w:p w14:paraId="0EAD5866">
      <w:pPr>
        <w:widowControl/>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5.4 资金与装备物资 </w:t>
      </w:r>
    </w:p>
    <w:p w14:paraId="4FF34B1B">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区财政部门依据有关法律法规要求，按照事权与支出责任相匹配的原则，安排应急救援资金预算，建立救灾资金保障机制。区应急分局、招商部、经济发展部等部门按照有关规定储备海洋灾害救灾物资、救援装备，建立各类装备、物资调用机制；加强各级各类应急救援队伍装备配备。 </w:t>
      </w:r>
    </w:p>
    <w:p w14:paraId="22C29BC0">
      <w:pPr>
        <w:widowControl/>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5.5 应急避难场所 </w:t>
      </w:r>
    </w:p>
    <w:p w14:paraId="14235935">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要结合国土空间规划和社会经济发展，根据所在地海洋灾害风险选划、新建、改造应急避难场所，制定应急疏散方案，并组织疏散演练。 </w:t>
      </w:r>
    </w:p>
    <w:p w14:paraId="609B11F7">
      <w:pPr>
        <w:widowControl/>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5.6 科技保障 </w:t>
      </w:r>
    </w:p>
    <w:p w14:paraId="076F065A">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支持和鼓励各级涉灾部门、高等院校、科研机构、企事业单位和社会组织开展海洋灾害预警预报、防灾减灾、应急救援、应急管理和应急装备等科学研究和技术开发，加大科技投入，逐步提高海洋灾害应急处置救援水平和能力。 </w:t>
      </w:r>
    </w:p>
    <w:p w14:paraId="30D6697E">
      <w:pPr>
        <w:widowControl/>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5.7 宣传、培训和演习 </w:t>
      </w:r>
    </w:p>
    <w:p w14:paraId="753D59AF">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宣传、应急、海洋发展和渔业、科技、教育、文化和旅游、市红十字会、广播电视等部门和单位应加强协作，不断开展防灾减灾科学知识普及和宣传教育活动，加强应急培训，增强社会公众的海洋灾害应急意识，提高防灾减灾、自救互救能力。各级政府及其有关部门、行业、单位应结合各自的海洋灾害应急救援任务，协调整合各种应急救援力量，开展各种形式的海洋灾害应急救援演练。 </w:t>
      </w:r>
    </w:p>
    <w:p w14:paraId="1A6120C9">
      <w:pPr>
        <w:spacing w:line="560" w:lineRule="exact"/>
        <w:ind w:firstLine="624" w:firstLineChars="200"/>
        <w:rPr>
          <w:kern w:val="0"/>
          <w:sz w:val="32"/>
          <w:szCs w:val="32"/>
        </w:rPr>
      </w:pPr>
      <w:r>
        <w:rPr>
          <w:rFonts w:hint="eastAsia" w:ascii="黑体" w:hAnsi="宋体" w:eastAsia="黑体" w:cs="黑体"/>
          <w:kern w:val="0"/>
          <w:sz w:val="32"/>
          <w:szCs w:val="32"/>
        </w:rPr>
        <w:t xml:space="preserve">6.预案管理 </w:t>
      </w:r>
    </w:p>
    <w:p w14:paraId="1426AABC">
      <w:pPr>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6.1 预案发布 </w:t>
      </w:r>
    </w:p>
    <w:p w14:paraId="745E605B">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本预案由区应急分局牵头制定，报区管委批准后实施。区应急部门、有关部门根据本预案制定本区域、本部门海洋灾害应急预案。 </w:t>
      </w:r>
    </w:p>
    <w:p w14:paraId="2B19D62A">
      <w:pPr>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6.2 预案检验与更新 </w:t>
      </w:r>
    </w:p>
    <w:p w14:paraId="3CD0F344">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（1）组织演练。区应急分局定期组织相关单位进行应急演练，明确职责、熟悉程序、查漏补缺，增强应急观念，完善应急准备。 </w:t>
      </w:r>
    </w:p>
    <w:p w14:paraId="63150A71">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（2）定期评估。区应急分局定期组织对应急预案进行评估，根据形势发展和评估情况适时组织相关部门及时修订、完善本预案，并报区管委批准。 </w:t>
      </w:r>
    </w:p>
    <w:p w14:paraId="16DB2195">
      <w:pPr>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6.3 预案实施时间 </w:t>
      </w:r>
    </w:p>
    <w:p w14:paraId="08559F16">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本预案自发布之日起实施。 </w:t>
      </w:r>
    </w:p>
    <w:p w14:paraId="6B716DA2">
      <w:pPr>
        <w:spacing w:line="560" w:lineRule="exact"/>
        <w:ind w:firstLine="624" w:firstLineChars="200"/>
        <w:rPr>
          <w:kern w:val="0"/>
          <w:sz w:val="32"/>
          <w:szCs w:val="32"/>
        </w:rPr>
      </w:pPr>
      <w:r>
        <w:rPr>
          <w:rFonts w:hint="eastAsia" w:ascii="黑体" w:hAnsi="宋体" w:eastAsia="黑体" w:cs="黑体"/>
          <w:kern w:val="0"/>
          <w:sz w:val="32"/>
          <w:szCs w:val="32"/>
        </w:rPr>
        <w:t xml:space="preserve">7.附 则 </w:t>
      </w:r>
    </w:p>
    <w:p w14:paraId="5454BE2C">
      <w:pPr>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7.1 海洋灾害分级 </w:t>
      </w:r>
    </w:p>
    <w:p w14:paraId="0D04755B">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按照灾害的危害程度、造成损失、可控性和影响范围等因素，海洋灾害分为特别重大、重大、较大和一般四级。 </w:t>
      </w:r>
    </w:p>
    <w:p w14:paraId="3ACAC890">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7.1.1 特别重大海洋灾害 </w:t>
      </w:r>
    </w:p>
    <w:p w14:paraId="0E6026D6">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出现以下情况之一的，为特别重大海洋灾害： </w:t>
      </w:r>
    </w:p>
    <w:p w14:paraId="3438FA6E">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（1）因海洋灾害直接导致死亡 30 人以上（含失踪）； </w:t>
      </w:r>
    </w:p>
    <w:p w14:paraId="5B8121D7">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（2）因海洋灾害紧急转移安置或需紧急生活救助10 万人以上； </w:t>
      </w:r>
    </w:p>
    <w:p w14:paraId="54BB97BB">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（3）海洋灾害对沿海重要城市或者 50 平方公里以上较大区域经济、社会和群众生产、生活等造成特别严重影响。 </w:t>
      </w:r>
    </w:p>
    <w:p w14:paraId="1EA01562">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7.1.2 重大海洋灾害 </w:t>
      </w:r>
    </w:p>
    <w:p w14:paraId="067CC16B">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出现以下情况之一的，为重大海洋灾害： </w:t>
      </w:r>
    </w:p>
    <w:p w14:paraId="468062BF">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（1）因海洋灾害直接导致死亡10 人以上30 人以下（含失踪）； </w:t>
      </w:r>
    </w:p>
    <w:p w14:paraId="1EAC0B08">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（2）因海洋灾害紧急转移安置或需紧急生活救助 5 万人以上10 万人以下； </w:t>
      </w:r>
    </w:p>
    <w:p w14:paraId="1A3E19FB">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（3）对沿海经济、社会和群众生产、生活等造成严重影响的海洋灾害。 </w:t>
      </w:r>
    </w:p>
    <w:p w14:paraId="69AB233B">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7.1.3 较大海洋灾害 </w:t>
      </w:r>
    </w:p>
    <w:p w14:paraId="458F813F">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出现以下情况之一的，为较大海洋灾害（Ⅲ级）： </w:t>
      </w:r>
    </w:p>
    <w:p w14:paraId="1C4E6FB3">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（1）因海洋灾害直接导致死亡3人以上10人以下（含失踪）； </w:t>
      </w:r>
    </w:p>
    <w:p w14:paraId="48C3C9B3">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（2）因海洋灾害紧急转移安置或需紧急生活救助3万人以上5万人以下； </w:t>
      </w:r>
    </w:p>
    <w:p w14:paraId="19B5A46E">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（3）对沿海经济、社会和群众生产、生活等造成较大影响的海洋灾害。 </w:t>
      </w:r>
    </w:p>
    <w:p w14:paraId="1B9E3C85">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7.1.4 一般海洋灾害 </w:t>
      </w:r>
    </w:p>
    <w:p w14:paraId="48B66597">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出现以下情况之一的，为一般海洋灾害（Ⅳ级）： </w:t>
      </w:r>
    </w:p>
    <w:p w14:paraId="5938D555">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（1）因海洋灾害直接导致死亡3人以下（含失踪）； </w:t>
      </w:r>
    </w:p>
    <w:p w14:paraId="45D0BA41">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（2）因海洋灾害紧急转移安置或需紧急生活救助3万人以下； </w:t>
      </w:r>
    </w:p>
    <w:p w14:paraId="0ECE5BF7">
      <w:pPr>
        <w:spacing w:line="560" w:lineRule="exact"/>
        <w:ind w:firstLine="624" w:firstLineChars="200"/>
        <w:rPr>
          <w:kern w:val="0"/>
          <w:sz w:val="32"/>
          <w:szCs w:val="32"/>
        </w:rPr>
      </w:pPr>
      <w:r>
        <w:rPr>
          <w:rFonts w:hint="eastAsia" w:ascii="仿宋_GB2312" w:hAnsi="宋体" w:eastAsia="仿宋_GB2312" w:cs="仿宋_GB2312"/>
          <w:kern w:val="0"/>
          <w:sz w:val="32"/>
          <w:szCs w:val="32"/>
        </w:rPr>
        <w:t>（3）对沿海经济、社会和群众生产、生活等造成影响的海洋灾害。</w:t>
      </w:r>
    </w:p>
    <w:p w14:paraId="6A97C656">
      <w:pPr>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7.2 名词术语解释 </w:t>
      </w:r>
    </w:p>
    <w:p w14:paraId="472D65EC">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（1）风暴潮灾害 </w:t>
      </w:r>
    </w:p>
    <w:p w14:paraId="1C5CFBD1">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由热带气旋、温带气旋、海上飑线等灾害性天气过境所伴随的强风和气压骤变而引起局部海面振荡或非周期性异常升高（降低）现象，称为风暴潮。风暴潮、天文潮和近岸海浪结合引起的沿岸涨水造成的灾害，称为风暴潮灾害。 </w:t>
      </w:r>
    </w:p>
    <w:p w14:paraId="531C07F5">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（2）海浪灾害 </w:t>
      </w:r>
    </w:p>
    <w:p w14:paraId="7EDDD989">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海浪是海洋中由风产生的波浪，包括风浪及其演变而成的涌浪。因海浪引起的船只损坏和沉没、航道淤积、海洋石油生产设施和海岸工程损毁、海水养殖业受损等和人员伤亡，称为海浪灾害。 </w:t>
      </w:r>
    </w:p>
    <w:p w14:paraId="5BE29F41">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（3）海啸灾害 </w:t>
      </w:r>
    </w:p>
    <w:p w14:paraId="59DBC9F5">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海啸是由海底地震、海底火山爆发、海岸山体和海底滑坡等产生的特大海洋长波，在大洋中具有超大波长，但在岸边浅水区时，波高陡涨，骤然形成水墙，来势凶猛，严重时高达20至30米以上。海啸灾害指特大海洋长波袭击海上和海岸地带所造成灾害。</w:t>
      </w:r>
    </w:p>
    <w:p w14:paraId="63E14528">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（4）海冰灾害 </w:t>
      </w:r>
    </w:p>
    <w:p w14:paraId="04A2CAB2">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海冰是由海水冻结而成的咸水冰，其中包括流入海洋的河冰和冰山等。海冰对海上交通运输、生产作业、海上设施及海岸工程等所造成的严重影响和损害，称为海冰灾害。 </w:t>
      </w:r>
    </w:p>
    <w:p w14:paraId="1F17C1ED">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（5）赤潮灾害 </w:t>
      </w:r>
    </w:p>
    <w:p w14:paraId="40D719DC">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赤潮灾害是因赤潮对海洋环境、生物造成的灾害。赤潮是海洋中漂浮的某种或多种微小植物、原生动物或细菌，在一定环境下暴发性增殖或聚集，使一定范围内的海水在一段时间内变色的 </w:t>
      </w:r>
    </w:p>
    <w:p w14:paraId="5085E9CF">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生态异常现象。 </w:t>
      </w:r>
    </w:p>
    <w:p w14:paraId="358701CE">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（6）绿潮灾害 </w:t>
      </w:r>
    </w:p>
    <w:p w14:paraId="5548FAE7">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绿潮灾害是因绿潮对海洋环境、生物造成的灾害。绿潮是在特定的环境条件下，海水中某些大型绿藻（如浒苔）爆发性增殖或高度聚集而引起水体变色的一种有害生态现象。</w:t>
      </w:r>
    </w:p>
    <w:p w14:paraId="49949695">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（7）近岸海域 </w:t>
      </w:r>
    </w:p>
    <w:p w14:paraId="44DF297A">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我国领海外部界限向陆一侧的海域。渤海的近岸海域，为自沿岸多年平均大潮高潮线向海一侧 12 海里以内的海域。 </w:t>
      </w:r>
    </w:p>
    <w:p w14:paraId="0737757D">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（8）近海海域 </w:t>
      </w:r>
    </w:p>
    <w:p w14:paraId="38E2641A">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近岸海域外部界限向海一侧至东经130°以西的渤海、黄海、东海、台湾海峡、南海及邻近海域。</w:t>
      </w:r>
    </w:p>
    <w:p w14:paraId="722F18AA">
      <w:pPr>
        <w:widowControl/>
        <w:spacing w:line="560" w:lineRule="exact"/>
        <w:ind w:firstLine="624" w:firstLineChars="200"/>
        <w:rPr>
          <w:kern w:val="0"/>
          <w:sz w:val="32"/>
          <w:szCs w:val="32"/>
        </w:rPr>
      </w:pPr>
      <w:r>
        <w:rPr>
          <w:rFonts w:hint="eastAsia" w:ascii="楷体_GB2312" w:hAnsi="宋体" w:eastAsia="楷体_GB2312" w:cs="楷体_GB2312"/>
          <w:kern w:val="0"/>
          <w:sz w:val="32"/>
          <w:szCs w:val="32"/>
        </w:rPr>
        <w:t xml:space="preserve">7.3 海洋灾害警报发布标准 </w:t>
      </w:r>
    </w:p>
    <w:p w14:paraId="166BBE94">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7.3.1 风暴潮灾害警报发布标准 </w:t>
      </w:r>
    </w:p>
    <w:p w14:paraId="63D14050">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（1）风暴潮灾害蓝色警报 </w:t>
      </w:r>
    </w:p>
    <w:p w14:paraId="08867924">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受热带气旋或温带天气系统影响，预计未来受影响区域内有一个或一个以上有代表性的验潮站的高潮位达蓝色警戒潮位，应发布风暴潮蓝色警报。 </w:t>
      </w:r>
    </w:p>
    <w:p w14:paraId="47F1ADD6">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（2）风暴潮灾害黄色警报 </w:t>
      </w:r>
    </w:p>
    <w:p w14:paraId="15B53D96">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受热带气旋或温带天气系统影响，预计未来受影响区域内有一个或一个以上有代表性的验站的高潮位达到黄色警戒潮位，应发布风暴潮黄色警报。 </w:t>
      </w:r>
    </w:p>
    <w:p w14:paraId="4FDBEB69">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（3）风暴潮灾害橙色警报 </w:t>
      </w:r>
    </w:p>
    <w:p w14:paraId="0464B746">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受热带气旋或温带天气系统影响，预计未来受影响区域内有一个或一个以上有代表的验潮站的高潮位达到橙色警戒潮位，发布风暴潮橙色警报。 </w:t>
      </w:r>
    </w:p>
    <w:p w14:paraId="67E0253D">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（4）风暴潮灾害红色警报 </w:t>
      </w:r>
    </w:p>
    <w:p w14:paraId="08220FA7">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受热带气旋或温带天气系统影响，预计未来受影响区域内有一个或一个以上有代表性的验潮站的高潮位达到红色警戒潮位，应发布风暴潮红色警报。 </w:t>
      </w:r>
    </w:p>
    <w:p w14:paraId="59B5DF2E">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7.3.2 海浪灾害警报发布标准 </w:t>
      </w:r>
    </w:p>
    <w:p w14:paraId="4809707E">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（1）海浪灾害蓝色警报 </w:t>
      </w:r>
    </w:p>
    <w:p w14:paraId="733B4B5B">
      <w:pPr>
        <w:spacing w:line="560" w:lineRule="exact"/>
        <w:ind w:firstLine="624" w:firstLineChars="200"/>
        <w:rPr>
          <w:kern w:val="0"/>
          <w:sz w:val="32"/>
          <w:szCs w:val="32"/>
        </w:rPr>
      </w:pPr>
      <w:r>
        <w:rPr>
          <w:rFonts w:hint="eastAsia" w:ascii="仿宋_GB2312" w:hAnsi="宋体" w:eastAsia="仿宋_GB2312" w:cs="仿宋_GB2312"/>
          <w:kern w:val="0"/>
          <w:sz w:val="32"/>
          <w:szCs w:val="32"/>
        </w:rPr>
        <w:t>受热带气旋或温带天气系统影响，预计未来24小时受影响近岸海域出现2.5米至3.5（不含）米有效波高时，应发布海浪蓝警报。</w:t>
      </w:r>
    </w:p>
    <w:p w14:paraId="315181EA">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（2）海浪灾害黄色警报 </w:t>
      </w:r>
    </w:p>
    <w:p w14:paraId="3BBEF2ED">
      <w:pPr>
        <w:spacing w:line="560" w:lineRule="exact"/>
        <w:ind w:firstLine="624" w:firstLineChars="200"/>
        <w:rPr>
          <w:kern w:val="0"/>
          <w:sz w:val="32"/>
          <w:szCs w:val="32"/>
        </w:rPr>
      </w:pPr>
      <w:r>
        <w:rPr>
          <w:rFonts w:hint="eastAsia" w:ascii="仿宋_GB2312" w:hAnsi="宋体" w:eastAsia="仿宋_GB2312" w:cs="仿宋_GB2312"/>
          <w:kern w:val="0"/>
          <w:sz w:val="32"/>
          <w:szCs w:val="32"/>
        </w:rPr>
        <w:t>受热带气旋或温带天气系统影响，预计未来24小时受影响近岸海域出现3.5米至4.5（不含）米有效波高，或者近海预报海域出现6.0米至9.0（不含）米有效波高时，应发布海浪黄色警报。</w:t>
      </w:r>
    </w:p>
    <w:p w14:paraId="3A66DC13">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（3）海浪灾害橙色警报 </w:t>
      </w:r>
    </w:p>
    <w:p w14:paraId="3735E3E6">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受热带气旋或温带天气系统影响，预计未来24小时受影响近岸海域出现4.5米至6.0（不含）米有效波高，或者近海预报海域出现9.0米至14.0（不含）米有效波时，应发布海浪橙色警报。 </w:t>
      </w:r>
    </w:p>
    <w:p w14:paraId="74DFFEFB">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（4）海浪灾害红色警报 </w:t>
      </w:r>
    </w:p>
    <w:p w14:paraId="4591C451">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受热带气旋或温带天气系统影响，预计未来24小时受影响近岸海域出现达到或超过6.0米有效波高，或者近海预报海域出现达到或超过14.0米有效波高时，应发布海浪红色警报。 </w:t>
      </w:r>
    </w:p>
    <w:p w14:paraId="1B2C9B02">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7.3.3 海冰灾害警报发布标准 </w:t>
      </w:r>
    </w:p>
    <w:p w14:paraId="63455646">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（1）海冰灾害蓝色警报 </w:t>
      </w:r>
    </w:p>
    <w:p w14:paraId="0458964B">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浮冰范围达到以下情况之一，且冰量8成上，预计海冰冰情持续发展，应发布相应海湾海冰蓝色警报。不同海湾浮冰范围如下： </w:t>
      </w:r>
    </w:p>
    <w:p w14:paraId="41167163">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①渤海湾浮冰范围达到25海里。 </w:t>
      </w:r>
    </w:p>
    <w:p w14:paraId="1E8544B6">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②莱州湾浮冰范围达到25海里。 </w:t>
      </w:r>
    </w:p>
    <w:p w14:paraId="74E6F701">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（2）海冰灾害黄色警报 </w:t>
      </w:r>
    </w:p>
    <w:p w14:paraId="2FB32DFC">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浮冰范围达到以下情况之一，且冰量8成上，预计海冰冰情持续发展，应发布相应海湾海冰黄色警报。不同海湾浮冰范围如下： </w:t>
      </w:r>
    </w:p>
    <w:p w14:paraId="659F6381">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①渤海湾浮冰范围达到35海里。 </w:t>
      </w:r>
    </w:p>
    <w:p w14:paraId="7C2AF71D">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②莱州湾浮冰范围达到35海里。 </w:t>
      </w:r>
    </w:p>
    <w:p w14:paraId="36127ACA">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（3）海冰灾害橙色警报 </w:t>
      </w:r>
    </w:p>
    <w:p w14:paraId="73F2CEA7">
      <w:pPr>
        <w:spacing w:line="560" w:lineRule="exact"/>
        <w:ind w:firstLine="624" w:firstLineChars="200"/>
        <w:rPr>
          <w:kern w:val="0"/>
          <w:sz w:val="32"/>
          <w:szCs w:val="32"/>
        </w:rPr>
      </w:pPr>
      <w:r>
        <w:rPr>
          <w:rFonts w:hint="eastAsia" w:ascii="仿宋_GB2312" w:hAnsi="宋体" w:eastAsia="仿宋_GB2312" w:cs="仿宋_GB2312"/>
          <w:kern w:val="0"/>
          <w:sz w:val="32"/>
          <w:szCs w:val="32"/>
        </w:rPr>
        <w:t>浮冰范围达到以下情况之一，且冰量8成上，预计海冰冰情持续发展，应发布相应海湾海冰橙色警报。不同海湾浮冰范围如下：</w:t>
      </w:r>
    </w:p>
    <w:p w14:paraId="24B27F04">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①渤海湾浮冰范围达到40海里。 </w:t>
      </w:r>
    </w:p>
    <w:p w14:paraId="6948EE96">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②莱州湾浮冰范围达到40海里。 </w:t>
      </w:r>
    </w:p>
    <w:p w14:paraId="71AC1830">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（4）海冰灾害红色警报 </w:t>
      </w:r>
    </w:p>
    <w:p w14:paraId="6F37DA5F">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浮冰范围达到以下情况之一，且冰量8成上，预计海冰冰情持续发展，应发布相应海湾海冰红色警报。不同海湾浮冰范围如下： </w:t>
      </w:r>
    </w:p>
    <w:p w14:paraId="7CEA2417">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①渤海湾浮冰范围达到45海里。 </w:t>
      </w:r>
    </w:p>
    <w:p w14:paraId="5215730A">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②莱州湾浮冰范围达到45海里。 </w:t>
      </w:r>
    </w:p>
    <w:p w14:paraId="19301D8F">
      <w:pPr>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7.3.4 海啸灾害警报发布标准 </w:t>
      </w:r>
    </w:p>
    <w:p w14:paraId="71A377A1">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（1）海啸灾害黄色警报 </w:t>
      </w:r>
    </w:p>
    <w:p w14:paraId="4B732378">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受地震或其他因素影响，预计海啸波将会在我市沿岸产生0.3（含）米至1.0米的海啸波幅，发布海啸黄色警报。 </w:t>
      </w:r>
    </w:p>
    <w:p w14:paraId="69491E5D">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（2）海啸灾害橙色警报 </w:t>
      </w:r>
    </w:p>
    <w:p w14:paraId="778124E4">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受地震或其他因素影响，预计海啸波将会在我市沿岸产生1.0（含）米至3.0米的海啸波幅，发布海啸橙色警报。 </w:t>
      </w:r>
    </w:p>
    <w:p w14:paraId="1DA7B1C2">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（3）海啸灾害红色警报。 </w:t>
      </w:r>
    </w:p>
    <w:p w14:paraId="05CFBC63">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受地震或其他因素影响，预计海啸波将在我市沿岸产生3.0（含）米以上的海啸波幅，发布海啸红色警报。 </w:t>
      </w:r>
    </w:p>
    <w:p w14:paraId="537A536D">
      <w:pPr>
        <w:widowControl/>
        <w:spacing w:line="560" w:lineRule="exact"/>
        <w:ind w:firstLine="624" w:firstLineChars="200"/>
        <w:rPr>
          <w:kern w:val="0"/>
          <w:sz w:val="32"/>
          <w:szCs w:val="32"/>
        </w:rPr>
      </w:pPr>
      <w:r>
        <w:rPr>
          <w:rFonts w:hint="eastAsia" w:ascii="仿宋_GB2312" w:hAnsi="宋体" w:eastAsia="仿宋_GB2312" w:cs="仿宋_GB2312"/>
          <w:kern w:val="0"/>
          <w:sz w:val="32"/>
          <w:szCs w:val="32"/>
        </w:rPr>
        <w:t xml:space="preserve">（4）海啸信息 </w:t>
      </w:r>
    </w:p>
    <w:p w14:paraId="5C28DA06">
      <w:pPr>
        <w:widowControl/>
        <w:spacing w:line="560" w:lineRule="exact"/>
        <w:ind w:firstLine="624" w:firstLineChars="200"/>
        <w:rPr>
          <w:sz w:val="32"/>
          <w:szCs w:val="32"/>
        </w:rPr>
      </w:pPr>
      <w:r>
        <w:rPr>
          <w:rFonts w:hint="eastAsia" w:ascii="仿宋_GB2312" w:hAnsi="宋体" w:eastAsia="仿宋_GB2312" w:cs="仿宋_GB2312"/>
          <w:kern w:val="0"/>
          <w:sz w:val="32"/>
          <w:szCs w:val="32"/>
        </w:rPr>
        <w:t xml:space="preserve">受地震或其他因素影响，预计海啸波将会在我市沿岸产生0.3米以下的海啸波幅，或者没有海啸，发布海啸信息。 </w:t>
      </w:r>
    </w:p>
    <w:p w14:paraId="1A4AE903">
      <w:pPr>
        <w:spacing w:line="560" w:lineRule="exact"/>
        <w:ind w:firstLine="624" w:firstLineChars="200"/>
        <w:rPr>
          <w:sz w:val="32"/>
          <w:szCs w:val="32"/>
        </w:rPr>
      </w:pPr>
    </w:p>
    <w:p w14:paraId="27D5D721">
      <w:pPr>
        <w:spacing w:line="560" w:lineRule="exact"/>
      </w:pPr>
    </w:p>
    <w:p w14:paraId="28009D94">
      <w:pPr>
        <w:spacing w:line="560" w:lineRule="exact"/>
      </w:pPr>
    </w:p>
    <w:p w14:paraId="1DFCEF7F">
      <w:pPr>
        <w:spacing w:line="560" w:lineRule="exact"/>
      </w:pPr>
    </w:p>
    <w:p w14:paraId="4BC4F8AF">
      <w:pPr>
        <w:spacing w:line="560" w:lineRule="exact"/>
      </w:pPr>
    </w:p>
    <w:p w14:paraId="2E1AE12E">
      <w:pPr>
        <w:spacing w:beforeLines="100" w:afterLines="100"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烟台</w:t>
      </w:r>
      <w:r>
        <w:rPr>
          <w:rFonts w:ascii="方正小标宋简体" w:hAnsi="方正小标宋简体" w:eastAsia="方正小标宋简体" w:cs="方正小标宋简体"/>
          <w:kern w:val="0"/>
          <w:sz w:val="44"/>
          <w:szCs w:val="44"/>
        </w:rPr>
        <w:t>高新区自然灾害救助专项应急预案</w:t>
      </w:r>
    </w:p>
    <w:p w14:paraId="61463E11">
      <w:pPr>
        <w:spacing w:line="560" w:lineRule="exact"/>
        <w:ind w:firstLine="624" w:firstLineChars="200"/>
        <w:rPr>
          <w:rFonts w:ascii="黑体" w:hAnsi="黑体" w:eastAsia="黑体" w:cs="黑体"/>
          <w:sz w:val="32"/>
          <w:szCs w:val="32"/>
        </w:rPr>
      </w:pPr>
      <w:r>
        <w:rPr>
          <w:rFonts w:hint="eastAsia" w:ascii="黑体" w:hAnsi="黑体" w:eastAsia="黑体" w:cs="黑体"/>
          <w:kern w:val="0"/>
          <w:sz w:val="32"/>
          <w:szCs w:val="32"/>
        </w:rPr>
        <w:t>一、总则</w:t>
      </w:r>
    </w:p>
    <w:p w14:paraId="6FAB2E07">
      <w:pPr>
        <w:spacing w:line="560" w:lineRule="exact"/>
        <w:ind w:firstLine="624" w:firstLineChars="200"/>
        <w:rPr>
          <w:rFonts w:ascii="仿宋_GB2312" w:hAnsi="仿宋_GB2312" w:eastAsia="仿宋_GB2312" w:cs="仿宋_GB2312"/>
          <w:sz w:val="32"/>
          <w:szCs w:val="32"/>
        </w:rPr>
      </w:pPr>
      <w:r>
        <w:rPr>
          <w:rFonts w:ascii="楷体_GB2312" w:hAnsi="宋体" w:eastAsia="楷体_GB2312" w:cs="楷体_GB2312"/>
          <w:kern w:val="0"/>
          <w:sz w:val="32"/>
          <w:szCs w:val="32"/>
        </w:rPr>
        <w:t>（一）编制目的。</w:t>
      </w:r>
      <w:r>
        <w:rPr>
          <w:rFonts w:hint="eastAsia" w:ascii="仿宋_GB2312" w:hAnsi="仿宋_GB2312" w:eastAsia="仿宋_GB2312" w:cs="仿宋_GB2312"/>
          <w:kern w:val="0"/>
          <w:sz w:val="32"/>
          <w:szCs w:val="32"/>
        </w:rPr>
        <w:t>建立健全应对自然灾害的救助体系和运行机制，规范救助行为，有效减少人民群众的生命和财产损失，维护社会稳定。</w:t>
      </w:r>
    </w:p>
    <w:p w14:paraId="3D2CB1E2">
      <w:pPr>
        <w:spacing w:line="560" w:lineRule="exact"/>
        <w:ind w:firstLine="624" w:firstLineChars="200"/>
        <w:rPr>
          <w:rFonts w:ascii="仿宋_GB2312" w:hAnsi="仿宋_GB2312" w:eastAsia="仿宋_GB2312" w:cs="仿宋_GB2312"/>
          <w:sz w:val="32"/>
          <w:szCs w:val="32"/>
        </w:rPr>
      </w:pPr>
      <w:r>
        <w:rPr>
          <w:rFonts w:hint="eastAsia" w:ascii="楷体_GB2312" w:hAnsi="宋体" w:eastAsia="楷体_GB2312" w:cs="楷体_GB2312"/>
          <w:kern w:val="0"/>
          <w:sz w:val="32"/>
          <w:szCs w:val="32"/>
        </w:rPr>
        <w:t>（二）编制依据</w:t>
      </w:r>
      <w:r>
        <w:rPr>
          <w:rFonts w:hint="eastAsia" w:ascii="仿宋_GB2312" w:hAnsi="仿宋_GB2312" w:eastAsia="仿宋_GB2312" w:cs="仿宋_GB2312"/>
          <w:kern w:val="0"/>
          <w:sz w:val="32"/>
          <w:szCs w:val="32"/>
        </w:rPr>
        <w:t>。《自然灾害救助条例》《山东省自然灾害救助应急预案》《烟台市自然灾害救助应急预案》、《烟台高新区突发事件总体应急预案》等。</w:t>
      </w:r>
    </w:p>
    <w:p w14:paraId="48389F37">
      <w:pPr>
        <w:spacing w:line="560" w:lineRule="exact"/>
        <w:ind w:firstLine="624" w:firstLineChars="200"/>
        <w:rPr>
          <w:rFonts w:ascii="仿宋_GB2312" w:hAnsi="仿宋_GB2312" w:eastAsia="仿宋_GB2312" w:cs="仿宋_GB2312"/>
          <w:kern w:val="0"/>
          <w:sz w:val="32"/>
          <w:szCs w:val="32"/>
        </w:rPr>
      </w:pPr>
      <w:r>
        <w:rPr>
          <w:rFonts w:hint="eastAsia" w:ascii="楷体_GB2312" w:hAnsi="宋体" w:eastAsia="楷体_GB2312" w:cs="楷体_GB2312"/>
          <w:kern w:val="0"/>
          <w:sz w:val="32"/>
          <w:szCs w:val="32"/>
        </w:rPr>
        <w:t>（三）适用范围。</w:t>
      </w:r>
      <w:r>
        <w:rPr>
          <w:rFonts w:hint="eastAsia" w:ascii="仿宋_GB2312" w:hAnsi="仿宋_GB2312" w:eastAsia="仿宋_GB2312" w:cs="仿宋_GB2312"/>
          <w:kern w:val="0"/>
          <w:sz w:val="32"/>
          <w:szCs w:val="32"/>
        </w:rPr>
        <w:t>本预案适用于高新区辖区内发生的干旱、洪涝等水旱灾害，台风、风雹、低温冷冻、雪灾、沙尘暴等气象灾害，地震灾害，山体崩塌、滑坡、泥石流等地质灾害，风暴潮、海啸等海洋灾害，森林草原火灾和生物灾害等自然灾害造成损失的应急救助工作。</w:t>
      </w:r>
    </w:p>
    <w:p w14:paraId="494EB40D">
      <w:pPr>
        <w:spacing w:line="560" w:lineRule="exact"/>
        <w:ind w:firstLine="624" w:firstLineChars="200"/>
        <w:rPr>
          <w:sz w:val="32"/>
          <w:szCs w:val="32"/>
        </w:rPr>
      </w:pPr>
      <w:r>
        <w:rPr>
          <w:rFonts w:hint="eastAsia" w:ascii="黑体" w:hAnsi="宋体" w:eastAsia="黑体" w:cs="黑体"/>
          <w:kern w:val="0"/>
          <w:sz w:val="32"/>
          <w:szCs w:val="32"/>
        </w:rPr>
        <w:t>二、组织机构及职责</w:t>
      </w:r>
    </w:p>
    <w:p w14:paraId="27E7A8A3">
      <w:pPr>
        <w:spacing w:line="560" w:lineRule="exact"/>
        <w:ind w:firstLine="624" w:firstLineChars="200"/>
        <w:rPr>
          <w:sz w:val="32"/>
          <w:szCs w:val="32"/>
        </w:rPr>
      </w:pPr>
      <w:r>
        <w:rPr>
          <w:rFonts w:hint="eastAsia" w:ascii="楷体_GB2312" w:hAnsi="宋体" w:eastAsia="楷体_GB2312" w:cs="楷体_GB2312"/>
          <w:kern w:val="0"/>
          <w:sz w:val="32"/>
          <w:szCs w:val="32"/>
        </w:rPr>
        <w:t>（一）领导机构。</w:t>
      </w:r>
      <w:r>
        <w:rPr>
          <w:rFonts w:hint="eastAsia" w:ascii="仿宋_GB2312" w:hAnsi="宋体" w:eastAsia="仿宋_GB2312" w:cs="仿宋_GB2312"/>
          <w:kern w:val="0"/>
          <w:sz w:val="32"/>
          <w:szCs w:val="32"/>
        </w:rPr>
        <w:t>区</w:t>
      </w:r>
      <w:r>
        <w:rPr>
          <w:rFonts w:ascii="仿宋_GB2312" w:hAnsi="宋体" w:eastAsia="仿宋_GB2312" w:cs="仿宋_GB2312"/>
          <w:kern w:val="0"/>
          <w:sz w:val="32"/>
          <w:szCs w:val="32"/>
        </w:rPr>
        <w:t>减灾委员</w:t>
      </w:r>
      <w:r>
        <w:rPr>
          <w:rFonts w:hint="eastAsia" w:ascii="仿宋_GB2312" w:hAnsi="仿宋_GB2312" w:eastAsia="仿宋_GB2312" w:cs="仿宋_GB2312"/>
          <w:kern w:val="0"/>
          <w:sz w:val="32"/>
          <w:szCs w:val="32"/>
        </w:rPr>
        <w:t>会（以下简称区减灾委）为全区自然</w:t>
      </w:r>
      <w:r>
        <w:rPr>
          <w:rFonts w:ascii="仿宋_GB2312" w:hAnsi="宋体" w:eastAsia="仿宋_GB2312" w:cs="仿宋_GB2312"/>
          <w:kern w:val="0"/>
          <w:sz w:val="32"/>
          <w:szCs w:val="32"/>
        </w:rPr>
        <w:t>灾害救助应</w:t>
      </w:r>
      <w:r>
        <w:rPr>
          <w:rFonts w:hint="eastAsia" w:ascii="仿宋_GB2312" w:hAnsi="宋体" w:eastAsia="仿宋_GB2312" w:cs="仿宋_GB2312"/>
          <w:kern w:val="0"/>
          <w:sz w:val="32"/>
          <w:szCs w:val="32"/>
        </w:rPr>
        <w:t>急综合协调机构，负责组织领导、统筹协调全区的自然灾害救助工作，协调开展自然灾害救助应急工作。区减灾委成员单位按照各自职责做好自然灾害救助相关工作。区应急分局承担区减灾委日常工作。</w:t>
      </w:r>
    </w:p>
    <w:p w14:paraId="0D5D9ACC">
      <w:pPr>
        <w:spacing w:line="560" w:lineRule="exact"/>
        <w:ind w:firstLine="624" w:firstLineChars="200"/>
        <w:rPr>
          <w:sz w:val="32"/>
          <w:szCs w:val="32"/>
        </w:rPr>
      </w:pPr>
      <w:r>
        <w:rPr>
          <w:rFonts w:hint="eastAsia" w:ascii="楷体_GB2312" w:hAnsi="宋体" w:eastAsia="楷体_GB2312" w:cs="楷体_GB2312"/>
          <w:kern w:val="0"/>
          <w:sz w:val="32"/>
          <w:szCs w:val="32"/>
        </w:rPr>
        <w:t>（二）办事机构。</w:t>
      </w:r>
      <w:r>
        <w:rPr>
          <w:rFonts w:hint="eastAsia" w:ascii="仿宋_GB2312" w:hAnsi="宋体" w:eastAsia="仿宋_GB2312" w:cs="仿宋_GB2312"/>
          <w:kern w:val="0"/>
          <w:sz w:val="32"/>
          <w:szCs w:val="32"/>
        </w:rPr>
        <w:t>区减灾委员会办公室设在区应急分局，区应急分局局长兼任办公室主任。主要职责：承担区减灾委员日常工作；编修自然灾害救助应急预案；组织对灾情和需救助群体进行调查核实，实施救助；完成区减灾委交办的其他工作。</w:t>
      </w:r>
    </w:p>
    <w:p w14:paraId="4E703DBC">
      <w:pPr>
        <w:spacing w:line="560" w:lineRule="exact"/>
        <w:ind w:firstLine="624" w:firstLineChars="200"/>
        <w:rPr>
          <w:sz w:val="32"/>
          <w:szCs w:val="32"/>
        </w:rPr>
      </w:pPr>
      <w:r>
        <w:rPr>
          <w:rFonts w:hint="eastAsia" w:ascii="楷体_GB2312" w:hAnsi="宋体" w:eastAsia="楷体_GB2312" w:cs="楷体_GB2312"/>
          <w:kern w:val="0"/>
          <w:sz w:val="32"/>
          <w:szCs w:val="32"/>
        </w:rPr>
        <w:t>（三）成员单位及职责</w:t>
      </w:r>
    </w:p>
    <w:p w14:paraId="4DBADFB9">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1.马山街道办事处：负责配合做好所属灾区灾情核实上报和灾害损失判断等工作，统筹协调辖区救灾工作。做好领导小组安排的其他工作。</w:t>
      </w:r>
    </w:p>
    <w:p w14:paraId="1DD946C2">
      <w:pPr>
        <w:spacing w:line="560" w:lineRule="exact"/>
        <w:ind w:firstLine="624" w:firstLineChars="200"/>
        <w:rPr>
          <w:sz w:val="32"/>
          <w:szCs w:val="32"/>
        </w:rPr>
      </w:pPr>
      <w:r>
        <w:rPr>
          <w:rFonts w:hint="eastAsia" w:ascii="仿宋_GB2312" w:hAnsi="仿宋_GB2312" w:eastAsia="仿宋_GB2312" w:cs="仿宋_GB2312"/>
          <w:kern w:val="0"/>
          <w:sz w:val="32"/>
          <w:szCs w:val="32"/>
        </w:rPr>
        <w:t>2.金山湾管理处：负责配合做好所属灾区灾情核实上报和灾害损失判断等工作，统筹协调辖区救灾工作。做好领导小组安排的其他工作。</w:t>
      </w:r>
    </w:p>
    <w:p w14:paraId="3485F766">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3.区综合管理部：</w:t>
      </w:r>
      <w:r>
        <w:rPr>
          <w:rFonts w:ascii="仿宋_GB2312" w:hAnsi="宋体" w:eastAsia="仿宋_GB2312" w:cs="仿宋_GB2312"/>
          <w:kern w:val="0"/>
          <w:sz w:val="32"/>
          <w:szCs w:val="32"/>
        </w:rPr>
        <w:t>负责组织协调有关部门统一发布突发事件</w:t>
      </w:r>
      <w:r>
        <w:rPr>
          <w:rFonts w:hint="eastAsia" w:ascii="仿宋_GB2312" w:hAnsi="宋体" w:eastAsia="仿宋_GB2312" w:cs="仿宋_GB2312"/>
          <w:kern w:val="0"/>
          <w:sz w:val="32"/>
          <w:szCs w:val="32"/>
        </w:rPr>
        <w:t>信息，指导做好舆情管控和引导。</w:t>
      </w:r>
    </w:p>
    <w:p w14:paraId="3CDDD096">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4.区经济发展部：负责保障粮食市场供应和价格稳定，承担区级救灾物资的收储、轮换和日常管理，根据区应急分局的动用指令按程序组织调出。负责协调抗洪抢险、抗旱救灾期间的应急无线电频率保障。</w:t>
      </w:r>
    </w:p>
    <w:p w14:paraId="4845832C">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5.区公安分局：负责维护灾区社会治安秩序，依法打击灾害救助工作中违法犯罪活动。协助有关部门妥善处置因灾引发的群体性事件，协助组织群众安全撤离或转移。</w:t>
      </w:r>
    </w:p>
    <w:p w14:paraId="66FACBF9">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6.区财政金融部：负责救灾补助资金的保障工作。</w:t>
      </w:r>
    </w:p>
    <w:p w14:paraId="2D07522A">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7.区招商部：负责组织、协调受灾地区生活必需品供应。</w:t>
      </w:r>
    </w:p>
    <w:p w14:paraId="4404713E">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8.区卫生健康管理办公室：负责灾区医疗救治和疾病预防控</w:t>
      </w:r>
    </w:p>
    <w:p w14:paraId="703C27F3">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制等工作。</w:t>
      </w:r>
    </w:p>
    <w:p w14:paraId="0619780A">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9.区规划国土建设部：做好应对灾害的各项建设物资、设备的准备工作。指导做好城乡危房、建筑工地的安全工作。协调设置人防应急疏散基地和地下应急避难场所，为灾区救助安置提供支撑。负责落实综合防灾减灾规划相关要求，组织编制地质灾害、森林火灾防治规划防护标准并指导实施。</w:t>
      </w:r>
    </w:p>
    <w:p w14:paraId="358E5D8F">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区综合执法局：承担水情、旱情、工情和行业灾情监测预警和防御洪水应急抢险的技术支撑工作。组织指导水利工程洪水调度和险情应急处置工作。组织指导并监督实施水利工程维修、应急处理、水毁修复计划。</w:t>
      </w:r>
    </w:p>
    <w:p w14:paraId="031B83F6">
      <w:pPr>
        <w:autoSpaceDE w:val="0"/>
        <w:autoSpaceDN w:val="0"/>
        <w:adjustRightInd w:val="0"/>
        <w:spacing w:line="560" w:lineRule="exact"/>
        <w:ind w:firstLine="624" w:firstLineChars="200"/>
        <w:rPr>
          <w:rFonts w:ascii="仿宋_GB2312" w:eastAsia="仿宋_GB2312" w:cs="仿宋_GB2312"/>
          <w:kern w:val="0"/>
          <w:sz w:val="32"/>
          <w:szCs w:val="32"/>
        </w:rPr>
      </w:pPr>
      <w:r>
        <w:rPr>
          <w:rFonts w:hint="eastAsia" w:ascii="仿宋_GB2312" w:eastAsia="仿宋_GB2312" w:cs="仿宋_GB2312"/>
          <w:kern w:val="0"/>
          <w:sz w:val="32"/>
          <w:szCs w:val="32"/>
        </w:rPr>
        <w:t>11.区生态环境分局：组织开展因灾害导致的环境监测等工作。</w:t>
      </w:r>
    </w:p>
    <w:p w14:paraId="681A1FB7">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12.交警五大队：负责做好抢险救灾物资运输车辆通行工作，维护灾区车辆及人员交通秩序。</w:t>
      </w:r>
      <w:r>
        <w:rPr>
          <w:rFonts w:hint="eastAsia" w:ascii="仿宋_GB2312" w:eastAsia="仿宋_GB2312"/>
          <w:sz w:val="32"/>
          <w:szCs w:val="32"/>
        </w:rPr>
        <w:t>做好进出灾害现场主要出入口的交通疏导，</w:t>
      </w:r>
      <w:r>
        <w:rPr>
          <w:rFonts w:hint="eastAsia" w:ascii="仿宋_GB2312" w:hAnsi="仿宋_GB2312" w:eastAsia="仿宋_GB2312" w:cs="仿宋_GB2312"/>
          <w:kern w:val="0"/>
          <w:sz w:val="32"/>
          <w:szCs w:val="32"/>
        </w:rPr>
        <w:t>协助做好受灾群众疏散工作。</w:t>
      </w:r>
    </w:p>
    <w:p w14:paraId="508FECD4">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13.马山街道专班：负责农业防灾减灾和救灾工作。监测、提供农业旱涝灾情。协调种子、化肥等救灾物资储备和调拨。指导农业紧急救灾和灾后生产恢复。</w:t>
      </w:r>
    </w:p>
    <w:p w14:paraId="75510ED3">
      <w:pPr>
        <w:spacing w:line="560" w:lineRule="exact"/>
        <w:ind w:firstLine="624" w:firstLineChars="200"/>
        <w:rPr>
          <w:sz w:val="32"/>
          <w:szCs w:val="32"/>
        </w:rPr>
      </w:pPr>
      <w:r>
        <w:rPr>
          <w:rFonts w:hint="eastAsia" w:ascii="黑体" w:hAnsi="宋体" w:eastAsia="黑体" w:cs="黑体"/>
          <w:kern w:val="0"/>
          <w:sz w:val="32"/>
          <w:szCs w:val="32"/>
        </w:rPr>
        <w:t>三、灾情信息管理</w:t>
      </w:r>
    </w:p>
    <w:p w14:paraId="7CD333C3">
      <w:pPr>
        <w:spacing w:line="560" w:lineRule="exact"/>
        <w:ind w:firstLine="624" w:firstLineChars="200"/>
        <w:rPr>
          <w:sz w:val="32"/>
          <w:szCs w:val="32"/>
        </w:rPr>
      </w:pPr>
      <w:r>
        <w:rPr>
          <w:rFonts w:hint="eastAsia" w:ascii="楷体_GB2312" w:hAnsi="宋体" w:eastAsia="楷体_GB2312" w:cs="楷体_GB2312"/>
          <w:kern w:val="0"/>
          <w:sz w:val="32"/>
          <w:szCs w:val="32"/>
        </w:rPr>
        <w:t>（一）灾情信息报告内容。</w:t>
      </w:r>
      <w:r>
        <w:rPr>
          <w:rFonts w:hint="eastAsia" w:ascii="仿宋_GB2312" w:hAnsi="宋体" w:eastAsia="仿宋_GB2312" w:cs="仿宋_GB2312"/>
          <w:kern w:val="0"/>
          <w:sz w:val="32"/>
          <w:szCs w:val="32"/>
        </w:rPr>
        <w:t>包括灾害发生的时间、地点、背景，灾害造成的损失，已采取的救灾措施和灾区需求。</w:t>
      </w:r>
    </w:p>
    <w:p w14:paraId="1647DE78">
      <w:pPr>
        <w:spacing w:line="560" w:lineRule="exact"/>
        <w:ind w:firstLine="624" w:firstLineChars="200"/>
        <w:rPr>
          <w:sz w:val="32"/>
          <w:szCs w:val="32"/>
        </w:rPr>
      </w:pPr>
      <w:r>
        <w:rPr>
          <w:rFonts w:hint="eastAsia" w:ascii="楷体_GB2312" w:hAnsi="宋体" w:eastAsia="楷体_GB2312" w:cs="楷体_GB2312"/>
          <w:kern w:val="0"/>
          <w:sz w:val="32"/>
          <w:szCs w:val="32"/>
        </w:rPr>
        <w:t>（二）灾情信息报告时间。</w:t>
      </w:r>
    </w:p>
    <w:p w14:paraId="19C61877">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1.灾情初报。马山街道办事处、金山湾管理处对本辖区内发生的自然灾害，在灾害发生后2小时内，按照规定要求上报区应急管理分局。</w:t>
      </w:r>
    </w:p>
    <w:p w14:paraId="0199FB87">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灾情续报。灾情稳定前，涉灾街道（管理处）执行24小时零报告制度。即：涉灾街道（管理处）每天8:30前，将截至前一天24时的灾情报区应急分局；区应急分局每天9时之前，报区管委和市应急局。特大灾情根据需要随时报告。</w:t>
      </w:r>
    </w:p>
    <w:p w14:paraId="100A7172">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3.灾情核报。灾情稳定后，涉灾街道（管理处）配合区应急分局于48小时内核定灾情并报市应急局。</w:t>
      </w:r>
    </w:p>
    <w:p w14:paraId="3A9D67DB">
      <w:pPr>
        <w:spacing w:line="560" w:lineRule="exact"/>
        <w:ind w:firstLine="624" w:firstLineChars="200"/>
        <w:rPr>
          <w:rFonts w:ascii="黑体" w:hAnsi="宋体" w:eastAsia="黑体" w:cs="黑体"/>
          <w:kern w:val="0"/>
          <w:sz w:val="32"/>
          <w:szCs w:val="32"/>
        </w:rPr>
      </w:pPr>
      <w:r>
        <w:rPr>
          <w:rFonts w:hint="eastAsia" w:ascii="黑体" w:hAnsi="宋体" w:eastAsia="黑体" w:cs="黑体"/>
          <w:kern w:val="0"/>
          <w:sz w:val="32"/>
          <w:szCs w:val="32"/>
        </w:rPr>
        <w:t>三、应急响应</w:t>
      </w:r>
    </w:p>
    <w:p w14:paraId="1D546658">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根据自然灾害的危害程度等因素，区级自然灾害救助应急响应分为Ⅰ、Ⅱ、Ⅲ三级。</w:t>
      </w:r>
    </w:p>
    <w:p w14:paraId="3F8549D9">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（一）Ⅰ级响应</w:t>
      </w:r>
    </w:p>
    <w:p w14:paraId="4B233D85">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1.启动条件</w:t>
      </w:r>
    </w:p>
    <w:p w14:paraId="5986A208">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本管辖区域内，一次自然灾害过程出现下列情况之一的，启动Ⅰ级响应：</w:t>
      </w:r>
    </w:p>
    <w:p w14:paraId="15C84219">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（1）死亡10人以上，20人以下；</w:t>
      </w:r>
    </w:p>
    <w:p w14:paraId="061DB884">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（2）紧急转移安置或需紧急生活救助1万人以上，3万人以下；</w:t>
      </w:r>
    </w:p>
    <w:p w14:paraId="774598B4">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（3）倒塌和严重损坏房屋0.3万间以上，1万间以下；</w:t>
      </w:r>
    </w:p>
    <w:p w14:paraId="76D5A134">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（4）干旱灾害造成缺粮或缺水等生活困难，需政府救助人数占农业人口10%以上、15%以下。</w:t>
      </w:r>
    </w:p>
    <w:p w14:paraId="074C962D">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2.启动程序</w:t>
      </w:r>
    </w:p>
    <w:p w14:paraId="05E186D5">
      <w:pPr>
        <w:pStyle w:val="9"/>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灾害发生后，区减灾委办公室经分析评估，认定灾情达到启动标准，向区减灾委报告，区减灾委向区管委提出启动Ⅰ级响应的建议；区管委决定启动Ⅰ级响应。</w:t>
      </w:r>
    </w:p>
    <w:p w14:paraId="0142960F">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3.响应措施</w:t>
      </w:r>
    </w:p>
    <w:p w14:paraId="0F739F91">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区管委统一组织、领导、协调全区抗灾救灾工作，组织开展区级层面自然灾害救助工作，指导受灾街道（管理处）进行自然灾害救助工作。区减灾委及其成员单位视情采取以下措施：</w:t>
      </w:r>
    </w:p>
    <w:p w14:paraId="45178DC0">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（1）区管委或区减灾委组织灾情会商，区减灾委成员单位、有关专家及受灾街道（管理处）参加，对指导支持灾区抗灾救灾重大事项做出决定。</w:t>
      </w:r>
    </w:p>
    <w:p w14:paraId="7246410F">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（2）区管委派出工作组赴灾区慰问受灾群众，核查灾情，指导自然灾害救助工作；必要时成立现场指挥部。</w:t>
      </w:r>
    </w:p>
    <w:p w14:paraId="626AD1BB">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区减灾委进入应急状态，有关成员单位实行24小时值班制度。区减灾委向灾区派出工作组和专家组对灾情发展趋势及灾区需求进行评估。区减灾委办公室按规定及时统计上报灾情和救灾工作情况，组织灾情会商评估，按照有关规定统一发布灾情及灾区需求。区减灾委有关成员单位按照职责做好灾害监测、预警、预报和新闻宣传等工作，及时做好灾情、灾区需求及救灾工作动态等信息共享，每日向区减灾委办公室通报有关情况，配合上级有关部门现场工作组开展工作。</w:t>
      </w:r>
    </w:p>
    <w:p w14:paraId="208001B0">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根据灾区政府申请和有关部门对灾情的核定情况，向市政府或市财政局、市应急局申请自然灾害生活补助资金，区财政金融部、区应急分局及时下拨上级自然灾害生活补助资金。区应急分局视情调拨生活救助物资，指导、监督基层救灾应急措施落实和救灾款物发放。</w:t>
      </w:r>
    </w:p>
    <w:p w14:paraId="5FE367A4">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（5）区应急分局协助有关部门开展受灾群众紧急转移安置和应急救助工作。区公安分局加强灾区社会治安和消防安全，协助组织灾区群众紧急转移，参与配合有关救灾工作。</w:t>
      </w:r>
    </w:p>
    <w:p w14:paraId="7B213495">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区经济发展部负责保障市场供应和价格稳定。负责协调抢险救灾期间的无线电频率保障。区规划国土建设部负责指导灾后房屋建筑和市政基础设施工程的安全应急评估、鉴定与加固等工作；负责组织、指导、协调和监督地质灾害调查评价及隐患的普查、详查、排查，指导开展群测群防、专业监测和预警预报等工作，指导开展地质灾害工程治理工作，承担地质灾害应急救援的技术支撑工作。区综合行政执法局负责指导灾区水利工程修复和水利行业供水工作。区卫生健康管理办公室负责灾区医疗救治和疾病预防控制等工作。</w:t>
      </w:r>
    </w:p>
    <w:p w14:paraId="6EB7FD35">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（7）区应急分局视情发布接收救灾捐赠公告，组织开展全区性救灾捐赠活动，统一接收、管理、分配救灾捐赠款物，指导社会组织、志愿者、企业等社会力量参与灾害救助工作。</w:t>
      </w:r>
    </w:p>
    <w:p w14:paraId="70773FA4">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8）灾情稳定后，根据区管委关于灾情评估的有关部署，区减灾委组织受灾街道（管理处）政府、减灾委有关成员单位开展灾害损失综合评估、核定工作。区减灾委办公室按有关规定统一发布自然灾害损失情况。</w:t>
      </w:r>
    </w:p>
    <w:p w14:paraId="12A17B35">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（9）区减灾委其他成员单位按照职责分工，做好相关工作。</w:t>
      </w:r>
    </w:p>
    <w:p w14:paraId="4902E03B">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（二）Ⅱ级响应</w:t>
      </w:r>
    </w:p>
    <w:p w14:paraId="72A2AC7A">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1.启动条件</w:t>
      </w:r>
    </w:p>
    <w:p w14:paraId="1CA3E872">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本管辖区域内，一次自然灾害过程出现下列情况之一的，启动Ⅱ级响应：</w:t>
      </w:r>
    </w:p>
    <w:p w14:paraId="4EACE878">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（1）死亡3人以上，10人以下；</w:t>
      </w:r>
    </w:p>
    <w:p w14:paraId="18F6E60C">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（2）紧急转移安置或需紧急生活救助人0.3万人以上，1万人以下；</w:t>
      </w:r>
    </w:p>
    <w:p w14:paraId="18BCDBC6">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（3）倒塌和严重损坏房屋0.1万间以上，0.3万间以下；</w:t>
      </w:r>
    </w:p>
    <w:p w14:paraId="10C2A294">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（4）干旱灾害造成缺粮或缺水等生活困难，需政府救助人数占农业人口5%以上、10%以下。</w:t>
      </w:r>
    </w:p>
    <w:p w14:paraId="2F32136B">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2.启动程序</w:t>
      </w:r>
    </w:p>
    <w:p w14:paraId="122522A5">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灾害发生后，区减灾委办公室经分析评估，认定灾情达到启动标准，向区减灾委提出启动Ⅱ级响应的建议；区减灾委决定启动Ⅱ级响应。</w:t>
      </w:r>
    </w:p>
    <w:p w14:paraId="58CB3F03">
      <w:pPr>
        <w:spacing w:line="560" w:lineRule="exact"/>
        <w:ind w:left="404" w:left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3.响应措施</w:t>
      </w:r>
    </w:p>
    <w:p w14:paraId="2AAF1147">
      <w:pPr>
        <w:pStyle w:val="9"/>
        <w:spacing w:line="560" w:lineRule="exact"/>
        <w:ind w:firstLine="624" w:firstLineChars="200"/>
        <w:rPr>
          <w:sz w:val="32"/>
          <w:szCs w:val="32"/>
        </w:rPr>
      </w:pPr>
      <w:r>
        <w:rPr>
          <w:rFonts w:hint="eastAsia" w:ascii="仿宋_GB2312" w:hAnsi="仿宋_GB2312" w:eastAsia="仿宋_GB2312" w:cs="仿宋_GB2312"/>
          <w:kern w:val="0"/>
          <w:sz w:val="32"/>
          <w:szCs w:val="32"/>
        </w:rPr>
        <w:t>区减灾委组织协调区级层面自然灾害救助工作，指导受灾街道（管理处）自然灾害救助工作。区减灾委及其成员单位视情采取以下措施：</w:t>
      </w:r>
    </w:p>
    <w:p w14:paraId="5BD33A6A">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（1）区减灾委组织会商，区减灾委成员单位及有关受灾街道（管理处）参加，分析灾区形势，研究落实对灾区的救灾支持措施。</w:t>
      </w:r>
    </w:p>
    <w:p w14:paraId="05AE364F">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（2）区减灾委派出工作组赴灾区慰问受灾群众，核查灾情，指导地方开展救灾工作，必要时可成立现场应急指挥部。</w:t>
      </w:r>
    </w:p>
    <w:p w14:paraId="30E24C57">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区减灾委进入应急状态，有关成员单位实行24小时值班制度。区减灾委向灾区派出工作组和专家组对灾情发展趋势及灾区需求进行评估。区减灾委办公室按规定及时统计上报灾情和救灾工作情况，组织灾情会商评估，按照有关规定统一发布灾情及灾区需求。区减灾委有关成员单位按照职责做好灾害监测、预警、预报工作和新闻宣传等有关工作，及时做好灾情、灾区需求及救灾工作动态等信息共享，每日向区减灾委办公室通报有关情况，配合上级有关部门现场工作组开展工作。</w:t>
      </w:r>
    </w:p>
    <w:p w14:paraId="18D932D6">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根据灾区政府申请和有关部门对灾情的核定情况，向市政府或市财政局、市应急局申请自然灾害生活补助资金，区财政金融部、区应急分局及时下拨上级自然灾害生活补助资金。区应急分局视情调拨生活救助物资，指导、监督基层救灾应急措施落实和救灾款物发放。</w:t>
      </w:r>
    </w:p>
    <w:p w14:paraId="35292638">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（5）区卫生健康管理办公室根据需要，及时派出医疗卫生队伍赴灾区协助开展医疗救治、疾病预防控制和心理援助等工作。</w:t>
      </w:r>
    </w:p>
    <w:p w14:paraId="386F6F6A">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（6）区应急分局指导社会组织、志愿者、企业等社会力量参与灾害救助工作。视情向社会发布接收救灾捐赠的公告，组织开展全区性救灾捐赠活动，统一接收、管理、分配救灾捐赠款物。</w:t>
      </w:r>
    </w:p>
    <w:p w14:paraId="302958FB">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（7）灾情稳定后，区减灾委办公室组织评估、核定并按有关规定统一发布自然灾害损失情况。</w:t>
      </w:r>
    </w:p>
    <w:p w14:paraId="1F678BD6">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（8）区减灾委其他成员单位按照职责分工，做好有关工作。</w:t>
      </w:r>
    </w:p>
    <w:p w14:paraId="39E3794C">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（三）Ⅲ级响应</w:t>
      </w:r>
    </w:p>
    <w:p w14:paraId="4162B1CC">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1.启动条件</w:t>
      </w:r>
    </w:p>
    <w:p w14:paraId="74AC67F5">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本管辖区域内，一次自然灾害过程出现下列情况之一的，启动Ⅲ级响应：</w:t>
      </w:r>
    </w:p>
    <w:p w14:paraId="44E2C619">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（1）死亡1人以上，3人以下；</w:t>
      </w:r>
    </w:p>
    <w:p w14:paraId="7E0CF631">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（2）紧急转移安置或需紧急生活救助人0.1万人以上，0.3万人以下； </w:t>
      </w:r>
    </w:p>
    <w:p w14:paraId="1B1E9973">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（3）倒塌和严重损坏房屋0.03万间以上，0.1万间以下；</w:t>
      </w:r>
    </w:p>
    <w:p w14:paraId="5C6B7266">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（4）干旱灾害造成缺粮或缺水等生活困难，需政府救助人数占农业人口5%以上、10%以下。</w:t>
      </w:r>
    </w:p>
    <w:p w14:paraId="1B55DCBE">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2.启动程序</w:t>
      </w:r>
    </w:p>
    <w:p w14:paraId="29B3ED06">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灾害发生后，区减灾委办公室经分析评估，认定灾情达到启动标准，向区减灾委提出启动Ⅲ级响应的建议；区减灾委决定启动Ⅲ级响应。</w:t>
      </w:r>
    </w:p>
    <w:p w14:paraId="30C7BA97">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3.响应措施</w:t>
      </w:r>
    </w:p>
    <w:p w14:paraId="17D463E2">
      <w:pPr>
        <w:pStyle w:val="9"/>
        <w:spacing w:line="560" w:lineRule="exact"/>
        <w:ind w:firstLine="624" w:firstLineChars="200"/>
        <w:rPr>
          <w:sz w:val="32"/>
          <w:szCs w:val="32"/>
        </w:rPr>
      </w:pPr>
      <w:r>
        <w:rPr>
          <w:rFonts w:hint="eastAsia" w:ascii="仿宋_GB2312" w:hAnsi="仿宋_GB2312" w:eastAsia="仿宋_GB2312" w:cs="仿宋_GB2312"/>
          <w:kern w:val="0"/>
          <w:sz w:val="32"/>
          <w:szCs w:val="32"/>
        </w:rPr>
        <w:t>区减灾委组织协调区级层面自然灾害救助工作，指导受灾街道（管理处）进行自然灾害救助工作。区减灾委及其成员单位视情采取以下措施：</w:t>
      </w:r>
    </w:p>
    <w:p w14:paraId="75EFE011">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（1）区减灾委办公室及时组织会商，分析灾区形势，研究落实对灾区的救灾支持措施。</w:t>
      </w:r>
    </w:p>
    <w:p w14:paraId="0264E915">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（2）区减灾委办公室派出工作组赴灾区慰问受灾群众，核查灾情，协助指导地方开展救灾工作。</w:t>
      </w:r>
    </w:p>
    <w:p w14:paraId="1F57B64F">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区减灾委办公室进入应急状态，实行24小时值班制度。按规定及时统计上报灾情和救灾工作情况，组织灾情会商评估，按照有关规定统一发布灾情和救灾工作动态信息，协调有关部门落实对灾区抗灾救灾工作的支持措施，视情况向灾区派出工作组。</w:t>
      </w:r>
    </w:p>
    <w:p w14:paraId="2230C171">
      <w:pPr>
        <w:numPr>
          <w:ilvl w:val="0"/>
          <w:numId w:val="1"/>
        </w:num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根据灾区政府申请和有关部门对灾情的核定情况，必要时向市财政局、市应急局申请自然灾害生活补助资金，区财政金融部、区应急分局及时下拨上级自然灾害生活补助资金。</w:t>
      </w:r>
    </w:p>
    <w:p w14:paraId="2057EB7F">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（5）区应急分局视情为灾区调拨生活救助物资，指导、监督基层救灾应急措施的落实和救灾款物的发放。</w:t>
      </w:r>
    </w:p>
    <w:p w14:paraId="78C6696A">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（6）区应急分局指导社会组织、志愿者等社会力量参与灾害救助工作。区卫生健康管理办公室指导受灾地区做好医疗救治、卫生防疫和心理援助工作。</w:t>
      </w:r>
    </w:p>
    <w:p w14:paraId="7F94831E">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（7）灾情稳定后，区减灾委办公室指导受灾街道（管理处）评估、核定自然灾害损失情况。</w:t>
      </w:r>
    </w:p>
    <w:p w14:paraId="0F50848B">
      <w:pPr>
        <w:spacing w:line="560" w:lineRule="exact"/>
        <w:ind w:firstLine="624" w:firstLineChars="200"/>
        <w:rPr>
          <w:sz w:val="32"/>
          <w:szCs w:val="32"/>
        </w:rPr>
      </w:pPr>
      <w:r>
        <w:rPr>
          <w:rFonts w:hint="eastAsia" w:ascii="仿宋_GB2312" w:hAnsi="仿宋_GB2312" w:eastAsia="仿宋_GB2312" w:cs="仿宋_GB2312"/>
          <w:kern w:val="0"/>
          <w:sz w:val="32"/>
          <w:szCs w:val="32"/>
        </w:rPr>
        <w:t>（8）区减灾委其他成员单位按照职责分工，做好有关工作</w:t>
      </w:r>
      <w:r>
        <w:rPr>
          <w:rFonts w:hint="eastAsia" w:ascii="仿宋_GB2312" w:hAnsi="宋体" w:eastAsia="仿宋_GB2312" w:cs="仿宋_GB2312"/>
          <w:kern w:val="0"/>
          <w:sz w:val="32"/>
          <w:szCs w:val="32"/>
        </w:rPr>
        <w:t>。</w:t>
      </w:r>
    </w:p>
    <w:p w14:paraId="10CD2C75">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（四）响应终止</w:t>
      </w:r>
    </w:p>
    <w:p w14:paraId="795679F2">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救灾应急工作结束后，由区减灾委办公室提出建议，逐级报启动响应的单位决定终止响应。</w:t>
      </w:r>
    </w:p>
    <w:p w14:paraId="3DC6BEBB">
      <w:pPr>
        <w:spacing w:line="560" w:lineRule="exact"/>
        <w:ind w:firstLine="624" w:firstLineChars="200"/>
        <w:rPr>
          <w:sz w:val="32"/>
          <w:szCs w:val="32"/>
        </w:rPr>
      </w:pPr>
      <w:r>
        <w:rPr>
          <w:rFonts w:hint="eastAsia" w:ascii="黑体" w:hAnsi="宋体" w:eastAsia="黑体" w:cs="黑体"/>
          <w:kern w:val="0"/>
          <w:sz w:val="32"/>
          <w:szCs w:val="32"/>
        </w:rPr>
        <w:t>五、灾后生活救助</w:t>
      </w:r>
    </w:p>
    <w:p w14:paraId="2DBE17FE">
      <w:pPr>
        <w:spacing w:line="560" w:lineRule="exact"/>
        <w:ind w:firstLine="624" w:firstLineChars="200"/>
        <w:rPr>
          <w:sz w:val="32"/>
          <w:szCs w:val="32"/>
        </w:rPr>
      </w:pPr>
      <w:r>
        <w:rPr>
          <w:rFonts w:hint="eastAsia" w:ascii="楷体_GB2312" w:hAnsi="宋体" w:eastAsia="楷体_GB2312" w:cs="楷体_GB2312"/>
          <w:kern w:val="0"/>
          <w:sz w:val="32"/>
          <w:szCs w:val="32"/>
        </w:rPr>
        <w:t>（一）</w:t>
      </w:r>
      <w:r>
        <w:rPr>
          <w:rFonts w:hint="eastAsia" w:ascii="仿宋_GB2312" w:hAnsi="宋体" w:eastAsia="仿宋_GB2312" w:cs="仿宋_GB2312"/>
          <w:kern w:val="0"/>
          <w:sz w:val="32"/>
          <w:szCs w:val="32"/>
        </w:rPr>
        <w:t>各街道负责调查受灾地区灾民生活困难情况，建立需救济人口台账，组织实施灾民生活救助工作。</w:t>
      </w:r>
    </w:p>
    <w:p w14:paraId="11330EB0">
      <w:pPr>
        <w:spacing w:line="560" w:lineRule="exact"/>
        <w:ind w:firstLine="624" w:firstLineChars="200"/>
        <w:rPr>
          <w:sz w:val="32"/>
          <w:szCs w:val="32"/>
        </w:rPr>
      </w:pPr>
      <w:r>
        <w:rPr>
          <w:rFonts w:hint="eastAsia" w:ascii="楷体_GB2312" w:hAnsi="宋体" w:eastAsia="楷体_GB2312" w:cs="楷体_GB2312"/>
          <w:kern w:val="0"/>
          <w:sz w:val="32"/>
          <w:szCs w:val="32"/>
        </w:rPr>
        <w:t>（二）</w:t>
      </w:r>
      <w:r>
        <w:rPr>
          <w:rFonts w:hint="eastAsia" w:ascii="仿宋_GB2312" w:hAnsi="宋体" w:eastAsia="仿宋_GB2312" w:cs="仿宋_GB2312"/>
          <w:kern w:val="0"/>
          <w:sz w:val="32"/>
          <w:szCs w:val="32"/>
        </w:rPr>
        <w:t>区应急分局组织有关部门和单位赴灾区开展灾民生活困难状况评估，核实灾情；制定救助方案并在报区管委批准后，会同区财政金融部下拨自然灾害救济补助费，对灾民实施救助。</w:t>
      </w:r>
    </w:p>
    <w:p w14:paraId="59D94757">
      <w:pPr>
        <w:spacing w:line="560" w:lineRule="exact"/>
        <w:ind w:firstLine="624" w:firstLineChars="200"/>
        <w:rPr>
          <w:sz w:val="32"/>
          <w:szCs w:val="32"/>
        </w:rPr>
      </w:pPr>
      <w:r>
        <w:rPr>
          <w:rFonts w:hint="eastAsia" w:ascii="楷体_GB2312" w:hAnsi="宋体" w:eastAsia="楷体_GB2312" w:cs="楷体_GB2312"/>
          <w:kern w:val="0"/>
          <w:sz w:val="32"/>
          <w:szCs w:val="32"/>
        </w:rPr>
        <w:t>（三）</w:t>
      </w:r>
      <w:r>
        <w:rPr>
          <w:rFonts w:hint="eastAsia" w:ascii="仿宋_GB2312" w:hAnsi="宋体" w:eastAsia="仿宋_GB2312" w:cs="仿宋_GB2312"/>
          <w:kern w:val="0"/>
          <w:sz w:val="32"/>
          <w:szCs w:val="32"/>
        </w:rPr>
        <w:t>区应急分局应及时向社会通报救灾款下拨进度，确保救济资金及时足额下发到因灾生活困难户。同时，视灾情需要，采取开展社会捐助、对口支援等方式，解决灾民生活困难问题。</w:t>
      </w:r>
    </w:p>
    <w:p w14:paraId="1E9666CC">
      <w:pPr>
        <w:spacing w:line="560" w:lineRule="exact"/>
        <w:ind w:firstLine="624" w:firstLineChars="200"/>
        <w:rPr>
          <w:sz w:val="32"/>
          <w:szCs w:val="32"/>
        </w:rPr>
      </w:pPr>
      <w:r>
        <w:rPr>
          <w:rFonts w:hint="eastAsia" w:ascii="黑体" w:hAnsi="宋体" w:eastAsia="黑体" w:cs="黑体"/>
          <w:kern w:val="0"/>
          <w:sz w:val="32"/>
          <w:szCs w:val="32"/>
        </w:rPr>
        <w:t>六、倒房恢复重建</w:t>
      </w:r>
    </w:p>
    <w:p w14:paraId="04947BE9">
      <w:pPr>
        <w:spacing w:line="560" w:lineRule="exact"/>
        <w:ind w:firstLine="624" w:firstLineChars="200"/>
        <w:rPr>
          <w:sz w:val="32"/>
          <w:szCs w:val="32"/>
        </w:rPr>
      </w:pPr>
      <w:r>
        <w:rPr>
          <w:rFonts w:hint="eastAsia" w:ascii="楷体_GB2312" w:hAnsi="宋体" w:eastAsia="楷体_GB2312" w:cs="楷体_GB2312"/>
          <w:kern w:val="0"/>
          <w:sz w:val="32"/>
          <w:szCs w:val="32"/>
        </w:rPr>
        <w:t>（一）核查灾情。</w:t>
      </w:r>
      <w:r>
        <w:rPr>
          <w:rFonts w:hint="eastAsia" w:ascii="仿宋_GB2312" w:hAnsi="仿宋_GB2312" w:eastAsia="仿宋_GB2312" w:cs="仿宋_GB2312"/>
          <w:kern w:val="0"/>
          <w:sz w:val="32"/>
          <w:szCs w:val="32"/>
        </w:rPr>
        <w:t>灾情稳定后，区应急分局组织灾情核定，建立因灾倒损房屋台账；7日内，区应急分局将全区因灾倒损房屋等灾害损失情况上报区管委和市应急局。</w:t>
      </w:r>
    </w:p>
    <w:p w14:paraId="6FED413A">
      <w:pPr>
        <w:spacing w:line="560" w:lineRule="exact"/>
        <w:ind w:firstLine="624" w:firstLineChars="200"/>
        <w:rPr>
          <w:sz w:val="32"/>
          <w:szCs w:val="32"/>
        </w:rPr>
      </w:pPr>
      <w:r>
        <w:rPr>
          <w:rFonts w:hint="eastAsia" w:ascii="楷体_GB2312" w:hAnsi="宋体" w:eastAsia="楷体_GB2312" w:cs="楷体_GB2312"/>
          <w:kern w:val="0"/>
          <w:sz w:val="32"/>
          <w:szCs w:val="32"/>
        </w:rPr>
        <w:t>（二）组织实施。</w:t>
      </w:r>
      <w:r>
        <w:rPr>
          <w:rFonts w:hint="eastAsia" w:ascii="仿宋_GB2312" w:hAnsi="宋体" w:eastAsia="仿宋_GB2312" w:cs="仿宋_GB2312"/>
          <w:kern w:val="0"/>
          <w:sz w:val="32"/>
          <w:szCs w:val="32"/>
        </w:rPr>
        <w:t>灾民倒房重建由区管委负责组织实施，采取自建、援建和帮建相结合方式，以受灾户自建为主。建房资金应通过政府救济、社会互助、自行借贷等多种途径解决。</w:t>
      </w:r>
    </w:p>
    <w:p w14:paraId="725D60FE">
      <w:pPr>
        <w:spacing w:line="560" w:lineRule="exact"/>
        <w:ind w:firstLine="624" w:firstLineChars="200"/>
        <w:rPr>
          <w:sz w:val="32"/>
          <w:szCs w:val="32"/>
        </w:rPr>
      </w:pPr>
      <w:r>
        <w:rPr>
          <w:rFonts w:hint="eastAsia" w:ascii="楷体_GB2312" w:hAnsi="宋体" w:eastAsia="楷体_GB2312" w:cs="楷体_GB2312"/>
          <w:kern w:val="0"/>
          <w:sz w:val="32"/>
          <w:szCs w:val="32"/>
        </w:rPr>
        <w:t>（三）调查总结。</w:t>
      </w:r>
      <w:r>
        <w:rPr>
          <w:rFonts w:hint="eastAsia" w:ascii="仿宋_GB2312" w:hAnsi="宋体" w:eastAsia="仿宋_GB2312" w:cs="仿宋_GB2312"/>
          <w:kern w:val="0"/>
          <w:sz w:val="32"/>
          <w:szCs w:val="32"/>
        </w:rPr>
        <w:t>自然灾害救助工作结束后，领导小组办公室应组织有关部门和单位对受灾情况进行调查，分析灾害造成损失的原因，提出防范措施建议，并上报区管委和市应急局。</w:t>
      </w:r>
    </w:p>
    <w:p w14:paraId="482003A5">
      <w:pPr>
        <w:spacing w:line="560" w:lineRule="exact"/>
        <w:ind w:firstLine="624" w:firstLineChars="200"/>
        <w:rPr>
          <w:sz w:val="32"/>
          <w:szCs w:val="32"/>
        </w:rPr>
      </w:pPr>
      <w:r>
        <w:rPr>
          <w:rFonts w:hint="eastAsia" w:ascii="黑体" w:hAnsi="宋体" w:eastAsia="黑体" w:cs="黑体"/>
          <w:kern w:val="0"/>
          <w:sz w:val="32"/>
          <w:szCs w:val="32"/>
        </w:rPr>
        <w:t>七、应急保障</w:t>
      </w:r>
    </w:p>
    <w:p w14:paraId="3F3BA9F8">
      <w:pPr>
        <w:spacing w:line="560" w:lineRule="exact"/>
        <w:ind w:firstLine="624" w:firstLineChars="200"/>
        <w:rPr>
          <w:rFonts w:ascii="楷体_GB2312" w:hAnsi="宋体" w:eastAsia="楷体_GB2312" w:cs="楷体_GB2312"/>
          <w:kern w:val="0"/>
          <w:sz w:val="32"/>
          <w:szCs w:val="32"/>
        </w:rPr>
      </w:pPr>
      <w:r>
        <w:rPr>
          <w:rFonts w:hint="eastAsia" w:ascii="仿宋_GB2312" w:hAnsi="宋体" w:eastAsia="仿宋_GB2312" w:cs="仿宋_GB2312"/>
          <w:kern w:val="0"/>
          <w:sz w:val="32"/>
          <w:szCs w:val="32"/>
        </w:rPr>
        <w:t>区</w:t>
      </w:r>
      <w:r>
        <w:rPr>
          <w:rFonts w:ascii="仿宋_GB2312" w:hAnsi="宋体" w:eastAsia="仿宋_GB2312" w:cs="仿宋_GB2312"/>
          <w:kern w:val="0"/>
          <w:sz w:val="32"/>
          <w:szCs w:val="32"/>
        </w:rPr>
        <w:t>管委及其有关部门和单位应按照职责分工和相</w:t>
      </w:r>
      <w:r>
        <w:rPr>
          <w:rFonts w:hint="eastAsia" w:ascii="仿宋_GB2312" w:hAnsi="宋体" w:eastAsia="仿宋_GB2312" w:cs="仿宋_GB2312"/>
          <w:kern w:val="0"/>
          <w:sz w:val="32"/>
          <w:szCs w:val="32"/>
        </w:rPr>
        <w:t xml:space="preserve">关预案规定，协同做好应对自然灾害的资金、队伍、物资、通信、电力、交通运输、医疗卫生等保障工作，保障自然灾害救助工作所需和灾区群众的基本生活，确保灾害救助工作顺利进行。 </w:t>
      </w:r>
    </w:p>
    <w:p w14:paraId="51CB197D">
      <w:pPr>
        <w:spacing w:line="560" w:lineRule="exact"/>
        <w:ind w:firstLine="624" w:firstLineChars="200"/>
        <w:rPr>
          <w:rFonts w:ascii="楷体_GB2312" w:hAnsi="宋体" w:eastAsia="楷体_GB2312" w:cs="楷体_GB2312"/>
          <w:kern w:val="0"/>
          <w:sz w:val="32"/>
          <w:szCs w:val="32"/>
        </w:rPr>
      </w:pPr>
      <w:r>
        <w:rPr>
          <w:rFonts w:hint="eastAsia" w:ascii="楷体_GB2312" w:hAnsi="宋体" w:eastAsia="楷体_GB2312" w:cs="楷体_GB2312"/>
          <w:kern w:val="0"/>
          <w:sz w:val="32"/>
          <w:szCs w:val="32"/>
        </w:rPr>
        <w:t>（一）</w:t>
      </w:r>
      <w:r>
        <w:rPr>
          <w:rFonts w:ascii="楷体_GB2312" w:hAnsi="宋体" w:eastAsia="楷体_GB2312" w:cs="楷体_GB2312"/>
          <w:kern w:val="0"/>
          <w:sz w:val="32"/>
          <w:szCs w:val="32"/>
        </w:rPr>
        <w:t>资金保障</w:t>
      </w:r>
    </w:p>
    <w:p w14:paraId="4248EC5E">
      <w:pPr>
        <w:spacing w:line="560" w:lineRule="exact"/>
        <w:ind w:firstLine="624"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应对自然灾害所需资金，应按照救灾工作分级负责、救灾资金分级负担、以属地为主的原则，多渠道筹集，保障应急救助工作需要。区管委应认真贯彻习近平总书记关于“常态减灾和非常态救灾相统一”的重要论述，根据《中华人民共和国预算法》《自然灾害救助条例》等法律法规，建立健全救灾资金投入保障机制，将自然灾害救助资金纳入</w:t>
      </w:r>
      <w:r>
        <w:rPr>
          <w:rFonts w:hint="eastAsia" w:ascii="仿宋_GB2312" w:hAnsi="宋体" w:eastAsia="仿宋_GB2312" w:cs="仿宋_GB2312"/>
          <w:kern w:val="0"/>
          <w:sz w:val="32"/>
          <w:szCs w:val="32"/>
        </w:rPr>
        <w:tab/>
      </w:r>
      <w:r>
        <w:rPr>
          <w:rFonts w:hint="eastAsia" w:ascii="仿宋_GB2312" w:hAnsi="宋体" w:eastAsia="仿宋_GB2312" w:cs="仿宋_GB2312"/>
          <w:kern w:val="0"/>
          <w:sz w:val="32"/>
          <w:szCs w:val="32"/>
        </w:rPr>
        <w:t xml:space="preserve">区财政预算。各相关单位应保障救灾资金投入，完善灾害救助政策，拓宽资金投入渠道，逐步建立完善资金长效投入机制。区应急局、区财政金融部按有关规定开展资金绩效目标管理工作。 </w:t>
      </w:r>
    </w:p>
    <w:p w14:paraId="21E84E69">
      <w:pPr>
        <w:spacing w:line="560" w:lineRule="exact"/>
        <w:ind w:firstLine="624" w:firstLineChars="200"/>
        <w:rPr>
          <w:rFonts w:ascii="楷体_GB2312" w:hAnsi="宋体" w:eastAsia="楷体_GB2312" w:cs="楷体_GB2312"/>
          <w:kern w:val="0"/>
          <w:sz w:val="32"/>
          <w:szCs w:val="32"/>
        </w:rPr>
      </w:pPr>
      <w:r>
        <w:rPr>
          <w:rFonts w:hint="eastAsia" w:ascii="楷体_GB2312" w:hAnsi="宋体" w:eastAsia="楷体_GB2312" w:cs="楷体_GB2312"/>
          <w:kern w:val="0"/>
          <w:sz w:val="32"/>
          <w:szCs w:val="32"/>
        </w:rPr>
        <w:t>（二）物资装备保障</w:t>
      </w:r>
    </w:p>
    <w:p w14:paraId="6F66AFC1">
      <w:pPr>
        <w:spacing w:line="560" w:lineRule="exact"/>
        <w:ind w:firstLine="624"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建立以政府储备为主、社会化储备为辅的多层次、多元化应急物资装备储备机制。区应急局负责提出区级救灾物资的储备需求和动用决策，组织编制区级救灾物资储备规划、品种目录和标准，会同区经济发展部等部门和单位确定年度购置计划，根据需要下达动用指令。区经济发展部根据区级救灾物资储备规划、品种目录和标准、年度购置计划，按权限组织实施区级救灾物资的收储、轮换和日常管理，根据动用指令按程序组织调出。建立应急物资、装备共用共享和协调机制，构建涵盖防汛抗旱、森林防灭火、地震、消防救援等重点领域装备、重要应急物资和人员队伍等组成的全区应急救助保障系统。发生自然灾害后，区管委组织成立的救灾应急指挥机构统筹调度指挥各行业领域应急物资、装备、设备及救援队伍等。建立健全救灾物资应急保障和征用补偿机制。区管委依法实施应急征用，被征用的财产使用后，应当及时返还被征用人。财产被征用或者被征用后毁损、灭失的，应当按照当时当地的市场平均价格给予补偿。</w:t>
      </w:r>
    </w:p>
    <w:p w14:paraId="64A56996">
      <w:pPr>
        <w:spacing w:line="560" w:lineRule="exact"/>
        <w:ind w:firstLine="624" w:firstLineChars="200"/>
        <w:rPr>
          <w:rFonts w:ascii="楷体_GB2312" w:hAnsi="宋体" w:eastAsia="楷体_GB2312" w:cs="楷体_GB2312"/>
          <w:kern w:val="0"/>
          <w:sz w:val="32"/>
          <w:szCs w:val="32"/>
        </w:rPr>
      </w:pPr>
      <w:r>
        <w:rPr>
          <w:rFonts w:hint="eastAsia" w:ascii="楷体_GB2312" w:hAnsi="宋体" w:eastAsia="楷体_GB2312" w:cs="楷体_GB2312"/>
          <w:kern w:val="0"/>
          <w:sz w:val="32"/>
          <w:szCs w:val="32"/>
        </w:rPr>
        <w:t>（三）通信和信息保障</w:t>
      </w:r>
    </w:p>
    <w:p w14:paraId="06EEE2E1">
      <w:pPr>
        <w:spacing w:line="560" w:lineRule="exact"/>
        <w:ind w:firstLine="624" w:firstLineChars="200"/>
        <w:rPr>
          <w:sz w:val="32"/>
          <w:szCs w:val="32"/>
        </w:rPr>
      </w:pPr>
      <w:r>
        <w:rPr>
          <w:rFonts w:hint="eastAsia" w:ascii="仿宋_GB2312" w:hAnsi="宋体" w:eastAsia="仿宋_GB2312" w:cs="仿宋_GB2312"/>
          <w:kern w:val="0"/>
          <w:sz w:val="32"/>
          <w:szCs w:val="32"/>
        </w:rPr>
        <w:t>区减灾委各相关成员单位要做好应急救灾物资储备，确保应急救助的需求。</w:t>
      </w:r>
    </w:p>
    <w:p w14:paraId="06BE8EE4">
      <w:pPr>
        <w:spacing w:line="560" w:lineRule="exact"/>
        <w:ind w:firstLine="624" w:firstLineChars="200"/>
        <w:rPr>
          <w:rFonts w:ascii="楷体_GB2312" w:hAnsi="宋体" w:eastAsia="楷体_GB2312" w:cs="楷体_GB2312"/>
          <w:kern w:val="0"/>
          <w:sz w:val="32"/>
          <w:szCs w:val="32"/>
        </w:rPr>
      </w:pPr>
      <w:r>
        <w:rPr>
          <w:rFonts w:hint="eastAsia" w:ascii="楷体_GB2312" w:hAnsi="宋体" w:eastAsia="楷体_GB2312" w:cs="楷体_GB2312"/>
          <w:kern w:val="0"/>
          <w:sz w:val="32"/>
          <w:szCs w:val="32"/>
        </w:rPr>
        <w:t>（四）医疗卫生保障</w:t>
      </w:r>
    </w:p>
    <w:p w14:paraId="584AEFD7">
      <w:pPr>
        <w:spacing w:line="560" w:lineRule="exact"/>
        <w:ind w:firstLine="624" w:firstLineChars="200"/>
        <w:rPr>
          <w:sz w:val="32"/>
          <w:szCs w:val="32"/>
        </w:rPr>
      </w:pPr>
      <w:r>
        <w:rPr>
          <w:rFonts w:hint="eastAsia" w:ascii="仿宋_GB2312" w:hAnsi="宋体" w:eastAsia="仿宋_GB2312" w:cs="仿宋_GB2312"/>
          <w:kern w:val="0"/>
          <w:sz w:val="32"/>
          <w:szCs w:val="32"/>
        </w:rPr>
        <w:t xml:space="preserve">区卫健委应根据实际需要和灾区请求，及时协调医疗卫生资源进行支援。必要时，动员社会卫生力量参与医疗卫生应急救助工作。 </w:t>
      </w:r>
    </w:p>
    <w:p w14:paraId="4000B32D">
      <w:pPr>
        <w:pStyle w:val="9"/>
        <w:spacing w:line="560" w:lineRule="exact"/>
        <w:ind w:firstLine="624" w:firstLineChars="200"/>
        <w:rPr>
          <w:sz w:val="32"/>
          <w:szCs w:val="32"/>
        </w:rPr>
      </w:pPr>
      <w:r>
        <w:rPr>
          <w:rFonts w:hint="eastAsia" w:ascii="楷体_GB2312" w:hAnsi="宋体" w:eastAsia="楷体_GB2312" w:cs="楷体_GB2312"/>
          <w:kern w:val="0"/>
          <w:sz w:val="32"/>
          <w:szCs w:val="32"/>
        </w:rPr>
        <w:t>（五）交通运输保障与治安维护</w:t>
      </w:r>
    </w:p>
    <w:p w14:paraId="28A959BA">
      <w:pPr>
        <w:spacing w:line="560" w:lineRule="exact"/>
        <w:ind w:firstLine="624" w:firstLineChars="200"/>
        <w:rPr>
          <w:sz w:val="32"/>
          <w:szCs w:val="32"/>
        </w:rPr>
      </w:pPr>
      <w:r>
        <w:rPr>
          <w:rFonts w:hint="eastAsia" w:ascii="仿宋_GB2312" w:hAnsi="宋体" w:eastAsia="仿宋_GB2312" w:cs="仿宋_GB2312"/>
          <w:kern w:val="0"/>
          <w:sz w:val="32"/>
          <w:szCs w:val="32"/>
        </w:rPr>
        <w:t xml:space="preserve">公路、水运等部门和单位应开通绿色通道，提供足够运力，保障救灾人员、物资优先运输，保障抢险救灾物资和人员能够快速、安全抵达灾区。应急救灾（救助）期间，对上级政府、应急部门批准执行抢险救灾任务车辆，免收车辆通行费并优先通行。根据救灾（救助）需要，区公安、交通运输等有关部门和单位应对进出灾区的道路及相关通道实施交通管制、抢通保通等相应交通管理和保障措施，保证救灾（救助）工作顺利开展。公安机关、武警部队根据指令按有关规定维护灾区社会治安稳定，依法严厉打击违法犯罪活动。灾区相关单位和个人应积极主动配合做好维护稳定工作。 </w:t>
      </w:r>
    </w:p>
    <w:p w14:paraId="1F177262">
      <w:pPr>
        <w:spacing w:line="560" w:lineRule="exact"/>
        <w:ind w:firstLine="624" w:firstLineChars="200"/>
        <w:rPr>
          <w:rFonts w:ascii="黑体" w:hAnsi="宋体" w:eastAsia="黑体" w:cs="黑体"/>
          <w:kern w:val="0"/>
          <w:sz w:val="32"/>
          <w:szCs w:val="32"/>
        </w:rPr>
      </w:pPr>
      <w:r>
        <w:rPr>
          <w:rFonts w:hint="eastAsia" w:ascii="楷体_GB2312" w:hAnsi="宋体" w:eastAsia="楷体_GB2312" w:cs="楷体_GB2312"/>
          <w:kern w:val="0"/>
          <w:sz w:val="32"/>
          <w:szCs w:val="32"/>
        </w:rPr>
        <w:t xml:space="preserve">（六）设备和设施保障 </w:t>
      </w:r>
    </w:p>
    <w:p w14:paraId="01A40297">
      <w:pPr>
        <w:spacing w:line="560" w:lineRule="exact"/>
        <w:ind w:firstLine="624" w:firstLineChars="200"/>
        <w:rPr>
          <w:rFonts w:ascii="黑体" w:hAnsi="宋体" w:eastAsia="黑体" w:cs="黑体"/>
          <w:kern w:val="0"/>
          <w:sz w:val="32"/>
          <w:szCs w:val="32"/>
        </w:rPr>
      </w:pPr>
      <w:r>
        <w:rPr>
          <w:rFonts w:hint="eastAsia" w:ascii="仿宋_GB2312" w:hAnsi="宋体" w:eastAsia="仿宋_GB2312" w:cs="仿宋_GB2312"/>
          <w:kern w:val="0"/>
          <w:sz w:val="32"/>
          <w:szCs w:val="32"/>
        </w:rPr>
        <w:t>区有关部门和单位应配备救灾（救助）管理工作必需的设备和装备。建立健全自然灾害救助应急指挥技术支撑系统，为自然灾害救灾（救助）工作提供必要的交通、通信等设备。区管委应根据当地居民人口数量和分布等情况，利用公园、广场、体育场馆、学校操场等公共设施， 统筹规划设立应急避难场所，并设置明显标志。自然灾害多发、易发地应规划建设专用应急避难场所。灾情发生后，区管委应及时启用避难场所，科学设置集中安置点，防范次生灾害，加强安置点消防安全、卫生防疫、食品安全、治安等方面保障，确保安置点运转规范有序。区有关部门和单位应按照职责分工，保障灾区供排水、用电、用油、通信的基础设施安全运行。加强基层应急队伍装备建设，为救灾（救助）人员配备符合要求的安全防护装备，鼓励支持为救灾（救助）人员购买人身意外伤害保险，提高抢险救援队伍战斗力。</w:t>
      </w:r>
    </w:p>
    <w:p w14:paraId="3305174C">
      <w:pPr>
        <w:spacing w:line="560" w:lineRule="exact"/>
        <w:ind w:firstLine="624" w:firstLineChars="200"/>
        <w:rPr>
          <w:rFonts w:ascii="黑体" w:hAnsi="宋体" w:eastAsia="黑体" w:cs="黑体"/>
          <w:kern w:val="0"/>
          <w:sz w:val="32"/>
          <w:szCs w:val="32"/>
        </w:rPr>
      </w:pPr>
      <w:r>
        <w:rPr>
          <w:rFonts w:hint="eastAsia" w:ascii="楷体_GB2312" w:hAnsi="宋体" w:eastAsia="楷体_GB2312" w:cs="楷体_GB2312"/>
          <w:kern w:val="0"/>
          <w:sz w:val="32"/>
          <w:szCs w:val="32"/>
        </w:rPr>
        <w:t>（七）人力资源保障</w:t>
      </w:r>
    </w:p>
    <w:p w14:paraId="06D52454">
      <w:pPr>
        <w:spacing w:line="560" w:lineRule="exact"/>
        <w:ind w:firstLine="624" w:firstLineChars="200"/>
        <w:rPr>
          <w:sz w:val="32"/>
          <w:szCs w:val="32"/>
        </w:rPr>
      </w:pPr>
      <w:r>
        <w:rPr>
          <w:rFonts w:hint="eastAsia" w:ascii="仿宋_GB2312" w:hAnsi="宋体" w:eastAsia="仿宋_GB2312" w:cs="仿宋_GB2312"/>
          <w:kern w:val="0"/>
          <w:sz w:val="32"/>
          <w:szCs w:val="32"/>
        </w:rPr>
        <w:t>加强自然灾害各类专业救灾（救助）队伍建设和灾情管理人员队伍建设，提高自然灾害应对处置能力。支持、培育和发展相关社会组织和志愿者队伍，通过政府购买服务等方式引导具备相应资质和救灾（救助）能力的社会力量，积极参与救灾（救助）工作，鼓励其发挥作用。区减灾委各成员单位视情组织开展灾情会商、损失评估、灾害救助、心理抚慰、医疗救助等其他救灾（救助）辅助的业务咨询工作。建立完善灾害信息员分级培训制度，强化业务培训，及时规范报送灾情信息，村（居）民委员会和企事业单位应当设立专职或者兼职的灾害信息员。建立应急演练制度，每年汛期前应组织开展多层次、多灾种应急联合演练活动。</w:t>
      </w:r>
    </w:p>
    <w:p w14:paraId="50CCE56C">
      <w:pPr>
        <w:spacing w:line="560" w:lineRule="exact"/>
        <w:ind w:firstLine="624" w:firstLineChars="200"/>
        <w:rPr>
          <w:rFonts w:ascii="黑体" w:hAnsi="宋体" w:eastAsia="黑体" w:cs="黑体"/>
          <w:kern w:val="0"/>
          <w:sz w:val="32"/>
          <w:szCs w:val="32"/>
        </w:rPr>
      </w:pPr>
      <w:r>
        <w:rPr>
          <w:rFonts w:hint="eastAsia" w:ascii="楷体_GB2312" w:hAnsi="宋体" w:eastAsia="楷体_GB2312" w:cs="楷体_GB2312"/>
          <w:kern w:val="0"/>
          <w:sz w:val="32"/>
          <w:szCs w:val="32"/>
        </w:rPr>
        <w:t>（八）社会动员保障</w:t>
      </w:r>
    </w:p>
    <w:p w14:paraId="07ACCD7E">
      <w:pPr>
        <w:spacing w:line="560" w:lineRule="exact"/>
        <w:ind w:firstLine="624" w:firstLineChars="200"/>
        <w:rPr>
          <w:sz w:val="32"/>
          <w:szCs w:val="32"/>
        </w:rPr>
      </w:pPr>
      <w:r>
        <w:rPr>
          <w:rFonts w:hint="eastAsia" w:ascii="仿宋_GB2312" w:hAnsi="宋体" w:eastAsia="仿宋_GB2312" w:cs="仿宋_GB2312"/>
          <w:kern w:val="0"/>
          <w:sz w:val="32"/>
          <w:szCs w:val="32"/>
        </w:rPr>
        <w:t xml:space="preserve">完善救灾捐赠管理相关政策，建立健全救灾捐赠动员、运行和监督管理机制，规范救灾捐赠的组织发动、需求引导、款物接收、统计、分配、使用、公示反馈等各个环节的工作。完善非灾区支援灾区、轻灾区支援重灾区的救助对口支援机制。科学组织，有效引导，充分发挥企事业单位、社会组织和志愿者在灾害救助工作中的作用。 </w:t>
      </w:r>
    </w:p>
    <w:p w14:paraId="62F2CA30">
      <w:pPr>
        <w:spacing w:line="560" w:lineRule="exact"/>
        <w:ind w:firstLine="624" w:firstLineChars="200"/>
        <w:rPr>
          <w:rFonts w:ascii="楷体_GB2312" w:hAnsi="宋体" w:eastAsia="楷体_GB2312" w:cs="楷体_GB2312"/>
          <w:kern w:val="0"/>
          <w:sz w:val="32"/>
          <w:szCs w:val="32"/>
        </w:rPr>
      </w:pPr>
      <w:r>
        <w:rPr>
          <w:rFonts w:hint="eastAsia" w:ascii="楷体_GB2312" w:hAnsi="宋体" w:eastAsia="楷体_GB2312" w:cs="楷体_GB2312"/>
          <w:kern w:val="0"/>
          <w:sz w:val="32"/>
          <w:szCs w:val="32"/>
        </w:rPr>
        <w:t>（九）科技保障</w:t>
      </w:r>
    </w:p>
    <w:p w14:paraId="47983A96">
      <w:pPr>
        <w:spacing w:line="560" w:lineRule="exact"/>
        <w:ind w:firstLine="624" w:firstLineChars="200"/>
        <w:rPr>
          <w:sz w:val="32"/>
          <w:szCs w:val="32"/>
        </w:rPr>
      </w:pPr>
      <w:r>
        <w:rPr>
          <w:rFonts w:hint="eastAsia" w:ascii="仿宋_GB2312" w:hAnsi="宋体" w:eastAsia="仿宋_GB2312" w:cs="仿宋_GB2312"/>
          <w:kern w:val="0"/>
          <w:sz w:val="32"/>
          <w:szCs w:val="32"/>
        </w:rPr>
        <w:t xml:space="preserve">依托上级灾害监测预警系统，建立健全与气象、自然资源和规划、海洋发展和渔业等部门和单位间协作共享机制，逐步建立我区灾害监测预警、分析评估和应急决策支持系统。组织相关部门完成灾害风险调查，编制全区自然灾害风险区划图，摸清全区风险隐患点，切实提高自然灾害防治能力。加强突发重大自然灾害预警信息发布系统建设，及时向社会公众发布自然灾害预警，实现灾情预警预报和救灾（救助）信息全面立体覆盖。区科技局提供科技方面的综合咨询建议，协调适用于灾区救灾的科技成果支持救灾工作。区教育分局牵头灾区因灾受损校舍修复加固，保障灾区学校（幼儿园）按时复学复课，及时为受灾师生提供心理抚慰和疏导。 </w:t>
      </w:r>
    </w:p>
    <w:p w14:paraId="64B26BAE">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（十）</w:t>
      </w:r>
      <w:r>
        <w:rPr>
          <w:rFonts w:hint="eastAsia" w:ascii="楷体_GB2312" w:hAnsi="宋体" w:eastAsia="楷体_GB2312" w:cs="楷体_GB2312"/>
          <w:kern w:val="0"/>
          <w:sz w:val="32"/>
          <w:szCs w:val="32"/>
        </w:rPr>
        <w:t>宣传教育</w:t>
      </w:r>
    </w:p>
    <w:p w14:paraId="1E77145A">
      <w:pPr>
        <w:spacing w:line="560" w:lineRule="exact"/>
        <w:ind w:firstLine="624" w:firstLineChars="200"/>
        <w:rPr>
          <w:rFonts w:ascii="黑体" w:hAnsi="宋体" w:eastAsia="黑体" w:cs="黑体"/>
          <w:kern w:val="0"/>
          <w:sz w:val="32"/>
          <w:szCs w:val="32"/>
        </w:rPr>
      </w:pPr>
      <w:r>
        <w:rPr>
          <w:rFonts w:hint="eastAsia" w:ascii="仿宋_GB2312" w:hAnsi="宋体" w:eastAsia="仿宋_GB2312" w:cs="仿宋_GB2312"/>
          <w:kern w:val="0"/>
          <w:sz w:val="32"/>
          <w:szCs w:val="32"/>
        </w:rPr>
        <w:t xml:space="preserve">区减灾委及其成员单位按职责组织开展全区防灾减灾救灾宣传活动，利用各种媒体宣传灾害应急法律法规和灾害预防、避险、避灾、自救、互救、保险等常识，组织好“防灾减灾日”“国际减灾日”“世界急救日”“全国科普日”“全国消防日”和“国际民防日”等活动，加强科普宣传，提高公民防范意识和科学自救、互救能力。积极推进社区减灾救灾活动，强化基层救灾（救助）能力建设。 </w:t>
      </w:r>
    </w:p>
    <w:p w14:paraId="03548CA6">
      <w:pPr>
        <w:spacing w:line="560" w:lineRule="exact"/>
        <w:ind w:firstLine="624" w:firstLineChars="200"/>
        <w:rPr>
          <w:sz w:val="32"/>
          <w:szCs w:val="32"/>
        </w:rPr>
      </w:pPr>
      <w:r>
        <w:rPr>
          <w:rFonts w:hint="eastAsia" w:ascii="黑体" w:hAnsi="宋体" w:eastAsia="黑体" w:cs="黑体"/>
          <w:kern w:val="0"/>
          <w:sz w:val="32"/>
          <w:szCs w:val="32"/>
        </w:rPr>
        <w:t xml:space="preserve">八、监督管理 </w:t>
      </w:r>
    </w:p>
    <w:p w14:paraId="4274C091">
      <w:pPr>
        <w:spacing w:line="560" w:lineRule="exact"/>
        <w:ind w:firstLine="624" w:firstLineChars="200"/>
        <w:rPr>
          <w:rFonts w:ascii="楷体_GB2312" w:hAnsi="宋体" w:eastAsia="楷体_GB2312" w:cs="楷体_GB2312"/>
          <w:kern w:val="0"/>
          <w:sz w:val="32"/>
          <w:szCs w:val="32"/>
        </w:rPr>
      </w:pPr>
      <w:r>
        <w:rPr>
          <w:rFonts w:hint="eastAsia" w:ascii="楷体_GB2312" w:hAnsi="宋体" w:eastAsia="楷体_GB2312" w:cs="楷体_GB2312"/>
          <w:kern w:val="0"/>
          <w:sz w:val="32"/>
          <w:szCs w:val="32"/>
        </w:rPr>
        <w:t>（一）预案演练</w:t>
      </w:r>
    </w:p>
    <w:p w14:paraId="1B767B37">
      <w:pPr>
        <w:spacing w:line="560" w:lineRule="exact"/>
        <w:ind w:firstLine="624" w:firstLineChars="200"/>
        <w:rPr>
          <w:sz w:val="32"/>
          <w:szCs w:val="32"/>
        </w:rPr>
      </w:pPr>
      <w:r>
        <w:rPr>
          <w:rFonts w:hint="eastAsia" w:ascii="仿宋_GB2312" w:hAnsi="宋体" w:eastAsia="仿宋_GB2312" w:cs="仿宋_GB2312"/>
          <w:kern w:val="0"/>
          <w:sz w:val="32"/>
          <w:szCs w:val="32"/>
        </w:rPr>
        <w:t>区减灾委成员单位制定应急演练计划并定期组织演练。加强自然灾害多发、易发地区自然灾害应急救助演练，检验并提升自然灾害应急准备、应急响应和应急救助能力。</w:t>
      </w:r>
    </w:p>
    <w:p w14:paraId="439BA6BF">
      <w:pPr>
        <w:spacing w:line="560" w:lineRule="exact"/>
        <w:ind w:firstLine="624" w:firstLineChars="200"/>
        <w:rPr>
          <w:rFonts w:ascii="楷体_GB2312" w:hAnsi="宋体" w:eastAsia="楷体_GB2312" w:cs="楷体_GB2312"/>
          <w:kern w:val="0"/>
          <w:sz w:val="32"/>
          <w:szCs w:val="32"/>
        </w:rPr>
      </w:pPr>
      <w:r>
        <w:rPr>
          <w:rFonts w:hint="eastAsia" w:ascii="楷体_GB2312" w:hAnsi="宋体" w:eastAsia="楷体_GB2312" w:cs="楷体_GB2312"/>
          <w:kern w:val="0"/>
          <w:sz w:val="32"/>
          <w:szCs w:val="32"/>
        </w:rPr>
        <w:t>（二）教育培训</w:t>
      </w:r>
    </w:p>
    <w:p w14:paraId="0E79F0E6">
      <w:pPr>
        <w:spacing w:line="560" w:lineRule="exact"/>
        <w:ind w:firstLine="624" w:firstLineChars="200"/>
        <w:rPr>
          <w:sz w:val="32"/>
          <w:szCs w:val="32"/>
        </w:rPr>
      </w:pPr>
      <w:r>
        <w:rPr>
          <w:rFonts w:hint="eastAsia" w:ascii="仿宋_GB2312" w:hAnsi="宋体" w:eastAsia="仿宋_GB2312" w:cs="仿宋_GB2312"/>
          <w:kern w:val="0"/>
          <w:sz w:val="32"/>
          <w:szCs w:val="32"/>
        </w:rPr>
        <w:t xml:space="preserve">区减灾委成员单位负责制定预案培训计划，定期组织开展应对自然灾害的业务培训。区减灾委及其成员单位应建立健全自然灾害应急管理培训制度，组织开展对灾害应急管理人员、专业应急救灾（救助）队伍、社会组织、志愿者的教育培训，针对性确定教育内容、考核标准，提高应对处置突发自然灾害的专业素质和能力。 </w:t>
      </w:r>
    </w:p>
    <w:p w14:paraId="47A327E7">
      <w:pPr>
        <w:spacing w:line="560" w:lineRule="exact"/>
        <w:ind w:firstLine="624" w:firstLineChars="200"/>
        <w:rPr>
          <w:rFonts w:ascii="楷体_GB2312" w:hAnsi="宋体" w:eastAsia="楷体_GB2312" w:cs="楷体_GB2312"/>
          <w:kern w:val="0"/>
          <w:sz w:val="32"/>
          <w:szCs w:val="32"/>
        </w:rPr>
      </w:pPr>
      <w:r>
        <w:rPr>
          <w:rFonts w:hint="eastAsia" w:ascii="楷体_GB2312" w:hAnsi="宋体" w:eastAsia="楷体_GB2312" w:cs="楷体_GB2312"/>
          <w:kern w:val="0"/>
          <w:sz w:val="32"/>
          <w:szCs w:val="32"/>
        </w:rPr>
        <w:t>（三）奖励惩处</w:t>
      </w:r>
    </w:p>
    <w:p w14:paraId="02C6D4A1">
      <w:pPr>
        <w:spacing w:line="560" w:lineRule="exact"/>
        <w:ind w:firstLine="624" w:firstLineChars="200"/>
        <w:rPr>
          <w:sz w:val="32"/>
          <w:szCs w:val="32"/>
        </w:rPr>
      </w:pPr>
      <w:r>
        <w:rPr>
          <w:rFonts w:hint="eastAsia" w:ascii="仿宋_GB2312" w:hAnsi="宋体" w:eastAsia="仿宋_GB2312" w:cs="仿宋_GB2312"/>
          <w:kern w:val="0"/>
          <w:sz w:val="32"/>
          <w:szCs w:val="32"/>
        </w:rPr>
        <w:t xml:space="preserve">区应急局会同区减灾委有关成员单位适时组织对《高新区自然灾害救助应急预案》执行情况进行调研核查，督促有关地方和单位对自然灾害救助工作中存在的问题进行整改。对在自然灾害应对处置工作中做出积极贡献的单位和个人，按有关规定予以表彰奖励。对因迟报、谎报、瞒报自然灾害重要情况或在灾害救助工作中有不当行为，导致人民群众生命财产或国有资产遭受重大损失的，依据有关规定严肃追责；构成犯罪的，依法追究刑事责任。 </w:t>
      </w:r>
    </w:p>
    <w:p w14:paraId="54FE5072">
      <w:pPr>
        <w:spacing w:line="560" w:lineRule="exact"/>
        <w:ind w:firstLine="624" w:firstLineChars="200"/>
        <w:rPr>
          <w:rFonts w:ascii="黑体" w:hAnsi="黑体" w:eastAsia="黑体" w:cs="黑体"/>
          <w:sz w:val="32"/>
          <w:szCs w:val="32"/>
        </w:rPr>
      </w:pPr>
      <w:r>
        <w:rPr>
          <w:rFonts w:hint="eastAsia" w:ascii="黑体" w:hAnsi="黑体" w:eastAsia="黑体" w:cs="黑体"/>
          <w:sz w:val="32"/>
          <w:szCs w:val="32"/>
        </w:rPr>
        <w:t>九、附则</w:t>
      </w:r>
    </w:p>
    <w:p w14:paraId="3F81DD4D">
      <w:pPr>
        <w:spacing w:line="560" w:lineRule="exact"/>
        <w:ind w:firstLine="624" w:firstLineChars="200"/>
        <w:rPr>
          <w:rFonts w:ascii="楷体_GB2312" w:hAnsi="宋体" w:eastAsia="楷体_GB2312" w:cs="楷体_GB2312"/>
          <w:kern w:val="0"/>
          <w:sz w:val="32"/>
          <w:szCs w:val="32"/>
        </w:rPr>
      </w:pPr>
      <w:r>
        <w:rPr>
          <w:rFonts w:hint="eastAsia" w:ascii="楷体_GB2312" w:hAnsi="宋体" w:eastAsia="楷体_GB2312" w:cs="楷体_GB2312"/>
          <w:kern w:val="0"/>
          <w:sz w:val="32"/>
          <w:szCs w:val="32"/>
        </w:rPr>
        <w:t>（一）预案管理</w:t>
      </w:r>
    </w:p>
    <w:p w14:paraId="753597EA">
      <w:pPr>
        <w:spacing w:line="560" w:lineRule="exact"/>
        <w:ind w:firstLine="624" w:firstLineChars="200"/>
        <w:rPr>
          <w:sz w:val="32"/>
          <w:szCs w:val="32"/>
        </w:rPr>
      </w:pPr>
      <w:r>
        <w:rPr>
          <w:rFonts w:hint="eastAsia" w:ascii="仿宋_GB2312" w:hAnsi="宋体" w:eastAsia="仿宋_GB2312" w:cs="仿宋_GB2312"/>
          <w:kern w:val="0"/>
          <w:sz w:val="32"/>
          <w:szCs w:val="32"/>
        </w:rPr>
        <w:t xml:space="preserve">本预案由区应急局根据《烟台市自然灾害救助应急预案》修订，各街道参照本预案制定完善相应的自然灾害应急救助预案。区有关部门和单位应制定落实本预案任务的具体工作方案，强化责任落实。 </w:t>
      </w:r>
    </w:p>
    <w:p w14:paraId="31914E5A">
      <w:pPr>
        <w:spacing w:line="560" w:lineRule="exact"/>
        <w:ind w:firstLine="624" w:firstLineChars="200"/>
        <w:rPr>
          <w:rFonts w:ascii="楷体_GB2312" w:hAnsi="宋体" w:eastAsia="楷体_GB2312" w:cs="楷体_GB2312"/>
          <w:kern w:val="0"/>
          <w:sz w:val="32"/>
          <w:szCs w:val="32"/>
        </w:rPr>
      </w:pPr>
      <w:r>
        <w:rPr>
          <w:rFonts w:hint="eastAsia" w:ascii="楷体_GB2312" w:hAnsi="宋体" w:eastAsia="楷体_GB2312" w:cs="楷体_GB2312"/>
          <w:kern w:val="0"/>
          <w:sz w:val="32"/>
          <w:szCs w:val="32"/>
        </w:rPr>
        <w:t>（二）预案解释</w:t>
      </w:r>
    </w:p>
    <w:p w14:paraId="269881DE">
      <w:pPr>
        <w:spacing w:line="560" w:lineRule="exact"/>
        <w:ind w:firstLine="624" w:firstLineChars="200"/>
        <w:rPr>
          <w:sz w:val="32"/>
          <w:szCs w:val="32"/>
        </w:rPr>
      </w:pPr>
      <w:r>
        <w:rPr>
          <w:rFonts w:hint="eastAsia" w:ascii="仿宋_GB2312" w:hAnsi="宋体" w:eastAsia="仿宋_GB2312" w:cs="仿宋_GB2312"/>
          <w:kern w:val="0"/>
          <w:sz w:val="32"/>
          <w:szCs w:val="32"/>
        </w:rPr>
        <w:t xml:space="preserve">本预案由区应急局负责解释。 </w:t>
      </w:r>
    </w:p>
    <w:p w14:paraId="526D3DC1">
      <w:pPr>
        <w:spacing w:line="560" w:lineRule="exact"/>
        <w:ind w:firstLine="624" w:firstLineChars="200"/>
        <w:rPr>
          <w:rFonts w:ascii="楷体_GB2312" w:hAnsi="宋体" w:eastAsia="楷体_GB2312" w:cs="楷体_GB2312"/>
          <w:kern w:val="0"/>
          <w:sz w:val="32"/>
          <w:szCs w:val="32"/>
        </w:rPr>
      </w:pPr>
      <w:r>
        <w:rPr>
          <w:rFonts w:hint="eastAsia" w:ascii="楷体_GB2312" w:hAnsi="宋体" w:eastAsia="楷体_GB2312" w:cs="楷体_GB2312"/>
          <w:kern w:val="0"/>
          <w:sz w:val="32"/>
          <w:szCs w:val="32"/>
        </w:rPr>
        <w:t>（三）预案实施时间</w:t>
      </w:r>
    </w:p>
    <w:p w14:paraId="4CB6761C">
      <w:pPr>
        <w:spacing w:line="560" w:lineRule="exact"/>
        <w:ind w:firstLine="624" w:firstLineChars="200"/>
        <w:rPr>
          <w:sz w:val="32"/>
          <w:szCs w:val="32"/>
        </w:rPr>
      </w:pPr>
      <w:r>
        <w:rPr>
          <w:rFonts w:hint="eastAsia" w:ascii="仿宋_GB2312" w:hAnsi="宋体" w:eastAsia="仿宋_GB2312" w:cs="仿宋_GB2312"/>
          <w:kern w:val="0"/>
          <w:sz w:val="32"/>
          <w:szCs w:val="32"/>
        </w:rPr>
        <w:t>本预案自印发之日起实施。</w:t>
      </w:r>
    </w:p>
    <w:p w14:paraId="702A985D">
      <w:pPr>
        <w:pStyle w:val="9"/>
        <w:spacing w:line="560" w:lineRule="exact"/>
        <w:ind w:firstLine="624" w:firstLineChars="200"/>
        <w:rPr>
          <w:sz w:val="32"/>
          <w:szCs w:val="32"/>
        </w:rPr>
      </w:pPr>
    </w:p>
    <w:p w14:paraId="5F93EB6C">
      <w:pPr>
        <w:pStyle w:val="4"/>
        <w:spacing w:line="560" w:lineRule="exact"/>
        <w:ind w:left="0" w:firstLine="624" w:firstLineChars="200"/>
        <w:jc w:val="both"/>
        <w:rPr>
          <w:rFonts w:ascii="仿宋_GB2312" w:hAnsi="仿宋_GB2312" w:eastAsia="仿宋_GB2312" w:cs="仿宋_GB2312"/>
        </w:rPr>
      </w:pPr>
    </w:p>
    <w:p w14:paraId="23D4FB1B">
      <w:pPr>
        <w:spacing w:line="560" w:lineRule="exact"/>
      </w:pPr>
    </w:p>
    <w:p w14:paraId="2630986A">
      <w:pPr>
        <w:pStyle w:val="9"/>
      </w:pPr>
    </w:p>
    <w:p w14:paraId="5D4DE444"/>
    <w:p w14:paraId="04A743B7">
      <w:pPr>
        <w:pStyle w:val="9"/>
      </w:pPr>
    </w:p>
    <w:p w14:paraId="79D14C63">
      <w:pPr>
        <w:spacing w:beforeLines="100" w:afterLines="10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烟台高新区农业重大生物灾害专项应急预案</w:t>
      </w:r>
    </w:p>
    <w:p w14:paraId="520C41AE">
      <w:pPr>
        <w:spacing w:line="560" w:lineRule="exact"/>
        <w:ind w:firstLine="624" w:firstLineChars="200"/>
        <w:rPr>
          <w:rFonts w:ascii="仿宋_GB2312" w:eastAsia="仿宋_GB2312"/>
          <w:sz w:val="32"/>
          <w:szCs w:val="32"/>
        </w:rPr>
      </w:pPr>
      <w:r>
        <w:rPr>
          <w:rFonts w:hint="eastAsia" w:ascii="仿宋_GB2312" w:eastAsia="仿宋_GB2312"/>
          <w:sz w:val="32"/>
          <w:szCs w:val="32"/>
        </w:rPr>
        <w:t>为有效防范和应对重大生物灾害，最大限度地减少突发生物灾害带来的损失，根据有关法律法规，结合我区实际，制定本预案。</w:t>
      </w:r>
    </w:p>
    <w:p w14:paraId="2797D1FF">
      <w:pPr>
        <w:spacing w:line="560" w:lineRule="exact"/>
        <w:ind w:firstLine="624" w:firstLineChars="200"/>
        <w:rPr>
          <w:rFonts w:ascii="黑体" w:eastAsia="黑体"/>
          <w:sz w:val="32"/>
          <w:szCs w:val="32"/>
        </w:rPr>
      </w:pPr>
      <w:r>
        <w:rPr>
          <w:rFonts w:hint="eastAsia" w:ascii="黑体" w:eastAsia="黑体"/>
          <w:sz w:val="32"/>
          <w:szCs w:val="32"/>
        </w:rPr>
        <w:t xml:space="preserve">一、总则 </w:t>
      </w:r>
    </w:p>
    <w:p w14:paraId="677835E1">
      <w:pPr>
        <w:spacing w:line="560" w:lineRule="exact"/>
        <w:ind w:firstLine="624" w:firstLineChars="200"/>
        <w:rPr>
          <w:rFonts w:ascii="楷体_GB2312" w:eastAsia="楷体_GB2312"/>
          <w:sz w:val="32"/>
          <w:szCs w:val="32"/>
        </w:rPr>
      </w:pPr>
      <w:r>
        <w:rPr>
          <w:rFonts w:hint="eastAsia" w:ascii="楷体_GB2312" w:eastAsia="楷体_GB2312"/>
          <w:sz w:val="32"/>
          <w:szCs w:val="32"/>
        </w:rPr>
        <w:t>（一）指导思想</w:t>
      </w:r>
    </w:p>
    <w:p w14:paraId="64EA1555">
      <w:pPr>
        <w:spacing w:line="560" w:lineRule="exact"/>
        <w:ind w:firstLine="624" w:firstLineChars="200"/>
        <w:rPr>
          <w:rFonts w:ascii="仿宋_GB2312" w:eastAsia="仿宋_GB2312"/>
          <w:sz w:val="32"/>
          <w:szCs w:val="32"/>
        </w:rPr>
      </w:pPr>
      <w:r>
        <w:rPr>
          <w:rFonts w:hint="eastAsia" w:ascii="仿宋_GB2312" w:eastAsia="仿宋_GB2312"/>
          <w:sz w:val="32"/>
          <w:szCs w:val="32"/>
        </w:rPr>
        <w:t>坚持“预防为主，综合治理”的方针，建立健全全区重大生物灾害应急处置机制，全面提升应对重大生物灾害的能力，保护农业、畜牧等产业的发展和生态安全，促进全区社会经济持续、快速、协调、健康发展。</w:t>
      </w:r>
    </w:p>
    <w:p w14:paraId="54CCB01A">
      <w:pPr>
        <w:spacing w:line="560" w:lineRule="exact"/>
        <w:ind w:firstLine="624" w:firstLineChars="200"/>
        <w:rPr>
          <w:rFonts w:ascii="楷体_GB2312" w:eastAsia="楷体_GB2312"/>
          <w:sz w:val="32"/>
          <w:szCs w:val="32"/>
        </w:rPr>
      </w:pPr>
      <w:r>
        <w:rPr>
          <w:rFonts w:hint="eastAsia" w:ascii="楷体_GB2312" w:eastAsia="楷体_GB2312"/>
          <w:sz w:val="32"/>
          <w:szCs w:val="32"/>
        </w:rPr>
        <w:t>（二）编制依据</w:t>
      </w:r>
    </w:p>
    <w:p w14:paraId="74CCB5EB">
      <w:pPr>
        <w:spacing w:line="560" w:lineRule="exact"/>
        <w:ind w:firstLine="624" w:firstLineChars="200"/>
        <w:rPr>
          <w:rFonts w:ascii="仿宋_GB2312" w:eastAsia="仿宋_GB2312"/>
          <w:sz w:val="32"/>
          <w:szCs w:val="32"/>
        </w:rPr>
      </w:pPr>
      <w:r>
        <w:rPr>
          <w:rFonts w:hint="eastAsia" w:ascii="仿宋_GB2312" w:eastAsia="仿宋_GB2312"/>
          <w:sz w:val="32"/>
          <w:szCs w:val="32"/>
        </w:rPr>
        <w:t>依据《中华人民共和国农业法》、《中华人民共和国种子法》、《中华人民共和国野生动物保护法》、《山东省自然灾害应急预案》等有关法律法规和规定。</w:t>
      </w:r>
    </w:p>
    <w:p w14:paraId="02F65256">
      <w:pPr>
        <w:spacing w:line="560" w:lineRule="exact"/>
        <w:ind w:firstLine="624" w:firstLineChars="200"/>
        <w:rPr>
          <w:rFonts w:ascii="仿宋_GB2312" w:eastAsia="仿宋_GB2312"/>
          <w:b/>
          <w:sz w:val="32"/>
          <w:szCs w:val="32"/>
        </w:rPr>
      </w:pPr>
      <w:r>
        <w:rPr>
          <w:rFonts w:hint="eastAsia" w:ascii="楷体_GB2312" w:eastAsia="楷体_GB2312"/>
          <w:sz w:val="32"/>
          <w:szCs w:val="32"/>
        </w:rPr>
        <w:t>（三）适用范围</w:t>
      </w:r>
    </w:p>
    <w:p w14:paraId="76F046FD">
      <w:pPr>
        <w:spacing w:line="560" w:lineRule="exact"/>
        <w:ind w:firstLine="624" w:firstLineChars="200"/>
        <w:rPr>
          <w:rFonts w:ascii="仿宋_GB2312" w:eastAsia="仿宋_GB2312"/>
          <w:sz w:val="32"/>
          <w:szCs w:val="32"/>
        </w:rPr>
      </w:pPr>
      <w:r>
        <w:rPr>
          <w:rFonts w:hint="eastAsia" w:ascii="仿宋_GB2312" w:eastAsia="仿宋_GB2312"/>
          <w:sz w:val="32"/>
          <w:szCs w:val="32"/>
        </w:rPr>
        <w:t>本预案适用于区域内常发性和突发性有害生物集中大面积暴发；直接或间接造成动物、植物、微生物大量死亡的有害生物发生；对人类健康构成威胁，以及可能造成重大危害的外来生物入侵事件。</w:t>
      </w:r>
    </w:p>
    <w:p w14:paraId="62444351">
      <w:pPr>
        <w:spacing w:line="560" w:lineRule="exact"/>
        <w:ind w:firstLine="624" w:firstLineChars="200"/>
        <w:rPr>
          <w:rFonts w:ascii="楷体_GB2312" w:eastAsia="楷体_GB2312"/>
          <w:sz w:val="32"/>
          <w:szCs w:val="32"/>
        </w:rPr>
      </w:pPr>
      <w:r>
        <w:rPr>
          <w:rFonts w:hint="eastAsia" w:ascii="楷体_GB2312" w:eastAsia="楷体_GB2312"/>
          <w:sz w:val="32"/>
          <w:szCs w:val="32"/>
        </w:rPr>
        <w:t>（四）工作原则</w:t>
      </w:r>
    </w:p>
    <w:p w14:paraId="2412476C">
      <w:pPr>
        <w:spacing w:line="560" w:lineRule="exact"/>
        <w:ind w:firstLine="624" w:firstLineChars="200"/>
        <w:rPr>
          <w:rFonts w:ascii="仿宋_GB2312" w:eastAsia="仿宋_GB2312"/>
          <w:sz w:val="32"/>
          <w:szCs w:val="32"/>
        </w:rPr>
      </w:pPr>
      <w:r>
        <w:rPr>
          <w:rFonts w:hint="eastAsia" w:ascii="仿宋_GB2312" w:eastAsia="仿宋_GB2312"/>
          <w:sz w:val="32"/>
          <w:szCs w:val="32"/>
        </w:rPr>
        <w:t>预防为主、多措并举、防控结合的原则；快速反应、紧急处置、控灾减灾的原则；分级联动、各司其职的原则；属地管理、统一领导的原则。</w:t>
      </w:r>
    </w:p>
    <w:p w14:paraId="14EC3C29">
      <w:pPr>
        <w:spacing w:line="560" w:lineRule="exact"/>
        <w:ind w:firstLine="624" w:firstLineChars="200"/>
        <w:rPr>
          <w:rFonts w:ascii="黑体" w:eastAsia="黑体"/>
          <w:sz w:val="32"/>
          <w:szCs w:val="32"/>
        </w:rPr>
      </w:pPr>
      <w:r>
        <w:rPr>
          <w:rFonts w:hint="eastAsia" w:ascii="黑体" w:eastAsia="黑体"/>
          <w:sz w:val="32"/>
          <w:szCs w:val="32"/>
        </w:rPr>
        <w:t>二、组织指挥体系及职责</w:t>
      </w:r>
    </w:p>
    <w:p w14:paraId="00FE287E">
      <w:pPr>
        <w:spacing w:line="560" w:lineRule="exact"/>
        <w:ind w:firstLine="624" w:firstLineChars="200"/>
        <w:rPr>
          <w:rFonts w:ascii="楷体_GB2312" w:eastAsia="楷体_GB2312"/>
          <w:sz w:val="32"/>
          <w:szCs w:val="32"/>
        </w:rPr>
      </w:pPr>
      <w:r>
        <w:rPr>
          <w:rFonts w:hint="eastAsia" w:ascii="楷体_GB2312" w:eastAsia="楷体_GB2312"/>
          <w:sz w:val="32"/>
          <w:szCs w:val="32"/>
        </w:rPr>
        <w:t>（一）区应急指挥部</w:t>
      </w:r>
    </w:p>
    <w:p w14:paraId="2918319B">
      <w:pPr>
        <w:spacing w:line="560" w:lineRule="exact"/>
        <w:ind w:firstLine="624" w:firstLineChars="200"/>
        <w:rPr>
          <w:rFonts w:ascii="仿宋_GB2312" w:eastAsia="仿宋_GB2312"/>
          <w:sz w:val="32"/>
          <w:szCs w:val="32"/>
        </w:rPr>
      </w:pPr>
      <w:r>
        <w:rPr>
          <w:rFonts w:hint="eastAsia" w:ascii="仿宋_GB2312" w:eastAsia="仿宋_GB2312"/>
          <w:sz w:val="32"/>
          <w:szCs w:val="32"/>
        </w:rPr>
        <w:t>区管委成立高新区重大生物灾害防治应急指挥部（以下简称区应急指挥部），区管委分管领导任总指挥，区社会事务管理服务中心主要负责人任副总指挥，区综合管理部、党群工作部、财政金融部、综合行政执法局、公安分局、马山街道办事处、金山湾管理处等部门分管领导为成员，统一指挥全区重大生物灾害防治工作。</w:t>
      </w:r>
    </w:p>
    <w:p w14:paraId="2042EFCC">
      <w:pPr>
        <w:spacing w:line="560" w:lineRule="exact"/>
        <w:ind w:firstLine="624"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总 指 挥：李如鹏</w:t>
      </w:r>
    </w:p>
    <w:p w14:paraId="7F16B3F4">
      <w:pPr>
        <w:spacing w:line="560" w:lineRule="exact"/>
        <w:ind w:firstLine="624"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副总指挥：钟  虎</w:t>
      </w:r>
    </w:p>
    <w:p w14:paraId="12111E8A">
      <w:pPr>
        <w:spacing w:line="560" w:lineRule="exact"/>
        <w:ind w:firstLine="624" w:firstLineChars="200"/>
        <w:rPr>
          <w:rFonts w:ascii="仿宋_GB2312" w:hAnsi="宋体" w:eastAsia="仿宋_GB2312"/>
          <w:sz w:val="32"/>
          <w:szCs w:val="32"/>
        </w:rPr>
      </w:pPr>
      <w:r>
        <w:rPr>
          <w:rFonts w:hint="eastAsia" w:ascii="仿宋_GB2312" w:hAnsi="宋体" w:eastAsia="仿宋_GB2312"/>
          <w:sz w:val="32"/>
          <w:szCs w:val="32"/>
        </w:rPr>
        <w:t>成    员：刘奎玉、齐照良、闫明东、刘泽华、刘铁军、</w:t>
      </w:r>
      <w:r>
        <w:rPr>
          <w:rFonts w:hint="eastAsia" w:ascii="仿宋_GB2312" w:hAnsi="宋体" w:eastAsia="仿宋_GB2312" w:cs="宋体"/>
          <w:kern w:val="0"/>
          <w:sz w:val="32"/>
          <w:szCs w:val="32"/>
        </w:rPr>
        <w:t>刘旭升</w:t>
      </w:r>
      <w:r>
        <w:rPr>
          <w:rFonts w:hint="eastAsia" w:ascii="仿宋_GB2312" w:hAnsi="宋体" w:eastAsia="仿宋_GB2312"/>
          <w:sz w:val="32"/>
          <w:szCs w:val="32"/>
        </w:rPr>
        <w:t>、蒋家革。</w:t>
      </w:r>
    </w:p>
    <w:p w14:paraId="33C8CC37">
      <w:pPr>
        <w:spacing w:line="560" w:lineRule="exact"/>
        <w:ind w:firstLine="624" w:firstLineChars="200"/>
        <w:rPr>
          <w:rFonts w:ascii="仿宋_GB2312" w:hAnsi="宋体" w:eastAsia="仿宋_GB2312" w:cs="宋体"/>
          <w:b/>
          <w:sz w:val="24"/>
        </w:rPr>
      </w:pPr>
      <w:r>
        <w:rPr>
          <w:rFonts w:hint="eastAsia" w:ascii="仿宋_GB2312" w:eastAsia="仿宋_GB2312"/>
          <w:bCs/>
          <w:sz w:val="32"/>
          <w:szCs w:val="32"/>
        </w:rPr>
        <w:t>职责:</w:t>
      </w:r>
      <w:r>
        <w:rPr>
          <w:rFonts w:hint="eastAsia" w:ascii="仿宋_GB2312" w:eastAsia="仿宋_GB2312"/>
          <w:b/>
          <w:sz w:val="32"/>
          <w:szCs w:val="32"/>
        </w:rPr>
        <w:t xml:space="preserve"> </w:t>
      </w:r>
    </w:p>
    <w:p w14:paraId="5FB3EFD9">
      <w:pPr>
        <w:spacing w:line="560" w:lineRule="exact"/>
        <w:ind w:firstLine="624" w:firstLineChars="200"/>
        <w:rPr>
          <w:rFonts w:ascii="仿宋_GB2312" w:eastAsia="仿宋_GB2312"/>
          <w:sz w:val="32"/>
          <w:szCs w:val="32"/>
        </w:rPr>
      </w:pPr>
      <w:r>
        <w:rPr>
          <w:rFonts w:hint="eastAsia" w:ascii="仿宋_GB2312" w:eastAsia="仿宋_GB2312"/>
          <w:sz w:val="32"/>
          <w:szCs w:val="32"/>
        </w:rPr>
        <w:t>（1）研究、分析全区可能发生重大生物灾害疫情信息，掌握生物灾害动态；</w:t>
      </w:r>
    </w:p>
    <w:p w14:paraId="1DD12C5F">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（2）制定、修改全区重大生物灾害应急预案，决定启动应急预案并组织实施；组织、协调突发重大生物灾害的应急救援、应对处置；研究、决定其它事项。 </w:t>
      </w:r>
    </w:p>
    <w:p w14:paraId="269CF664">
      <w:pPr>
        <w:spacing w:line="560" w:lineRule="exact"/>
        <w:ind w:firstLine="624" w:firstLineChars="200"/>
        <w:rPr>
          <w:rFonts w:ascii="楷体_GB2312" w:eastAsia="楷体_GB2312"/>
          <w:sz w:val="32"/>
          <w:szCs w:val="32"/>
        </w:rPr>
      </w:pPr>
      <w:r>
        <w:rPr>
          <w:rFonts w:hint="eastAsia" w:ascii="楷体_GB2312" w:eastAsia="楷体_GB2312"/>
          <w:sz w:val="32"/>
          <w:szCs w:val="32"/>
        </w:rPr>
        <w:t>（二）区应急指挥部办公室</w:t>
      </w:r>
    </w:p>
    <w:p w14:paraId="700E6799">
      <w:pPr>
        <w:spacing w:line="560" w:lineRule="exact"/>
        <w:ind w:firstLine="624" w:firstLineChars="200"/>
        <w:rPr>
          <w:rFonts w:ascii="仿宋_GB2312" w:eastAsia="仿宋_GB2312"/>
          <w:sz w:val="32"/>
          <w:szCs w:val="32"/>
        </w:rPr>
      </w:pPr>
      <w:r>
        <w:rPr>
          <w:rFonts w:hint="eastAsia" w:ascii="仿宋_GB2312" w:eastAsia="仿宋_GB2312"/>
          <w:sz w:val="32"/>
          <w:szCs w:val="32"/>
        </w:rPr>
        <w:t>区应急指挥部办公室设在区社会事务管理服务中心，区社会事务管理服务中心主要负责人任办公室主任。主要职责：</w:t>
      </w:r>
    </w:p>
    <w:p w14:paraId="737E88ED">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1．负责区应急指挥部的日常工作； </w:t>
      </w:r>
    </w:p>
    <w:p w14:paraId="1FB7A246">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2．建立健全生物灾害预警体系、灾情速报信息系统，构筑群测群防网络； </w:t>
      </w:r>
    </w:p>
    <w:p w14:paraId="6A65060D">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3.负责区应急指挥部的昼夜值班工作，与上级生物灾害应急指挥机构保持联系，协调有关应急救灾工作； </w:t>
      </w:r>
    </w:p>
    <w:p w14:paraId="7B136794">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4.灾情发生时，迅速了解、收集、汇总灾情，及时、准确地向区应急指挥部报告； </w:t>
      </w:r>
    </w:p>
    <w:p w14:paraId="7CB10061">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5.组织有关专家分析灾害发生原因，对预测灾害发展趋势，评估灾害损失及影响，为区应急指挥部决策提供依据； </w:t>
      </w:r>
    </w:p>
    <w:p w14:paraId="3C6AFCBE">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6.负责灾情和抢险救灾工作的信息发布，统一向新闻单位提供信息，做好宣传、报道等工作； </w:t>
      </w:r>
    </w:p>
    <w:p w14:paraId="6E81AB9F">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7.完成区应急指挥部交办的其他工作。 </w:t>
      </w:r>
    </w:p>
    <w:p w14:paraId="4FC0F6E2">
      <w:pPr>
        <w:spacing w:line="560" w:lineRule="exact"/>
        <w:ind w:firstLine="624" w:firstLineChars="200"/>
        <w:rPr>
          <w:rFonts w:ascii="楷体_GB2312" w:eastAsia="楷体_GB2312"/>
          <w:sz w:val="32"/>
          <w:szCs w:val="32"/>
        </w:rPr>
      </w:pPr>
      <w:r>
        <w:rPr>
          <w:rFonts w:hint="eastAsia" w:ascii="楷体_GB2312" w:eastAsia="楷体_GB2312"/>
          <w:sz w:val="32"/>
          <w:szCs w:val="32"/>
        </w:rPr>
        <w:t>（三）成员单位职责</w:t>
      </w:r>
    </w:p>
    <w:p w14:paraId="34E564DB">
      <w:pPr>
        <w:spacing w:line="560" w:lineRule="exact"/>
        <w:ind w:firstLine="624" w:firstLineChars="200"/>
        <w:rPr>
          <w:rFonts w:ascii="仿宋_GB2312" w:hAnsi="仿宋_GB2312" w:eastAsia="仿宋_GB2312"/>
          <w:sz w:val="32"/>
          <w:shd w:val="solid" w:color="FFFFFF" w:fill="auto"/>
        </w:rPr>
      </w:pPr>
      <w:r>
        <w:rPr>
          <w:rFonts w:hint="eastAsia" w:ascii="仿宋_GB2312" w:eastAsia="仿宋_GB2312"/>
          <w:sz w:val="32"/>
          <w:szCs w:val="32"/>
        </w:rPr>
        <w:t>1.区综合管理部。负责组织新闻媒体及时报道区管委授权发布的信息，配合有关部门对新闻舆论媒体的管理和引导；</w:t>
      </w:r>
    </w:p>
    <w:p w14:paraId="772B8EE9">
      <w:pPr>
        <w:spacing w:line="560" w:lineRule="exact"/>
        <w:ind w:firstLine="624" w:firstLineChars="200"/>
        <w:textAlignment w:val="baseline"/>
        <w:rPr>
          <w:rFonts w:ascii="仿宋_GB2312" w:hAnsi="仿宋_GB2312" w:eastAsia="仿宋_GB2312"/>
          <w:sz w:val="32"/>
          <w:shd w:val="solid" w:color="FFFFFF" w:fill="auto"/>
        </w:rPr>
      </w:pPr>
      <w:r>
        <w:rPr>
          <w:rFonts w:hint="eastAsia" w:ascii="仿宋_GB2312" w:hAnsi="仿宋_GB2312" w:eastAsia="仿宋_GB2312"/>
          <w:sz w:val="32"/>
          <w:shd w:val="solid" w:color="FFFFFF" w:fill="auto"/>
        </w:rPr>
        <w:t>2.区党群工作部。负责监督国家行政机关及其工作人员在应急处置工作中履行职责的情况。</w:t>
      </w:r>
    </w:p>
    <w:p w14:paraId="3F1611E9">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3.区财政金融部。根据预算安排和主管部门申请，按照区应急指挥部意见和处理需要，负责及时、足额筹措和拨付救灾资金。 </w:t>
      </w:r>
    </w:p>
    <w:p w14:paraId="1F1B9CA6">
      <w:pPr>
        <w:spacing w:line="560" w:lineRule="exact"/>
        <w:ind w:firstLine="624" w:firstLineChars="200"/>
        <w:rPr>
          <w:rFonts w:ascii="仿宋_GB2312" w:eastAsia="仿宋_GB2312"/>
          <w:sz w:val="32"/>
          <w:szCs w:val="32"/>
        </w:rPr>
      </w:pPr>
      <w:r>
        <w:rPr>
          <w:rFonts w:hint="eastAsia" w:ascii="仿宋_GB2312" w:eastAsia="仿宋_GB2312"/>
          <w:sz w:val="32"/>
          <w:szCs w:val="32"/>
        </w:rPr>
        <w:t>4.区社会事务管理服务中心。负责畜牧业重大生物灾害防控的组织、协调和督导检查等工作；协调重大生物灾害防控开展的应急处理、人员疏散和社会救助等工作；负责提供有害生物监测预报、防治所需要的气象资料，做好与有害生物发生关系密切的天气预报工作。</w:t>
      </w:r>
    </w:p>
    <w:p w14:paraId="0D73BBC2">
      <w:pPr>
        <w:spacing w:line="560" w:lineRule="exact"/>
        <w:ind w:firstLine="624" w:firstLineChars="200"/>
        <w:rPr>
          <w:rFonts w:ascii="仿宋_GB2312" w:eastAsia="仿宋_GB2312"/>
          <w:sz w:val="32"/>
          <w:szCs w:val="32"/>
        </w:rPr>
      </w:pPr>
      <w:r>
        <w:rPr>
          <w:rFonts w:hint="eastAsia" w:ascii="仿宋_GB2312" w:eastAsia="仿宋_GB2312"/>
          <w:sz w:val="32"/>
          <w:szCs w:val="32"/>
        </w:rPr>
        <w:t>5．区公安分局、综合行政执法局。负责重大生物灾害发生地的治安管理，预防和打击违法犯罪，维护灾区社会治安秩序；协助农业、畜牧等行政主管部门，对重大生物灾害发生地实施封锁等工作；参与重大生物灾害发生地的紧急救援。</w:t>
      </w:r>
    </w:p>
    <w:p w14:paraId="69BEEEAA">
      <w:pPr>
        <w:spacing w:line="560" w:lineRule="exact"/>
        <w:ind w:firstLine="624" w:firstLineChars="200"/>
        <w:rPr>
          <w:rFonts w:ascii="仿宋_GB2312" w:eastAsia="仿宋_GB2312"/>
          <w:sz w:val="32"/>
          <w:szCs w:val="32"/>
        </w:rPr>
      </w:pPr>
      <w:r>
        <w:rPr>
          <w:rFonts w:hint="eastAsia" w:ascii="仿宋_GB2312" w:eastAsia="仿宋_GB2312"/>
          <w:sz w:val="32"/>
          <w:szCs w:val="32"/>
        </w:rPr>
        <w:t>6．马山街道办事处、金山湾管理处。负责协助农业、畜牧等部门，加强对重大生物灾害疫情的监管和控防工作，负责重大生物灾害防治工作所需要的农药、器械等必需物资的筹备。</w:t>
      </w:r>
    </w:p>
    <w:p w14:paraId="586DD82A">
      <w:pPr>
        <w:spacing w:line="560" w:lineRule="exact"/>
        <w:ind w:firstLine="624" w:firstLineChars="200"/>
        <w:rPr>
          <w:rFonts w:ascii="黑体" w:eastAsia="黑体"/>
          <w:sz w:val="32"/>
          <w:szCs w:val="32"/>
        </w:rPr>
      </w:pPr>
      <w:r>
        <w:rPr>
          <w:rFonts w:hint="eastAsia" w:ascii="黑体" w:eastAsia="黑体"/>
          <w:sz w:val="32"/>
          <w:szCs w:val="32"/>
        </w:rPr>
        <w:t xml:space="preserve">三、预警和预防机制 </w:t>
      </w:r>
    </w:p>
    <w:p w14:paraId="4328AB62">
      <w:pPr>
        <w:spacing w:line="560" w:lineRule="exact"/>
        <w:ind w:firstLine="624" w:firstLineChars="200"/>
        <w:rPr>
          <w:rFonts w:ascii="楷体_GB2312" w:eastAsia="楷体_GB2312"/>
          <w:sz w:val="32"/>
          <w:szCs w:val="32"/>
        </w:rPr>
      </w:pPr>
      <w:r>
        <w:rPr>
          <w:rFonts w:hint="eastAsia" w:ascii="楷体_GB2312" w:eastAsia="楷体_GB2312"/>
          <w:sz w:val="32"/>
          <w:szCs w:val="32"/>
        </w:rPr>
        <w:t>（一）信息监测与报告</w:t>
      </w:r>
    </w:p>
    <w:p w14:paraId="3843F4B8">
      <w:pPr>
        <w:spacing w:line="560" w:lineRule="exact"/>
        <w:ind w:firstLine="624" w:firstLineChars="200"/>
        <w:rPr>
          <w:rFonts w:ascii="仿宋_GB2312" w:eastAsia="仿宋_GB2312"/>
          <w:sz w:val="32"/>
          <w:szCs w:val="32"/>
        </w:rPr>
      </w:pPr>
      <w:r>
        <w:rPr>
          <w:rFonts w:hint="eastAsia" w:ascii="仿宋_GB2312" w:eastAsia="仿宋_GB2312"/>
          <w:sz w:val="32"/>
          <w:szCs w:val="32"/>
        </w:rPr>
        <w:t>区社会事务管理服务中心为重大有害生物监测实施单位，负责组织实施重大有害生物监测预警工作。发现重大有害生物危害，要及时调查、取样，安排专人管护发生现场，实时监控。对所发现的有害生物种类，由区社会事务管理服务中心组织鉴定。无法确认和鉴定的，送市有关部门鉴定。</w:t>
      </w:r>
    </w:p>
    <w:p w14:paraId="7277CE9F">
      <w:pPr>
        <w:spacing w:line="560" w:lineRule="exact"/>
        <w:ind w:firstLine="624" w:firstLineChars="200"/>
        <w:rPr>
          <w:rFonts w:ascii="楷体_GB2312" w:eastAsia="楷体_GB2312"/>
          <w:sz w:val="32"/>
          <w:szCs w:val="32"/>
        </w:rPr>
      </w:pPr>
      <w:r>
        <w:rPr>
          <w:rFonts w:hint="eastAsia" w:ascii="楷体_GB2312" w:eastAsia="楷体_GB2312"/>
          <w:sz w:val="32"/>
          <w:szCs w:val="32"/>
        </w:rPr>
        <w:t>（二）预警预防行动</w:t>
      </w:r>
    </w:p>
    <w:p w14:paraId="4BE12D89">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1.根据重大有害生物危害的特点和发生规律，划定一般预防区和重点预防区。对可能发生重大生物灾害的地区，采取严格的保护措施，预防重大生物灾害发生；对一般预防区，要加强常规性监测、预报工作，准确掌握发生动态，抓好小面积防治。 </w:t>
      </w:r>
    </w:p>
    <w:p w14:paraId="49C25A19">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2.加强预警预防的基础设施建设。在全区建立健全重大有害生物监测预警网络和应急指挥信息系统，加强重大有害生物监测预警体系、检疫防灾体系和防治减灾体系建设，加强各级应急指挥信息系统、监测预警专业队伍和基础设施建设，成立应急机动防治队伍，全面提升监测预警能力。 </w:t>
      </w:r>
    </w:p>
    <w:p w14:paraId="5C0E54CE">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3.加强信息交流与科技支撑。掌握有害生物的信息。认真听取专家意见和建议，定期组织有关专家对可能发生的重大有害生物进行风险分析，评定风险等级，提出预防措施和控制技术。 </w:t>
      </w:r>
    </w:p>
    <w:p w14:paraId="1AA34C0F">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4.加强检疫监管。区社会事务管理服务中心要制订相应的办法，严密封锁疫情，防止疫情扩散传播。进一步严格市（境）外引种审批管理，认真开展引种前风险评估，严格隔离试种，加强检疫跟踪和监管，未经检疫机构风险评估，不得任意扩散种植。建立重大生物灾害责任追究制度，防止重大生物灾害从市（境）外传入。 </w:t>
      </w:r>
    </w:p>
    <w:p w14:paraId="7FD42CEA">
      <w:pPr>
        <w:spacing w:line="560" w:lineRule="exact"/>
        <w:ind w:firstLine="624" w:firstLineChars="200"/>
        <w:rPr>
          <w:rFonts w:ascii="楷体_GB2312" w:eastAsia="楷体_GB2312"/>
          <w:sz w:val="32"/>
          <w:szCs w:val="32"/>
        </w:rPr>
      </w:pPr>
      <w:r>
        <w:rPr>
          <w:rFonts w:hint="eastAsia" w:ascii="楷体_GB2312" w:eastAsia="楷体_GB2312"/>
          <w:sz w:val="32"/>
          <w:szCs w:val="32"/>
        </w:rPr>
        <w:t>（三）预警支持系统</w:t>
      </w:r>
    </w:p>
    <w:p w14:paraId="319C4B53">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区社会事务管理服务中心要设立重大生物灾害综合监测预警中心，配备专职人员、交通工具、必要仪器和设备，负责重大生物灾害的预警监测工作。各管理处、各村要配备重大生物灾害监测预警人员，形成重大生物灾害监测预警网络。充分发挥国家、省、市有害生物管理信息系统的作用，及时收集和处理重大生物灾害信息，利用现代传媒手段，实现重大生物灾害疫情信息的高效、快捷传递，确保预警系统和应急响应系统反应快速，处置及时。 </w:t>
      </w:r>
    </w:p>
    <w:p w14:paraId="7A4E3BE2">
      <w:pPr>
        <w:spacing w:line="560" w:lineRule="exact"/>
        <w:ind w:firstLine="624" w:firstLineChars="200"/>
        <w:rPr>
          <w:rFonts w:ascii="楷体_GB2312" w:eastAsia="楷体_GB2312"/>
          <w:sz w:val="32"/>
          <w:szCs w:val="32"/>
        </w:rPr>
      </w:pPr>
      <w:r>
        <w:rPr>
          <w:rFonts w:hint="eastAsia" w:ascii="楷体_GB2312" w:eastAsia="楷体_GB2312"/>
          <w:sz w:val="32"/>
          <w:szCs w:val="32"/>
        </w:rPr>
        <w:t xml:space="preserve">（四）预警级别及发布 </w:t>
      </w:r>
    </w:p>
    <w:p w14:paraId="46DDCCCF">
      <w:pPr>
        <w:spacing w:line="560" w:lineRule="exact"/>
        <w:ind w:firstLine="624" w:firstLineChars="200"/>
        <w:rPr>
          <w:rFonts w:ascii="仿宋_GB2312" w:hAnsi="Calibri" w:eastAsia="仿宋_GB2312"/>
          <w:sz w:val="32"/>
          <w:szCs w:val="32"/>
        </w:rPr>
      </w:pPr>
      <w:r>
        <w:rPr>
          <w:rFonts w:hint="eastAsia" w:ascii="仿宋_GB2312" w:eastAsia="仿宋_GB2312"/>
          <w:b/>
          <w:sz w:val="32"/>
          <w:szCs w:val="32"/>
        </w:rPr>
        <w:t>1.</w:t>
      </w:r>
      <w:r>
        <w:rPr>
          <w:rFonts w:hint="eastAsia" w:ascii="仿宋_GB2312" w:hAnsi="Calibri" w:eastAsia="仿宋_GB2312"/>
          <w:sz w:val="32"/>
          <w:szCs w:val="32"/>
        </w:rPr>
        <w:t xml:space="preserve"> </w:t>
      </w:r>
      <w:r>
        <w:rPr>
          <w:rFonts w:hint="eastAsia" w:ascii="仿宋_GB2312" w:eastAsia="仿宋_GB2312"/>
          <w:b/>
          <w:sz w:val="32"/>
          <w:szCs w:val="32"/>
        </w:rPr>
        <w:t>灾害分级标准</w:t>
      </w:r>
      <w:r>
        <w:rPr>
          <w:rFonts w:hint="eastAsia" w:ascii="仿宋_GB2312" w:hAnsi="Calibri" w:eastAsia="仿宋_GB2312"/>
          <w:sz w:val="32"/>
          <w:szCs w:val="32"/>
        </w:rPr>
        <w:t>。</w:t>
      </w:r>
    </w:p>
    <w:p w14:paraId="12B8E278">
      <w:pPr>
        <w:spacing w:line="560" w:lineRule="exact"/>
        <w:ind w:firstLine="624" w:firstLineChars="200"/>
        <w:rPr>
          <w:rFonts w:ascii="仿宋_GB2312" w:hAnsi="Calibri" w:eastAsia="仿宋_GB2312"/>
          <w:sz w:val="32"/>
          <w:szCs w:val="32"/>
        </w:rPr>
      </w:pPr>
      <w:r>
        <w:rPr>
          <w:rFonts w:hint="eastAsia" w:ascii="仿宋_GB2312" w:hAnsi="Calibri" w:eastAsia="仿宋_GB2312"/>
          <w:sz w:val="32"/>
          <w:szCs w:val="32"/>
        </w:rPr>
        <w:t>按造成疫情或灾情有害生物的类别、发生范围、发生程度及危害的严重性，将农业有害生物灾害划分为特别重大（Ⅰ级）、重大（Ⅱ级）、较大（Ⅲ级）、一般（Ⅳ级）四级，</w:t>
      </w:r>
      <w:r>
        <w:rPr>
          <w:rFonts w:hint="eastAsia" w:ascii="仿宋_GB2312" w:hAnsi="仿宋" w:eastAsia="仿宋_GB2312" w:cs="仿宋"/>
          <w:sz w:val="32"/>
          <w:szCs w:val="32"/>
        </w:rPr>
        <w:t>分别以红色、橙色、黄色、蓝色予以标志</w:t>
      </w:r>
      <w:r>
        <w:rPr>
          <w:rFonts w:hint="eastAsia" w:ascii="仿宋_GB2312" w:hAnsi="Calibri" w:eastAsia="仿宋_GB2312"/>
          <w:sz w:val="32"/>
          <w:szCs w:val="32"/>
        </w:rPr>
        <w:t>。</w:t>
      </w:r>
    </w:p>
    <w:p w14:paraId="4102D772">
      <w:pPr>
        <w:spacing w:line="560" w:lineRule="exact"/>
        <w:ind w:firstLine="624" w:firstLineChars="200"/>
        <w:rPr>
          <w:rFonts w:ascii="仿宋_GB2312" w:hAnsi="Calibri" w:eastAsia="仿宋_GB2312"/>
          <w:sz w:val="32"/>
          <w:szCs w:val="32"/>
        </w:rPr>
      </w:pPr>
      <w:r>
        <w:rPr>
          <w:rFonts w:hint="eastAsia" w:ascii="仿宋_GB2312" w:hAnsi="Calibri" w:eastAsia="仿宋_GB2312"/>
          <w:sz w:val="32"/>
          <w:szCs w:val="32"/>
        </w:rPr>
        <w:t>Ⅰ级：对农业生产构成特别重大威胁的暴发性、迁飞性、流行性病虫鼠害，县级行政区域内预测发生面积占播种面积的50%以上，发生程度为大发生；或本市发生面积100万亩以上，发生程度为大发生；或发现从国外传入本市的国内未发生且风险极大的有害生物；或本市未发生的外来危险性和检疫性有害生物在某地突然暴发危害；特殊情况需要划为Ⅰ级灾情的。</w:t>
      </w:r>
    </w:p>
    <w:p w14:paraId="7871D575">
      <w:pPr>
        <w:spacing w:line="560" w:lineRule="exact"/>
        <w:ind w:firstLine="624" w:firstLineChars="200"/>
        <w:rPr>
          <w:rFonts w:ascii="仿宋_GB2312" w:hAnsi="Calibri" w:eastAsia="仿宋_GB2312"/>
          <w:sz w:val="32"/>
          <w:szCs w:val="32"/>
        </w:rPr>
      </w:pPr>
      <w:r>
        <w:rPr>
          <w:rFonts w:hint="eastAsia" w:ascii="仿宋_GB2312" w:hAnsi="Calibri" w:eastAsia="仿宋_GB2312"/>
          <w:sz w:val="32"/>
          <w:szCs w:val="32"/>
        </w:rPr>
        <w:t>Ⅱ级：对农业生产构成重大威胁的突发性、迁飞性、流行性病虫鼠害，县级行政区域内预测发生面积占播种面积的30%以上，发生程度为大发生；或本市发生面积50万亩以上，发生程度为大发生；或本市虽有零星发生、偶然传入但发生范围不广的危害重大的外来危险性、检疫性有害生物在5个以上县市区，20个以上镇（街道）发生危害；经专家评估认为可能暴发对农业生产造成重大危害的有害生物灾害；特殊情况需要划为Ⅱ级灾情的。</w:t>
      </w:r>
    </w:p>
    <w:p w14:paraId="675D9F32">
      <w:pPr>
        <w:spacing w:line="560" w:lineRule="exact"/>
        <w:ind w:firstLine="624" w:firstLineChars="200"/>
        <w:rPr>
          <w:rFonts w:ascii="仿宋_GB2312" w:hAnsi="Calibri" w:eastAsia="仿宋_GB2312"/>
          <w:sz w:val="32"/>
          <w:szCs w:val="32"/>
        </w:rPr>
      </w:pPr>
      <w:r>
        <w:rPr>
          <w:rFonts w:hint="eastAsia" w:ascii="仿宋_GB2312" w:hAnsi="Calibri" w:eastAsia="仿宋_GB2312"/>
          <w:sz w:val="32"/>
          <w:szCs w:val="32"/>
        </w:rPr>
        <w:t>Ⅲ级：对农业生产构成较大威胁的病虫鼠害，县级行政区域内预测发生面积占播种面积的30%以上，发生程度为中等偏重发生；本市有一定发生范围的外来危险性、检疫性有害生物在3个以上县市区，10个以上镇（街道）发生危害；经专家评估认为易于扩散蔓延，可能对农业生产造成较大危害的有害生物；特殊情况需要划为Ⅲ级灾情的。</w:t>
      </w:r>
    </w:p>
    <w:p w14:paraId="334E8E2C">
      <w:pPr>
        <w:spacing w:line="560" w:lineRule="exact"/>
        <w:ind w:firstLine="624" w:firstLineChars="200"/>
        <w:rPr>
          <w:rFonts w:ascii="仿宋_GB2312" w:hAnsi="Calibri" w:eastAsia="仿宋_GB2312"/>
          <w:sz w:val="32"/>
          <w:szCs w:val="32"/>
        </w:rPr>
      </w:pPr>
      <w:r>
        <w:rPr>
          <w:rFonts w:hint="eastAsia" w:ascii="仿宋_GB2312" w:hAnsi="Calibri" w:eastAsia="仿宋_GB2312"/>
          <w:sz w:val="32"/>
          <w:szCs w:val="32"/>
        </w:rPr>
        <w:t>Ⅳ级：对农业生产可能造成较大危害的有害生物，县级行政区域内预测发生面积占播种面积的20%以上，发生程度为中等偏重发生；检疫性有害生物在已发生的县级行政区域内快速扩散蔓延。</w:t>
      </w:r>
      <w:r>
        <w:rPr>
          <w:rFonts w:hint="eastAsia" w:ascii="仿宋_GB2312" w:eastAsia="仿宋_GB2312"/>
          <w:sz w:val="32"/>
          <w:szCs w:val="32"/>
        </w:rPr>
        <w:t xml:space="preserve"> </w:t>
      </w:r>
    </w:p>
    <w:p w14:paraId="2FB35358">
      <w:pPr>
        <w:spacing w:line="560" w:lineRule="exact"/>
        <w:ind w:firstLine="624" w:firstLineChars="200"/>
        <w:rPr>
          <w:rFonts w:ascii="仿宋_GB2312" w:eastAsia="仿宋_GB2312"/>
          <w:b/>
          <w:sz w:val="32"/>
          <w:szCs w:val="32"/>
        </w:rPr>
      </w:pPr>
      <w:r>
        <w:rPr>
          <w:rFonts w:hint="eastAsia" w:ascii="仿宋_GB2312" w:eastAsia="仿宋_GB2312"/>
          <w:b/>
          <w:sz w:val="32"/>
          <w:szCs w:val="32"/>
        </w:rPr>
        <w:t>2.预警级别发布</w:t>
      </w:r>
    </w:p>
    <w:p w14:paraId="1DCE1A1B">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根据重大生物灾害的监测预报结果，结合分析重大生物灾害发生的气候、环境和传播扩散蔓延的可能性，由区应急指挥部办公室提出预警级别，经区应急指挥部同意，报告区管委，由区管委按国家有关规定发布。 </w:t>
      </w:r>
    </w:p>
    <w:p w14:paraId="27B885BE">
      <w:pPr>
        <w:spacing w:line="560" w:lineRule="exact"/>
        <w:ind w:firstLine="624" w:firstLineChars="200"/>
        <w:rPr>
          <w:rFonts w:ascii="黑体" w:eastAsia="黑体"/>
          <w:sz w:val="32"/>
          <w:szCs w:val="32"/>
        </w:rPr>
      </w:pPr>
      <w:r>
        <w:rPr>
          <w:rFonts w:hint="eastAsia" w:ascii="黑体" w:eastAsia="黑体"/>
          <w:sz w:val="32"/>
          <w:szCs w:val="32"/>
        </w:rPr>
        <w:t xml:space="preserve">四、应急响应 </w:t>
      </w:r>
    </w:p>
    <w:p w14:paraId="74AEE82E">
      <w:pPr>
        <w:spacing w:line="560" w:lineRule="exact"/>
        <w:ind w:firstLine="624" w:firstLineChars="200"/>
        <w:rPr>
          <w:rFonts w:ascii="楷体_GB2312" w:eastAsia="楷体_GB2312"/>
          <w:sz w:val="32"/>
          <w:szCs w:val="32"/>
        </w:rPr>
      </w:pPr>
      <w:r>
        <w:rPr>
          <w:rFonts w:hint="eastAsia" w:ascii="楷体_GB2312" w:eastAsia="楷体_GB2312"/>
          <w:sz w:val="32"/>
          <w:szCs w:val="32"/>
        </w:rPr>
        <w:t>（一）预警响应</w:t>
      </w:r>
    </w:p>
    <w:p w14:paraId="6D525589">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发生Ⅳ级、发生Ⅲ级、Ⅱ级重大生物灾害后，由区管委负责组织准备防治工作。发生Ⅰ级重大生物灾害后，由市政府和市农业农村局牵头组织，区管委负责具体实施有关防治工作。 </w:t>
      </w:r>
    </w:p>
    <w:p w14:paraId="6D54B9D7">
      <w:pPr>
        <w:spacing w:line="560" w:lineRule="exact"/>
        <w:ind w:firstLine="624" w:firstLineChars="200"/>
        <w:rPr>
          <w:rFonts w:ascii="仿宋_GB2312" w:eastAsia="仿宋_GB2312"/>
          <w:sz w:val="32"/>
          <w:szCs w:val="32"/>
        </w:rPr>
      </w:pPr>
      <w:r>
        <w:rPr>
          <w:rFonts w:hint="eastAsia" w:ascii="仿宋_GB2312" w:eastAsia="仿宋_GB2312"/>
          <w:sz w:val="32"/>
          <w:szCs w:val="32"/>
        </w:rPr>
        <w:t>1.确认发生Ⅳ级、Ⅲ级、Ⅱ级重大生物灾害后，经区应急指挥部批准，启动区级重大生物灾害应急预案，并及时将灾情通报市有关部门。根据疫情动态按市政府划定并公布的疫区和保护区，及时加强检疫和有害生物疫情防治措施。区应急指挥部召集全体成员会议，对应急预案启动进行具体部署；迅速组织有关人员赶赴现场，检查督导疫区封锁、疫情除治和预防控制等措施的落实；指导有关部门组织开展物资、设备的调集及其他协调工作；及时向市政府报告灾情。开展辖区内重大有害生物的监测与应急处置工作。协调区综合管理部、区党群工作部、区财政金融部、区规划国土建设部、区公安分局等部门开展应急工作，保障应急处置所需的物资、经费和其它需要，为应急工作的实施培训专业人员和提供技术扶持。</w:t>
      </w:r>
    </w:p>
    <w:p w14:paraId="60565B0C">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2.区应急指挥部办公室根据灾情需要和指挥部的要求，组织技术指导。加强对除治现场的监督检查，确定技术责任人，保证除治质量。及时向区管委提出划定并封锁疫区的建议，依法设立检疫检查站，实施疫区封锁。及时向区管委和市有关部门报告情况，并做好舆论宣传工作，争取其他部门和群众对防治工作的理解和支持。 </w:t>
      </w:r>
    </w:p>
    <w:p w14:paraId="4D2DF3A7">
      <w:pPr>
        <w:spacing w:line="560" w:lineRule="exact"/>
        <w:ind w:firstLine="624" w:firstLineChars="200"/>
        <w:rPr>
          <w:rFonts w:ascii="楷体_GB2312" w:eastAsia="楷体_GB2312"/>
          <w:sz w:val="32"/>
          <w:szCs w:val="32"/>
        </w:rPr>
      </w:pPr>
      <w:r>
        <w:rPr>
          <w:rFonts w:hint="eastAsia" w:ascii="楷体_GB2312" w:eastAsia="楷体_GB2312"/>
          <w:sz w:val="32"/>
          <w:szCs w:val="32"/>
        </w:rPr>
        <w:t>（二）信息共享和处理</w:t>
      </w:r>
    </w:p>
    <w:p w14:paraId="7300EEC3">
      <w:pPr>
        <w:spacing w:line="560" w:lineRule="exact"/>
        <w:ind w:firstLine="624" w:firstLineChars="200"/>
        <w:rPr>
          <w:rFonts w:ascii="仿宋_GB2312" w:eastAsia="仿宋_GB2312"/>
          <w:sz w:val="32"/>
          <w:szCs w:val="32"/>
        </w:rPr>
      </w:pPr>
      <w:r>
        <w:rPr>
          <w:rFonts w:hint="eastAsia" w:ascii="仿宋_GB2312" w:eastAsia="仿宋_GB2312"/>
          <w:b/>
          <w:bCs/>
          <w:sz w:val="32"/>
          <w:szCs w:val="32"/>
        </w:rPr>
        <w:t>1.报告制度。</w:t>
      </w:r>
      <w:r>
        <w:rPr>
          <w:rFonts w:hint="eastAsia" w:ascii="仿宋_GB2312" w:eastAsia="仿宋_GB2312"/>
          <w:sz w:val="32"/>
          <w:szCs w:val="32"/>
        </w:rPr>
        <w:t>区社会事务管理服务中心有报告重大有害生物的发生情况及其隐患的权利，也有向上级有关部门举报不履行或者不按规定履行重大生物灾害应急职责的部门、单位及个人的权利。各行政主管部门和预测预报网点是重大生物灾害的责任报告单位，行业人员是重大生物灾害事件的责任报告人。有关单位及个人发现重大有害生物或疑似情况时，应立即向有关行政主管部门报告。行政主管部门核实后应在 12小时内报告区管委，并逐级报送至市级行政主管部门；区级行政主管部门认为可能属于重大有害生物的，应在 24小时内报告市级行政主管部门。任何单位和个人都有向区管委和有关部门报告的责任。区应急指挥部办公室（电话：6922918）</w:t>
      </w:r>
    </w:p>
    <w:p w14:paraId="5CB9AC13">
      <w:pPr>
        <w:spacing w:line="560" w:lineRule="exact"/>
        <w:ind w:firstLine="624" w:firstLineChars="200"/>
        <w:rPr>
          <w:rFonts w:ascii="仿宋_GB2312" w:eastAsia="仿宋_GB2312"/>
          <w:b/>
          <w:bCs/>
          <w:sz w:val="32"/>
          <w:szCs w:val="32"/>
        </w:rPr>
      </w:pPr>
      <w:r>
        <w:rPr>
          <w:rFonts w:hint="eastAsia" w:ascii="仿宋_GB2312" w:eastAsia="仿宋_GB2312"/>
          <w:b/>
          <w:bCs/>
          <w:sz w:val="32"/>
          <w:szCs w:val="32"/>
        </w:rPr>
        <w:t>2.通报与信息发布</w:t>
      </w:r>
    </w:p>
    <w:p w14:paraId="343E9DDE">
      <w:pPr>
        <w:spacing w:line="560" w:lineRule="exact"/>
        <w:ind w:firstLine="624" w:firstLineChars="200"/>
        <w:rPr>
          <w:rFonts w:ascii="仿宋_GB2312" w:eastAsia="仿宋_GB2312"/>
          <w:sz w:val="32"/>
          <w:szCs w:val="32"/>
        </w:rPr>
      </w:pPr>
      <w:r>
        <w:rPr>
          <w:rFonts w:hint="eastAsia" w:ascii="仿宋_GB2312" w:eastAsia="仿宋_GB2312"/>
          <w:sz w:val="32"/>
          <w:szCs w:val="32"/>
        </w:rPr>
        <w:t>（1）经区应急指挥部确定为重大生物灾害发生地，由区管委在2日内向</w:t>
      </w:r>
      <w:bookmarkStart w:id="192" w:name="OLE_LINK1"/>
      <w:bookmarkStart w:id="193" w:name="OLE_LINK2"/>
      <w:r>
        <w:rPr>
          <w:rFonts w:hint="eastAsia" w:ascii="仿宋_GB2312" w:eastAsia="仿宋_GB2312"/>
          <w:sz w:val="32"/>
          <w:szCs w:val="32"/>
        </w:rPr>
        <w:t>市直有关部门及相关村</w:t>
      </w:r>
      <w:bookmarkEnd w:id="192"/>
      <w:bookmarkEnd w:id="193"/>
      <w:r>
        <w:rPr>
          <w:rFonts w:hint="eastAsia" w:ascii="仿宋_GB2312" w:eastAsia="仿宋_GB2312"/>
          <w:sz w:val="32"/>
          <w:szCs w:val="32"/>
        </w:rPr>
        <w:t xml:space="preserve">通报情况。 </w:t>
      </w:r>
    </w:p>
    <w:p w14:paraId="4A6C1F9D">
      <w:pPr>
        <w:spacing w:line="560" w:lineRule="exact"/>
        <w:ind w:firstLine="624" w:firstLineChars="200"/>
        <w:rPr>
          <w:rFonts w:ascii="仿宋_GB2312" w:eastAsia="仿宋_GB2312"/>
          <w:sz w:val="32"/>
          <w:szCs w:val="32"/>
        </w:rPr>
      </w:pPr>
      <w:r>
        <w:rPr>
          <w:rFonts w:hint="eastAsia" w:ascii="仿宋_GB2312" w:eastAsia="仿宋_GB2312"/>
          <w:sz w:val="32"/>
          <w:szCs w:val="32"/>
        </w:rPr>
        <w:t>（2）接到通报的市直有关部门及相关村要密切关注重大有害生物发生趋势并加强监测工作。</w:t>
      </w:r>
    </w:p>
    <w:p w14:paraId="4AE6EB27">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（3）区应急指挥部根据需要按照国家有关规定及时向社会准确、客观地发布重大有害生物发生信息。 </w:t>
      </w:r>
    </w:p>
    <w:p w14:paraId="18A1A403">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4）区应急指挥部办公室建立重大生物灾害新闻发布制度，确定专人负责。对外报道时，严格执行国家保密有关规定，未经市应急指挥部批准，任何单位和个人不得擅自发布。新闻单位有关报道应事前经市应急指挥部审核。 </w:t>
      </w:r>
    </w:p>
    <w:p w14:paraId="0440CCFD">
      <w:pPr>
        <w:spacing w:line="560" w:lineRule="exact"/>
        <w:ind w:firstLine="624" w:firstLineChars="200"/>
        <w:rPr>
          <w:rFonts w:ascii="楷体_GB2312" w:eastAsia="楷体_GB2312"/>
          <w:sz w:val="32"/>
          <w:szCs w:val="32"/>
        </w:rPr>
      </w:pPr>
      <w:r>
        <w:rPr>
          <w:rFonts w:hint="eastAsia" w:ascii="楷体_GB2312" w:eastAsia="楷体_GB2312"/>
          <w:sz w:val="32"/>
          <w:szCs w:val="32"/>
        </w:rPr>
        <w:t>（三）通讯联络</w:t>
      </w:r>
    </w:p>
    <w:p w14:paraId="42604C64">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在重大生物灾害应急处理的整个过程中，必须保持通讯联络及有关信息系统网络畅通，明确主要联络和信息系统维护人员专用电话和备用电话。 </w:t>
      </w:r>
    </w:p>
    <w:p w14:paraId="6EAF5B9E">
      <w:pPr>
        <w:spacing w:line="560" w:lineRule="exact"/>
        <w:ind w:firstLine="624" w:firstLineChars="200"/>
        <w:rPr>
          <w:rFonts w:ascii="楷体_GB2312" w:eastAsia="楷体_GB2312"/>
          <w:sz w:val="32"/>
          <w:szCs w:val="32"/>
        </w:rPr>
      </w:pPr>
      <w:r>
        <w:rPr>
          <w:rFonts w:hint="eastAsia" w:ascii="楷体_GB2312" w:eastAsia="楷体_GB2312"/>
          <w:sz w:val="32"/>
          <w:szCs w:val="32"/>
        </w:rPr>
        <w:t>（四）应急结束</w:t>
      </w:r>
    </w:p>
    <w:p w14:paraId="7E5E4F2E">
      <w:pPr>
        <w:spacing w:line="560" w:lineRule="exact"/>
        <w:ind w:firstLine="624" w:firstLineChars="200"/>
        <w:rPr>
          <w:rFonts w:ascii="仿宋_GB2312" w:eastAsia="仿宋_GB2312"/>
          <w:sz w:val="32"/>
          <w:szCs w:val="32"/>
        </w:rPr>
      </w:pPr>
      <w:r>
        <w:rPr>
          <w:rFonts w:hint="eastAsia" w:ascii="仿宋_GB2312" w:eastAsia="仿宋_GB2312"/>
          <w:sz w:val="32"/>
          <w:szCs w:val="32"/>
        </w:rPr>
        <w:t>应急预案启动后，根据灾情发展变化和防治效果，由区应急指挥部办公室征求专家组的意见后，提出应急结束或转为按非重大生物灾害事件实施防治的建议，经区应急指挥部同意，报告区管委，由区管委按国家有关规定对外公布应急结束。</w:t>
      </w:r>
    </w:p>
    <w:p w14:paraId="6E2ABB6A">
      <w:pPr>
        <w:spacing w:line="560" w:lineRule="exact"/>
        <w:ind w:firstLine="624" w:firstLineChars="200"/>
        <w:rPr>
          <w:rFonts w:ascii="黑体" w:eastAsia="黑体"/>
          <w:sz w:val="32"/>
          <w:szCs w:val="32"/>
        </w:rPr>
      </w:pPr>
      <w:r>
        <w:rPr>
          <w:rFonts w:hint="eastAsia" w:ascii="黑体" w:eastAsia="黑体"/>
          <w:sz w:val="32"/>
          <w:szCs w:val="32"/>
        </w:rPr>
        <w:t xml:space="preserve">五、后期评估与善后处理 </w:t>
      </w:r>
    </w:p>
    <w:p w14:paraId="5EC68BDB">
      <w:pPr>
        <w:spacing w:line="560" w:lineRule="exact"/>
        <w:ind w:firstLine="624" w:firstLineChars="200"/>
        <w:rPr>
          <w:rFonts w:ascii="楷体_GB2312" w:eastAsia="楷体_GB2312"/>
          <w:sz w:val="32"/>
          <w:szCs w:val="32"/>
        </w:rPr>
      </w:pPr>
      <w:r>
        <w:rPr>
          <w:rFonts w:hint="eastAsia" w:ascii="楷体_GB2312" w:eastAsia="楷体_GB2312"/>
          <w:sz w:val="32"/>
          <w:szCs w:val="32"/>
        </w:rPr>
        <w:t>（一）后期评估</w:t>
      </w:r>
    </w:p>
    <w:p w14:paraId="1D180BCF">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应急预案实施结束后，区应急指挥部办公室要会同专家组和有关人员对重大生物灾害造成的损失进行评估和总结，分析生物灾害发生的原因，总结经验教训，提出改进意见，并书面向区应急指挥部报告，同时抄送市有关部门。根据区应急指挥部办公室的报告，区管委向市人民政府报送应急预案启动和实施的有关情况。 </w:t>
      </w:r>
    </w:p>
    <w:p w14:paraId="0CEF9D22">
      <w:pPr>
        <w:spacing w:line="560" w:lineRule="exact"/>
        <w:ind w:firstLine="624" w:firstLineChars="200"/>
        <w:rPr>
          <w:rFonts w:ascii="楷体_GB2312" w:eastAsia="楷体_GB2312"/>
          <w:sz w:val="32"/>
          <w:szCs w:val="32"/>
        </w:rPr>
      </w:pPr>
      <w:r>
        <w:rPr>
          <w:rFonts w:hint="eastAsia" w:ascii="楷体_GB2312" w:eastAsia="楷体_GB2312"/>
          <w:sz w:val="32"/>
          <w:szCs w:val="32"/>
        </w:rPr>
        <w:t>（二）善后处置</w:t>
      </w:r>
    </w:p>
    <w:p w14:paraId="711B4B8B">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应急预案实施结束后，区应急指挥部办公室指导发生村开展灾后重建，重点组织实施专家组后期评估提出的改进措施，恢复生产，清理因应急而设立的临时设施。经专家组评估认为该重大生物灾害对农业、畜牧业造成重大损失的，应酌情予以补助。 </w:t>
      </w:r>
    </w:p>
    <w:p w14:paraId="37450345">
      <w:pPr>
        <w:spacing w:line="560" w:lineRule="exact"/>
        <w:ind w:firstLine="624" w:firstLineChars="200"/>
        <w:rPr>
          <w:rFonts w:ascii="黑体" w:eastAsia="黑体"/>
          <w:sz w:val="32"/>
          <w:szCs w:val="32"/>
        </w:rPr>
      </w:pPr>
      <w:r>
        <w:rPr>
          <w:rFonts w:hint="eastAsia" w:ascii="黑体" w:eastAsia="黑体"/>
          <w:sz w:val="32"/>
          <w:szCs w:val="32"/>
        </w:rPr>
        <w:t xml:space="preserve">六、保障措施 </w:t>
      </w:r>
    </w:p>
    <w:p w14:paraId="1526F9A5">
      <w:pPr>
        <w:spacing w:line="560" w:lineRule="exact"/>
        <w:ind w:firstLine="624" w:firstLineChars="200"/>
        <w:rPr>
          <w:rFonts w:ascii="仿宋_GB2312" w:eastAsia="仿宋_GB2312"/>
          <w:sz w:val="32"/>
          <w:szCs w:val="32"/>
        </w:rPr>
      </w:pPr>
      <w:r>
        <w:rPr>
          <w:rFonts w:hint="eastAsia" w:ascii="楷体_GB2312" w:eastAsia="楷体_GB2312"/>
          <w:sz w:val="32"/>
          <w:szCs w:val="32"/>
        </w:rPr>
        <w:t>（一）通信保障。</w:t>
      </w:r>
      <w:r>
        <w:rPr>
          <w:rFonts w:hint="eastAsia" w:ascii="仿宋_GB2312" w:eastAsia="仿宋_GB2312"/>
          <w:sz w:val="32"/>
          <w:szCs w:val="32"/>
        </w:rPr>
        <w:t>区应急指挥部应建立和完善重大生物灾害应急指挥系统，配备必要的有线、无线和卫星通讯器材，确保本预案启动时，指挥部与有关部门及现场工作组之间的联络畅通。</w:t>
      </w:r>
    </w:p>
    <w:p w14:paraId="7432E4EA">
      <w:pPr>
        <w:spacing w:line="560" w:lineRule="exact"/>
        <w:ind w:firstLine="624" w:firstLineChars="200"/>
        <w:rPr>
          <w:rFonts w:ascii="仿宋_GB2312" w:eastAsia="仿宋_GB2312"/>
          <w:sz w:val="32"/>
          <w:szCs w:val="32"/>
        </w:rPr>
      </w:pPr>
      <w:r>
        <w:rPr>
          <w:rFonts w:hint="eastAsia" w:ascii="楷体_GB2312" w:eastAsia="楷体_GB2312"/>
          <w:sz w:val="32"/>
          <w:szCs w:val="32"/>
        </w:rPr>
        <w:t>（二）经费保障。</w:t>
      </w:r>
      <w:r>
        <w:rPr>
          <w:rFonts w:hint="eastAsia" w:ascii="仿宋_GB2312" w:eastAsia="仿宋_GB2312"/>
          <w:sz w:val="32"/>
          <w:szCs w:val="32"/>
        </w:rPr>
        <w:t xml:space="preserve">区财政金融部要做好重大生物灾害应急防治所需经费保障工作。 </w:t>
      </w:r>
    </w:p>
    <w:p w14:paraId="17125217">
      <w:pPr>
        <w:spacing w:line="560" w:lineRule="exact"/>
        <w:ind w:firstLine="624" w:firstLineChars="200"/>
        <w:rPr>
          <w:rFonts w:ascii="仿宋_GB2312" w:eastAsia="仿宋_GB2312"/>
          <w:sz w:val="32"/>
          <w:szCs w:val="32"/>
        </w:rPr>
      </w:pPr>
      <w:r>
        <w:rPr>
          <w:rFonts w:hint="eastAsia" w:ascii="楷体_GB2312" w:eastAsia="楷体_GB2312"/>
          <w:sz w:val="32"/>
          <w:szCs w:val="32"/>
        </w:rPr>
        <w:t>（三）物资保障。</w:t>
      </w:r>
      <w:r>
        <w:rPr>
          <w:rFonts w:hint="eastAsia" w:ascii="仿宋_GB2312" w:eastAsia="仿宋_GB2312"/>
          <w:sz w:val="32"/>
          <w:szCs w:val="32"/>
        </w:rPr>
        <w:t xml:space="preserve">区社会事务管理服务中心要根据日常掌握的情况和重大有害生物的发生特点，储备药剂、药械、油料、运输车辆及其它物资。通过信息网络，与药剂药械企业建立密切联系，实行合同储备。根据建设规划和物资储备的需求，按轻重缓急安排建设藏储设施。因重大生物灾害应急处置需要，可以实施救灾物资的紧急调运。 </w:t>
      </w:r>
    </w:p>
    <w:p w14:paraId="4129DDE1">
      <w:pPr>
        <w:spacing w:line="560" w:lineRule="exact"/>
        <w:ind w:firstLine="624" w:firstLineChars="200"/>
        <w:rPr>
          <w:rFonts w:ascii="仿宋_GB2312" w:eastAsia="仿宋_GB2312"/>
          <w:sz w:val="32"/>
          <w:szCs w:val="32"/>
        </w:rPr>
      </w:pPr>
      <w:r>
        <w:rPr>
          <w:rFonts w:hint="eastAsia" w:ascii="楷体_GB2312" w:eastAsia="楷体_GB2312"/>
          <w:sz w:val="32"/>
          <w:szCs w:val="32"/>
        </w:rPr>
        <w:t>（四）技术保障。</w:t>
      </w:r>
      <w:r>
        <w:rPr>
          <w:rFonts w:hint="eastAsia" w:ascii="仿宋_GB2312" w:eastAsia="仿宋_GB2312"/>
          <w:sz w:val="32"/>
          <w:szCs w:val="32"/>
        </w:rPr>
        <w:t xml:space="preserve">区社会事务管理服务中心要及时了解和掌握国内外重大有害生物发生、防治信息，对潜在危险性有害生物进行超前研究，制订防治技术方案，为指挥决策提供技术支持。 </w:t>
      </w:r>
    </w:p>
    <w:p w14:paraId="752C3A01">
      <w:pPr>
        <w:spacing w:line="560" w:lineRule="exact"/>
        <w:ind w:firstLine="624" w:firstLineChars="200"/>
        <w:rPr>
          <w:rFonts w:ascii="仿宋_GB2312" w:eastAsia="仿宋_GB2312"/>
          <w:sz w:val="32"/>
          <w:szCs w:val="32"/>
        </w:rPr>
      </w:pPr>
      <w:r>
        <w:rPr>
          <w:rFonts w:hint="eastAsia" w:ascii="楷体_GB2312" w:eastAsia="楷体_GB2312"/>
          <w:sz w:val="32"/>
          <w:szCs w:val="32"/>
        </w:rPr>
        <w:t>（五）人员保障。</w:t>
      </w:r>
      <w:r>
        <w:rPr>
          <w:rFonts w:hint="eastAsia" w:ascii="仿宋_GB2312" w:eastAsia="仿宋_GB2312"/>
          <w:sz w:val="32"/>
          <w:szCs w:val="32"/>
        </w:rPr>
        <w:t xml:space="preserve">区应急指挥部应建立健全基层植保检疫、动物防疫监督机构。同时要加强系统内有关人才的培养，建立高素质的应对重大生物灾害专业管理和技术人员队伍。 </w:t>
      </w:r>
    </w:p>
    <w:p w14:paraId="148451B5">
      <w:pPr>
        <w:spacing w:line="560" w:lineRule="exact"/>
        <w:ind w:firstLine="624" w:firstLineChars="200"/>
        <w:rPr>
          <w:rFonts w:ascii="仿宋_GB2312" w:eastAsia="仿宋_GB2312"/>
          <w:sz w:val="32"/>
          <w:szCs w:val="32"/>
        </w:rPr>
      </w:pPr>
      <w:r>
        <w:rPr>
          <w:rFonts w:hint="eastAsia" w:ascii="楷体_GB2312" w:eastAsia="楷体_GB2312"/>
          <w:sz w:val="32"/>
          <w:szCs w:val="32"/>
        </w:rPr>
        <w:t>（六）监督与奖惩。</w:t>
      </w:r>
      <w:r>
        <w:rPr>
          <w:rFonts w:hint="eastAsia" w:ascii="仿宋_GB2312" w:eastAsia="仿宋_GB2312"/>
          <w:sz w:val="32"/>
          <w:szCs w:val="32"/>
        </w:rPr>
        <w:t>根据专家的意见和不同时期重大有害生物的发生危害情况及其潜在威胁，区应急指挥部定期应对重大生物灾害的能力组织检查，如机构、队伍建设、物资、技术储备情况等。</w:t>
      </w:r>
    </w:p>
    <w:p w14:paraId="25974D98">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对在报告和处置重大生物灾害中做出突出贡献的单位和个人，要按照有关法律、法规或文件规定给予表彰和奖励。对在报告和处置重大生物灾害过程中，因玩忽职守而造成重大损失的单位和个人，将依法追究责任。 </w:t>
      </w:r>
    </w:p>
    <w:p w14:paraId="0BF63A75">
      <w:pPr>
        <w:spacing w:line="560" w:lineRule="exact"/>
        <w:ind w:firstLine="624" w:firstLineChars="200"/>
        <w:rPr>
          <w:rFonts w:ascii="黑体" w:eastAsia="黑体"/>
          <w:sz w:val="32"/>
          <w:szCs w:val="32"/>
        </w:rPr>
      </w:pPr>
      <w:r>
        <w:rPr>
          <w:rFonts w:hint="eastAsia" w:ascii="黑体" w:eastAsia="黑体"/>
          <w:sz w:val="32"/>
          <w:szCs w:val="32"/>
        </w:rPr>
        <w:t xml:space="preserve">七、附则 </w:t>
      </w:r>
    </w:p>
    <w:p w14:paraId="28E74019">
      <w:pPr>
        <w:spacing w:line="560" w:lineRule="exact"/>
        <w:ind w:firstLine="624" w:firstLineChars="200"/>
        <w:rPr>
          <w:rFonts w:ascii="楷体_GB2312" w:eastAsia="楷体_GB2312"/>
          <w:sz w:val="32"/>
          <w:szCs w:val="32"/>
        </w:rPr>
      </w:pPr>
      <w:r>
        <w:rPr>
          <w:rFonts w:hint="eastAsia" w:ascii="楷体_GB2312" w:eastAsia="楷体_GB2312"/>
          <w:sz w:val="32"/>
          <w:szCs w:val="32"/>
        </w:rPr>
        <w:t>（一）术语</w:t>
      </w:r>
    </w:p>
    <w:p w14:paraId="15A1E66E">
      <w:pPr>
        <w:spacing w:line="560" w:lineRule="exact"/>
        <w:ind w:firstLine="624" w:firstLineChars="200"/>
        <w:rPr>
          <w:rFonts w:ascii="仿宋_GB2312" w:eastAsia="仿宋_GB2312"/>
          <w:sz w:val="32"/>
          <w:szCs w:val="32"/>
        </w:rPr>
      </w:pPr>
      <w:r>
        <w:rPr>
          <w:rFonts w:hint="eastAsia" w:ascii="仿宋_GB2312" w:eastAsia="仿宋_GB2312"/>
          <w:sz w:val="32"/>
          <w:szCs w:val="32"/>
        </w:rPr>
        <w:t>有害生物：是指影响农作物、果树、森林、畜牧、水产及其种子等正常生长发育并造成严重损失的病、虫、杂草以及其它有害生物。</w:t>
      </w:r>
    </w:p>
    <w:p w14:paraId="0C886D5A">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外来有害生物：是指原产于国（境）外，传入我国后已经影响农作物、果树、森林、畜牧、水产及其种子等正常生长发育并造成严重损失的病、虫、杂草以及其它有害生物。 </w:t>
      </w:r>
    </w:p>
    <w:p w14:paraId="5201BF43">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国家检疫性有害生物：是指在我国境内局部地区发生，危险性大，能随动物、植物、微生物及其产品传播，经国务院农业、林业等行政主管部门发布禁止传播的有害生物。 </w:t>
      </w:r>
    </w:p>
    <w:p w14:paraId="551D6069">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重大生物灾害：是指有害生物引起的，对农业、林业、畜牧、水产等造成（或潜在造成）重大经济损失或国土生态安全造成严重威胁的生物灾害。 </w:t>
      </w:r>
    </w:p>
    <w:p w14:paraId="2E4DCD73">
      <w:pPr>
        <w:spacing w:line="560" w:lineRule="exact"/>
        <w:ind w:firstLine="624" w:firstLineChars="200"/>
        <w:rPr>
          <w:rFonts w:ascii="楷体_GB2312" w:eastAsia="楷体_GB2312"/>
          <w:sz w:val="32"/>
          <w:szCs w:val="32"/>
        </w:rPr>
      </w:pPr>
      <w:r>
        <w:rPr>
          <w:rFonts w:hint="eastAsia" w:ascii="楷体_GB2312" w:eastAsia="楷体_GB2312"/>
          <w:sz w:val="32"/>
          <w:szCs w:val="32"/>
        </w:rPr>
        <w:t>（二）预案管理与演练</w:t>
      </w:r>
    </w:p>
    <w:p w14:paraId="2FEC9421">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区应急指挥部应根据需要和演练情况，及时对《预案》进行修订和完善，经论证后报区管委备案。 </w:t>
      </w:r>
    </w:p>
    <w:p w14:paraId="5F435AD3">
      <w:pPr>
        <w:spacing w:line="560" w:lineRule="exact"/>
        <w:ind w:firstLine="624" w:firstLineChars="200"/>
        <w:rPr>
          <w:rFonts w:ascii="仿宋_GB2312" w:eastAsia="仿宋_GB2312"/>
          <w:sz w:val="32"/>
          <w:szCs w:val="32"/>
        </w:rPr>
      </w:pPr>
      <w:r>
        <w:rPr>
          <w:rFonts w:hint="eastAsia" w:ascii="仿宋_GB2312" w:eastAsia="仿宋_GB2312"/>
          <w:sz w:val="32"/>
          <w:szCs w:val="32"/>
        </w:rPr>
        <w:t>区应急指挥部每年分层次对专业技术人员和除治专业队队员进行技术培训，组织实战演练，提高应对重大生物灾害的处置能力。</w:t>
      </w:r>
    </w:p>
    <w:p w14:paraId="01720440">
      <w:pPr>
        <w:spacing w:line="560" w:lineRule="exact"/>
        <w:ind w:firstLine="624" w:firstLineChars="200"/>
        <w:rPr>
          <w:rFonts w:ascii="仿宋_GB2312" w:eastAsia="仿宋_GB2312"/>
          <w:sz w:val="32"/>
          <w:szCs w:val="32"/>
        </w:rPr>
      </w:pPr>
    </w:p>
    <w:p w14:paraId="7D8943D5">
      <w:pPr>
        <w:spacing w:line="560" w:lineRule="exact"/>
        <w:ind w:firstLine="624" w:firstLineChars="200"/>
        <w:rPr>
          <w:rFonts w:ascii="仿宋_GB2312" w:eastAsia="仿宋_GB2312"/>
          <w:sz w:val="32"/>
          <w:szCs w:val="32"/>
        </w:rPr>
      </w:pPr>
    </w:p>
    <w:p w14:paraId="2808A9F5">
      <w:pPr>
        <w:spacing w:line="560" w:lineRule="exact"/>
        <w:ind w:firstLine="624" w:firstLineChars="200"/>
        <w:rPr>
          <w:rFonts w:ascii="仿宋_GB2312" w:eastAsia="仿宋_GB2312"/>
          <w:sz w:val="32"/>
          <w:szCs w:val="32"/>
        </w:rPr>
      </w:pPr>
      <w:r>
        <w:rPr>
          <w:rFonts w:hint="eastAsia" w:ascii="仿宋_GB2312" w:eastAsia="仿宋_GB2312"/>
          <w:sz w:val="32"/>
          <w:szCs w:val="32"/>
        </w:rPr>
        <w:t xml:space="preserve">附件：1、高新区重大生物灾害防治应急指挥部成员联系表 </w:t>
      </w:r>
    </w:p>
    <w:p w14:paraId="19C998F1">
      <w:pPr>
        <w:spacing w:line="560" w:lineRule="exact"/>
        <w:ind w:firstLine="1560" w:firstLineChars="500"/>
        <w:rPr>
          <w:rFonts w:ascii="仿宋_GB2312" w:eastAsia="仿宋_GB2312"/>
          <w:sz w:val="32"/>
          <w:szCs w:val="32"/>
        </w:rPr>
      </w:pPr>
      <w:r>
        <w:rPr>
          <w:rFonts w:hint="eastAsia" w:ascii="仿宋_GB2312" w:eastAsia="仿宋_GB2312"/>
          <w:sz w:val="32"/>
          <w:szCs w:val="32"/>
        </w:rPr>
        <w:t>2、高新区重大生物灾害应急预案运行流程</w:t>
      </w:r>
    </w:p>
    <w:p w14:paraId="42C4CDB4">
      <w:pPr>
        <w:spacing w:line="560" w:lineRule="exact"/>
        <w:ind w:left="2018" w:leftChars="304" w:hanging="1404" w:hangingChars="450"/>
        <w:rPr>
          <w:rFonts w:ascii="仿宋_GB2312" w:eastAsia="仿宋_GB2312"/>
          <w:sz w:val="32"/>
          <w:szCs w:val="32"/>
        </w:rPr>
      </w:pPr>
    </w:p>
    <w:p w14:paraId="53E06F53">
      <w:pPr>
        <w:spacing w:line="560" w:lineRule="exact"/>
        <w:ind w:left="2018" w:leftChars="304" w:hanging="1404" w:hangingChars="450"/>
        <w:rPr>
          <w:rFonts w:ascii="仿宋_GB2312" w:eastAsia="仿宋_GB2312"/>
          <w:sz w:val="32"/>
          <w:szCs w:val="32"/>
        </w:rPr>
      </w:pPr>
    </w:p>
    <w:p w14:paraId="576704B5">
      <w:pPr>
        <w:spacing w:line="560" w:lineRule="exact"/>
        <w:rPr>
          <w:rFonts w:ascii="方正黑体简体" w:eastAsia="方正黑体简体"/>
          <w:sz w:val="32"/>
          <w:szCs w:val="32"/>
        </w:rPr>
      </w:pPr>
      <w:r>
        <w:rPr>
          <w:rFonts w:hint="eastAsia" w:ascii="方正黑体简体" w:eastAsia="方正黑体简体"/>
          <w:sz w:val="32"/>
          <w:szCs w:val="32"/>
        </w:rPr>
        <w:t>附件1:</w:t>
      </w:r>
    </w:p>
    <w:p w14:paraId="58904416">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烟台高新区重大生物灾害指挥部成员联系表</w:t>
      </w:r>
    </w:p>
    <w:tbl>
      <w:tblPr>
        <w:tblStyle w:val="12"/>
        <w:tblW w:w="9060" w:type="dxa"/>
        <w:tblInd w:w="0" w:type="dxa"/>
        <w:tblLayout w:type="fixed"/>
        <w:tblCellMar>
          <w:top w:w="0" w:type="dxa"/>
          <w:left w:w="108" w:type="dxa"/>
          <w:bottom w:w="0" w:type="dxa"/>
          <w:right w:w="108" w:type="dxa"/>
        </w:tblCellMar>
      </w:tblPr>
      <w:tblGrid>
        <w:gridCol w:w="1177"/>
        <w:gridCol w:w="939"/>
        <w:gridCol w:w="4227"/>
        <w:gridCol w:w="1180"/>
        <w:gridCol w:w="1537"/>
      </w:tblGrid>
      <w:tr w14:paraId="24D12C16">
        <w:tblPrEx>
          <w:tblCellMar>
            <w:top w:w="0" w:type="dxa"/>
            <w:left w:w="108" w:type="dxa"/>
            <w:bottom w:w="0" w:type="dxa"/>
            <w:right w:w="108" w:type="dxa"/>
          </w:tblCellMar>
        </w:tblPrEx>
        <w:trPr>
          <w:trHeight w:val="900" w:hRule="atLeast"/>
        </w:trPr>
        <w:tc>
          <w:tcPr>
            <w:tcW w:w="1177" w:type="dxa"/>
            <w:tcBorders>
              <w:top w:val="single" w:color="auto" w:sz="4" w:space="0"/>
              <w:left w:val="single" w:color="auto" w:sz="4" w:space="0"/>
              <w:bottom w:val="single" w:color="auto" w:sz="4" w:space="0"/>
              <w:right w:val="single" w:color="auto" w:sz="4" w:space="0"/>
            </w:tcBorders>
            <w:vAlign w:val="center"/>
          </w:tcPr>
          <w:p w14:paraId="55D0B6DC">
            <w:pPr>
              <w:widowControl/>
              <w:spacing w:line="560" w:lineRule="exact"/>
              <w:jc w:val="left"/>
              <w:rPr>
                <w:rFonts w:ascii="仿宋_GB2312" w:hAnsi="宋体" w:eastAsia="仿宋_GB2312" w:cs="宋体"/>
                <w:b/>
                <w:bCs/>
                <w:kern w:val="0"/>
                <w:sz w:val="24"/>
              </w:rPr>
            </w:pPr>
            <w:r>
              <w:rPr>
                <w:rFonts w:hint="eastAsia" w:ascii="仿宋_GB2312" w:hAnsi="宋体" w:eastAsia="仿宋_GB2312" w:cs="宋体"/>
                <w:b/>
                <w:bCs/>
                <w:kern w:val="0"/>
                <w:sz w:val="24"/>
              </w:rPr>
              <w:t>指挥部</w:t>
            </w:r>
          </w:p>
        </w:tc>
        <w:tc>
          <w:tcPr>
            <w:tcW w:w="939" w:type="dxa"/>
            <w:tcBorders>
              <w:top w:val="single" w:color="auto" w:sz="4" w:space="0"/>
              <w:left w:val="nil"/>
              <w:bottom w:val="single" w:color="auto" w:sz="4" w:space="0"/>
              <w:right w:val="single" w:color="auto" w:sz="4" w:space="0"/>
            </w:tcBorders>
            <w:vAlign w:val="center"/>
          </w:tcPr>
          <w:p w14:paraId="708C390E">
            <w:pPr>
              <w:widowControl/>
              <w:spacing w:line="56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姓  名</w:t>
            </w:r>
          </w:p>
        </w:tc>
        <w:tc>
          <w:tcPr>
            <w:tcW w:w="4227" w:type="dxa"/>
            <w:tcBorders>
              <w:top w:val="single" w:color="auto" w:sz="4" w:space="0"/>
              <w:left w:val="nil"/>
              <w:bottom w:val="single" w:color="auto" w:sz="4" w:space="0"/>
              <w:right w:val="single" w:color="000000" w:sz="4" w:space="0"/>
            </w:tcBorders>
            <w:vAlign w:val="center"/>
          </w:tcPr>
          <w:p w14:paraId="01E5455A">
            <w:pPr>
              <w:widowControl/>
              <w:spacing w:line="56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单位及职务</w:t>
            </w:r>
          </w:p>
        </w:tc>
        <w:tc>
          <w:tcPr>
            <w:tcW w:w="1180" w:type="dxa"/>
            <w:tcBorders>
              <w:top w:val="single" w:color="auto" w:sz="4" w:space="0"/>
              <w:left w:val="nil"/>
              <w:bottom w:val="single" w:color="auto" w:sz="4" w:space="0"/>
              <w:right w:val="single" w:color="auto" w:sz="4" w:space="0"/>
            </w:tcBorders>
            <w:vAlign w:val="center"/>
          </w:tcPr>
          <w:p w14:paraId="6B418246">
            <w:pPr>
              <w:widowControl/>
              <w:spacing w:line="56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办公电话</w:t>
            </w:r>
          </w:p>
        </w:tc>
        <w:tc>
          <w:tcPr>
            <w:tcW w:w="1537" w:type="dxa"/>
            <w:tcBorders>
              <w:top w:val="single" w:color="auto" w:sz="4" w:space="0"/>
              <w:left w:val="nil"/>
              <w:bottom w:val="single" w:color="auto" w:sz="4" w:space="0"/>
              <w:right w:val="single" w:color="auto" w:sz="4" w:space="0"/>
            </w:tcBorders>
            <w:vAlign w:val="center"/>
          </w:tcPr>
          <w:p w14:paraId="07762577">
            <w:pPr>
              <w:widowControl/>
              <w:spacing w:line="56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手  机</w:t>
            </w:r>
          </w:p>
        </w:tc>
      </w:tr>
      <w:tr w14:paraId="55689438">
        <w:tblPrEx>
          <w:tblCellMar>
            <w:top w:w="0" w:type="dxa"/>
            <w:left w:w="108" w:type="dxa"/>
            <w:bottom w:w="0" w:type="dxa"/>
            <w:right w:w="108" w:type="dxa"/>
          </w:tblCellMar>
        </w:tblPrEx>
        <w:trPr>
          <w:trHeight w:val="900" w:hRule="atLeast"/>
        </w:trPr>
        <w:tc>
          <w:tcPr>
            <w:tcW w:w="1177" w:type="dxa"/>
            <w:tcBorders>
              <w:top w:val="nil"/>
              <w:left w:val="single" w:color="auto" w:sz="4" w:space="0"/>
              <w:bottom w:val="single" w:color="auto" w:sz="4" w:space="0"/>
              <w:right w:val="single" w:color="auto" w:sz="4" w:space="0"/>
            </w:tcBorders>
            <w:vAlign w:val="center"/>
          </w:tcPr>
          <w:p w14:paraId="5548AB55">
            <w:pPr>
              <w:widowControl/>
              <w:spacing w:line="560" w:lineRule="exact"/>
              <w:jc w:val="left"/>
              <w:rPr>
                <w:rFonts w:ascii="仿宋_GB2312" w:hAnsi="宋体" w:eastAsia="仿宋_GB2312" w:cs="宋体"/>
                <w:kern w:val="0"/>
                <w:sz w:val="24"/>
              </w:rPr>
            </w:pPr>
            <w:r>
              <w:rPr>
                <w:rFonts w:hint="eastAsia" w:ascii="仿宋_GB2312" w:hAnsi="宋体" w:eastAsia="仿宋_GB2312" w:cs="宋体"/>
                <w:kern w:val="0"/>
                <w:sz w:val="24"/>
              </w:rPr>
              <w:t>总指挥</w:t>
            </w:r>
          </w:p>
        </w:tc>
        <w:tc>
          <w:tcPr>
            <w:tcW w:w="939" w:type="dxa"/>
            <w:tcBorders>
              <w:top w:val="nil"/>
              <w:left w:val="nil"/>
              <w:bottom w:val="single" w:color="auto" w:sz="4" w:space="0"/>
              <w:right w:val="single" w:color="auto" w:sz="4" w:space="0"/>
            </w:tcBorders>
            <w:vAlign w:val="center"/>
          </w:tcPr>
          <w:p w14:paraId="5E06B511">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李如鹏</w:t>
            </w:r>
          </w:p>
        </w:tc>
        <w:tc>
          <w:tcPr>
            <w:tcW w:w="4227" w:type="dxa"/>
            <w:tcBorders>
              <w:top w:val="single" w:color="auto" w:sz="4" w:space="0"/>
              <w:left w:val="nil"/>
              <w:bottom w:val="single" w:color="auto" w:sz="4" w:space="0"/>
              <w:right w:val="single" w:color="000000" w:sz="4" w:space="0"/>
            </w:tcBorders>
            <w:vAlign w:val="center"/>
          </w:tcPr>
          <w:p w14:paraId="1C4F9C8F">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区工委委员、管委副主任</w:t>
            </w:r>
          </w:p>
        </w:tc>
        <w:tc>
          <w:tcPr>
            <w:tcW w:w="1180" w:type="dxa"/>
            <w:tcBorders>
              <w:top w:val="single" w:color="auto" w:sz="4" w:space="0"/>
              <w:left w:val="nil"/>
              <w:bottom w:val="single" w:color="auto" w:sz="4" w:space="0"/>
              <w:right w:val="single" w:color="auto" w:sz="4" w:space="0"/>
            </w:tcBorders>
            <w:vAlign w:val="center"/>
          </w:tcPr>
          <w:p w14:paraId="63652993">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6922268</w:t>
            </w:r>
          </w:p>
        </w:tc>
        <w:tc>
          <w:tcPr>
            <w:tcW w:w="1537" w:type="dxa"/>
            <w:tcBorders>
              <w:top w:val="nil"/>
              <w:left w:val="nil"/>
              <w:bottom w:val="single" w:color="auto" w:sz="4" w:space="0"/>
              <w:right w:val="single" w:color="auto" w:sz="4" w:space="0"/>
            </w:tcBorders>
            <w:vAlign w:val="center"/>
          </w:tcPr>
          <w:p w14:paraId="527BD8A1">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13963812366</w:t>
            </w:r>
          </w:p>
        </w:tc>
      </w:tr>
      <w:tr w14:paraId="582564AF">
        <w:tblPrEx>
          <w:tblCellMar>
            <w:top w:w="0" w:type="dxa"/>
            <w:left w:w="108" w:type="dxa"/>
            <w:bottom w:w="0" w:type="dxa"/>
            <w:right w:w="108" w:type="dxa"/>
          </w:tblCellMar>
        </w:tblPrEx>
        <w:trPr>
          <w:trHeight w:val="900" w:hRule="atLeast"/>
        </w:trPr>
        <w:tc>
          <w:tcPr>
            <w:tcW w:w="1177" w:type="dxa"/>
            <w:tcBorders>
              <w:left w:val="single" w:color="auto" w:sz="4" w:space="0"/>
              <w:right w:val="single" w:color="auto" w:sz="4" w:space="0"/>
            </w:tcBorders>
            <w:vAlign w:val="center"/>
          </w:tcPr>
          <w:p w14:paraId="4C5A56A0">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副总指挥</w:t>
            </w:r>
          </w:p>
        </w:tc>
        <w:tc>
          <w:tcPr>
            <w:tcW w:w="939" w:type="dxa"/>
            <w:tcBorders>
              <w:top w:val="nil"/>
              <w:left w:val="nil"/>
              <w:bottom w:val="single" w:color="auto" w:sz="4" w:space="0"/>
              <w:right w:val="single" w:color="auto" w:sz="4" w:space="0"/>
            </w:tcBorders>
            <w:vAlign w:val="center"/>
          </w:tcPr>
          <w:p w14:paraId="5E37756D">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钟虎</w:t>
            </w:r>
          </w:p>
        </w:tc>
        <w:tc>
          <w:tcPr>
            <w:tcW w:w="4227" w:type="dxa"/>
            <w:tcBorders>
              <w:top w:val="single" w:color="auto" w:sz="4" w:space="0"/>
              <w:left w:val="nil"/>
              <w:bottom w:val="single" w:color="auto" w:sz="4" w:space="0"/>
              <w:right w:val="single" w:color="000000" w:sz="4" w:space="0"/>
            </w:tcBorders>
            <w:vAlign w:val="center"/>
          </w:tcPr>
          <w:p w14:paraId="72B7B871">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马山街道党委副书记、区社会事务管理服务中心负责人</w:t>
            </w:r>
          </w:p>
        </w:tc>
        <w:tc>
          <w:tcPr>
            <w:tcW w:w="1180" w:type="dxa"/>
            <w:tcBorders>
              <w:top w:val="single" w:color="auto" w:sz="4" w:space="0"/>
              <w:left w:val="nil"/>
              <w:bottom w:val="single" w:color="auto" w:sz="4" w:space="0"/>
              <w:right w:val="single" w:color="auto" w:sz="4" w:space="0"/>
            </w:tcBorders>
            <w:vAlign w:val="center"/>
          </w:tcPr>
          <w:p w14:paraId="68A108CA">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6922968</w:t>
            </w:r>
          </w:p>
        </w:tc>
        <w:tc>
          <w:tcPr>
            <w:tcW w:w="1537" w:type="dxa"/>
            <w:tcBorders>
              <w:top w:val="nil"/>
              <w:left w:val="nil"/>
              <w:bottom w:val="single" w:color="auto" w:sz="4" w:space="0"/>
              <w:right w:val="single" w:color="auto" w:sz="4" w:space="0"/>
            </w:tcBorders>
            <w:vAlign w:val="center"/>
          </w:tcPr>
          <w:p w14:paraId="2F9D30CD">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15563899911</w:t>
            </w:r>
          </w:p>
        </w:tc>
      </w:tr>
      <w:tr w14:paraId="2135B2EA">
        <w:tblPrEx>
          <w:tblCellMar>
            <w:top w:w="0" w:type="dxa"/>
            <w:left w:w="108" w:type="dxa"/>
            <w:bottom w:w="0" w:type="dxa"/>
            <w:right w:w="108" w:type="dxa"/>
          </w:tblCellMar>
        </w:tblPrEx>
        <w:trPr>
          <w:trHeight w:val="760" w:hRule="atLeast"/>
        </w:trPr>
        <w:tc>
          <w:tcPr>
            <w:tcW w:w="1177" w:type="dxa"/>
            <w:vMerge w:val="restart"/>
            <w:tcBorders>
              <w:top w:val="single" w:color="auto" w:sz="4" w:space="0"/>
              <w:left w:val="single" w:color="auto" w:sz="4" w:space="0"/>
              <w:right w:val="single" w:color="auto" w:sz="4" w:space="0"/>
            </w:tcBorders>
            <w:vAlign w:val="center"/>
          </w:tcPr>
          <w:p w14:paraId="10768BB1">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成员</w:t>
            </w:r>
          </w:p>
        </w:tc>
        <w:tc>
          <w:tcPr>
            <w:tcW w:w="939" w:type="dxa"/>
            <w:tcBorders>
              <w:top w:val="single" w:color="auto" w:sz="4" w:space="0"/>
              <w:left w:val="single" w:color="auto" w:sz="4" w:space="0"/>
              <w:bottom w:val="single" w:color="auto" w:sz="4" w:space="0"/>
              <w:right w:val="single" w:color="auto" w:sz="4" w:space="0"/>
            </w:tcBorders>
            <w:vAlign w:val="center"/>
          </w:tcPr>
          <w:p w14:paraId="1373BD82">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刘奎玉</w:t>
            </w:r>
          </w:p>
        </w:tc>
        <w:tc>
          <w:tcPr>
            <w:tcW w:w="4227" w:type="dxa"/>
            <w:tcBorders>
              <w:top w:val="single" w:color="auto" w:sz="4" w:space="0"/>
              <w:left w:val="single" w:color="auto" w:sz="4" w:space="0"/>
              <w:bottom w:val="single" w:color="auto" w:sz="4" w:space="0"/>
              <w:right w:val="single" w:color="auto" w:sz="4" w:space="0"/>
            </w:tcBorders>
            <w:vAlign w:val="center"/>
          </w:tcPr>
          <w:p w14:paraId="742F5735">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区公安分局副局长</w:t>
            </w:r>
          </w:p>
        </w:tc>
        <w:tc>
          <w:tcPr>
            <w:tcW w:w="1180" w:type="dxa"/>
            <w:tcBorders>
              <w:top w:val="single" w:color="auto" w:sz="4" w:space="0"/>
              <w:left w:val="single" w:color="auto" w:sz="4" w:space="0"/>
              <w:bottom w:val="single" w:color="auto" w:sz="4" w:space="0"/>
              <w:right w:val="single" w:color="auto" w:sz="4" w:space="0"/>
            </w:tcBorders>
            <w:vAlign w:val="center"/>
          </w:tcPr>
          <w:p w14:paraId="28F8B0E3">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6922715</w:t>
            </w:r>
          </w:p>
        </w:tc>
        <w:tc>
          <w:tcPr>
            <w:tcW w:w="1537" w:type="dxa"/>
            <w:tcBorders>
              <w:top w:val="single" w:color="auto" w:sz="4" w:space="0"/>
              <w:left w:val="single" w:color="auto" w:sz="4" w:space="0"/>
              <w:bottom w:val="single" w:color="auto" w:sz="4" w:space="0"/>
              <w:right w:val="single" w:color="auto" w:sz="4" w:space="0"/>
            </w:tcBorders>
            <w:vAlign w:val="center"/>
          </w:tcPr>
          <w:p w14:paraId="162DB625">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18815351007</w:t>
            </w:r>
          </w:p>
        </w:tc>
      </w:tr>
      <w:tr w14:paraId="5AFA82B9">
        <w:tblPrEx>
          <w:tblCellMar>
            <w:top w:w="0" w:type="dxa"/>
            <w:left w:w="108" w:type="dxa"/>
            <w:bottom w:w="0" w:type="dxa"/>
            <w:right w:w="108" w:type="dxa"/>
          </w:tblCellMar>
        </w:tblPrEx>
        <w:trPr>
          <w:trHeight w:val="745" w:hRule="atLeast"/>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0AF9CB68">
            <w:pPr>
              <w:widowControl/>
              <w:spacing w:line="560" w:lineRule="exact"/>
              <w:jc w:val="center"/>
              <w:rPr>
                <w:rFonts w:ascii="仿宋_GB2312" w:hAnsi="宋体" w:eastAsia="仿宋_GB2312" w:cs="宋体"/>
                <w:kern w:val="0"/>
                <w:sz w:val="24"/>
              </w:rPr>
            </w:pPr>
          </w:p>
        </w:tc>
        <w:tc>
          <w:tcPr>
            <w:tcW w:w="939" w:type="dxa"/>
            <w:tcBorders>
              <w:top w:val="single" w:color="auto" w:sz="4" w:space="0"/>
              <w:left w:val="single" w:color="auto" w:sz="4" w:space="0"/>
              <w:bottom w:val="single" w:color="auto" w:sz="4" w:space="0"/>
              <w:right w:val="single" w:color="auto" w:sz="4" w:space="0"/>
            </w:tcBorders>
            <w:vAlign w:val="center"/>
          </w:tcPr>
          <w:p w14:paraId="39FD26E3">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齐照良</w:t>
            </w:r>
          </w:p>
        </w:tc>
        <w:tc>
          <w:tcPr>
            <w:tcW w:w="4227" w:type="dxa"/>
            <w:tcBorders>
              <w:top w:val="single" w:color="auto" w:sz="4" w:space="0"/>
              <w:left w:val="single" w:color="auto" w:sz="4" w:space="0"/>
              <w:bottom w:val="single" w:color="auto" w:sz="4" w:space="0"/>
              <w:right w:val="single" w:color="auto" w:sz="4" w:space="0"/>
            </w:tcBorders>
            <w:vAlign w:val="center"/>
          </w:tcPr>
          <w:p w14:paraId="79ABA490">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区综合管理部副部长、宣传中心主任</w:t>
            </w:r>
          </w:p>
        </w:tc>
        <w:tc>
          <w:tcPr>
            <w:tcW w:w="1180" w:type="dxa"/>
            <w:tcBorders>
              <w:top w:val="single" w:color="auto" w:sz="4" w:space="0"/>
              <w:left w:val="single" w:color="auto" w:sz="4" w:space="0"/>
              <w:bottom w:val="single" w:color="auto" w:sz="4" w:space="0"/>
              <w:right w:val="single" w:color="auto" w:sz="4" w:space="0"/>
            </w:tcBorders>
            <w:vAlign w:val="center"/>
          </w:tcPr>
          <w:p w14:paraId="6DC364D2">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6922340</w:t>
            </w:r>
          </w:p>
        </w:tc>
        <w:tc>
          <w:tcPr>
            <w:tcW w:w="1537" w:type="dxa"/>
            <w:tcBorders>
              <w:top w:val="single" w:color="auto" w:sz="4" w:space="0"/>
              <w:left w:val="single" w:color="auto" w:sz="4" w:space="0"/>
              <w:bottom w:val="single" w:color="auto" w:sz="4" w:space="0"/>
              <w:right w:val="single" w:color="auto" w:sz="4" w:space="0"/>
            </w:tcBorders>
            <w:vAlign w:val="center"/>
          </w:tcPr>
          <w:p w14:paraId="20C35527">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13723980143</w:t>
            </w:r>
          </w:p>
        </w:tc>
      </w:tr>
      <w:tr w14:paraId="42BF77FB">
        <w:tblPrEx>
          <w:tblCellMar>
            <w:top w:w="0" w:type="dxa"/>
            <w:left w:w="108" w:type="dxa"/>
            <w:bottom w:w="0" w:type="dxa"/>
            <w:right w:w="108" w:type="dxa"/>
          </w:tblCellMar>
        </w:tblPrEx>
        <w:trPr>
          <w:trHeight w:val="740" w:hRule="atLeast"/>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2B3A7077">
            <w:pPr>
              <w:widowControl/>
              <w:spacing w:line="560" w:lineRule="exact"/>
              <w:jc w:val="left"/>
              <w:rPr>
                <w:rFonts w:ascii="仿宋_GB2312" w:hAnsi="宋体" w:eastAsia="仿宋_GB2312" w:cs="宋体"/>
                <w:kern w:val="0"/>
                <w:sz w:val="24"/>
              </w:rPr>
            </w:pPr>
          </w:p>
        </w:tc>
        <w:tc>
          <w:tcPr>
            <w:tcW w:w="939" w:type="dxa"/>
            <w:tcBorders>
              <w:top w:val="single" w:color="auto" w:sz="4" w:space="0"/>
              <w:left w:val="single" w:color="auto" w:sz="4" w:space="0"/>
              <w:bottom w:val="single" w:color="auto" w:sz="4" w:space="0"/>
              <w:right w:val="single" w:color="auto" w:sz="4" w:space="0"/>
            </w:tcBorders>
            <w:vAlign w:val="center"/>
          </w:tcPr>
          <w:p w14:paraId="32F6F209">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闫明东</w:t>
            </w:r>
          </w:p>
        </w:tc>
        <w:tc>
          <w:tcPr>
            <w:tcW w:w="4227" w:type="dxa"/>
            <w:tcBorders>
              <w:top w:val="single" w:color="auto" w:sz="4" w:space="0"/>
              <w:left w:val="single" w:color="auto" w:sz="4" w:space="0"/>
              <w:bottom w:val="single" w:color="auto" w:sz="4" w:space="0"/>
              <w:right w:val="single" w:color="auto" w:sz="4" w:space="0"/>
            </w:tcBorders>
            <w:vAlign w:val="center"/>
          </w:tcPr>
          <w:p w14:paraId="2B75FB63">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区党群工作部副部长</w:t>
            </w:r>
          </w:p>
        </w:tc>
        <w:tc>
          <w:tcPr>
            <w:tcW w:w="1180" w:type="dxa"/>
            <w:tcBorders>
              <w:top w:val="single" w:color="auto" w:sz="4" w:space="0"/>
              <w:left w:val="single" w:color="auto" w:sz="4" w:space="0"/>
              <w:bottom w:val="single" w:color="auto" w:sz="4" w:space="0"/>
              <w:right w:val="single" w:color="auto" w:sz="4" w:space="0"/>
            </w:tcBorders>
            <w:vAlign w:val="center"/>
          </w:tcPr>
          <w:p w14:paraId="52447419">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6922105</w:t>
            </w:r>
          </w:p>
        </w:tc>
        <w:tc>
          <w:tcPr>
            <w:tcW w:w="1537" w:type="dxa"/>
            <w:tcBorders>
              <w:top w:val="single" w:color="auto" w:sz="4" w:space="0"/>
              <w:left w:val="single" w:color="auto" w:sz="4" w:space="0"/>
              <w:bottom w:val="single" w:color="auto" w:sz="4" w:space="0"/>
              <w:right w:val="single" w:color="auto" w:sz="4" w:space="0"/>
            </w:tcBorders>
            <w:vAlign w:val="center"/>
          </w:tcPr>
          <w:p w14:paraId="06AB8198">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13853501765</w:t>
            </w:r>
          </w:p>
        </w:tc>
      </w:tr>
      <w:tr w14:paraId="43D8C2C9">
        <w:tblPrEx>
          <w:tblCellMar>
            <w:top w:w="0" w:type="dxa"/>
            <w:left w:w="108" w:type="dxa"/>
            <w:bottom w:w="0" w:type="dxa"/>
            <w:right w:w="108" w:type="dxa"/>
          </w:tblCellMar>
        </w:tblPrEx>
        <w:trPr>
          <w:trHeight w:val="730" w:hRule="atLeast"/>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74473908">
            <w:pPr>
              <w:widowControl/>
              <w:spacing w:line="560" w:lineRule="exact"/>
              <w:jc w:val="left"/>
              <w:rPr>
                <w:rFonts w:ascii="仿宋_GB2312" w:hAnsi="宋体" w:eastAsia="仿宋_GB2312" w:cs="宋体"/>
                <w:kern w:val="0"/>
                <w:sz w:val="24"/>
              </w:rPr>
            </w:pPr>
          </w:p>
        </w:tc>
        <w:tc>
          <w:tcPr>
            <w:tcW w:w="939" w:type="dxa"/>
            <w:tcBorders>
              <w:top w:val="single" w:color="auto" w:sz="4" w:space="0"/>
              <w:left w:val="single" w:color="auto" w:sz="4" w:space="0"/>
              <w:bottom w:val="single" w:color="auto" w:sz="4" w:space="0"/>
              <w:right w:val="single" w:color="auto" w:sz="4" w:space="0"/>
            </w:tcBorders>
            <w:vAlign w:val="center"/>
          </w:tcPr>
          <w:p w14:paraId="202932B9">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刘泽华</w:t>
            </w:r>
          </w:p>
        </w:tc>
        <w:tc>
          <w:tcPr>
            <w:tcW w:w="4227" w:type="dxa"/>
            <w:tcBorders>
              <w:top w:val="single" w:color="auto" w:sz="4" w:space="0"/>
              <w:left w:val="single" w:color="auto" w:sz="4" w:space="0"/>
              <w:bottom w:val="single" w:color="auto" w:sz="4" w:space="0"/>
              <w:right w:val="single" w:color="auto" w:sz="4" w:space="0"/>
            </w:tcBorders>
            <w:vAlign w:val="center"/>
          </w:tcPr>
          <w:p w14:paraId="49E403BD">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区财政金融部副部长</w:t>
            </w:r>
          </w:p>
        </w:tc>
        <w:tc>
          <w:tcPr>
            <w:tcW w:w="1180" w:type="dxa"/>
            <w:tcBorders>
              <w:top w:val="single" w:color="auto" w:sz="4" w:space="0"/>
              <w:left w:val="single" w:color="auto" w:sz="4" w:space="0"/>
              <w:bottom w:val="single" w:color="auto" w:sz="4" w:space="0"/>
              <w:right w:val="single" w:color="auto" w:sz="4" w:space="0"/>
            </w:tcBorders>
            <w:vAlign w:val="center"/>
          </w:tcPr>
          <w:p w14:paraId="38B66DEF">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6922063</w:t>
            </w:r>
          </w:p>
        </w:tc>
        <w:tc>
          <w:tcPr>
            <w:tcW w:w="1537" w:type="dxa"/>
            <w:tcBorders>
              <w:top w:val="single" w:color="auto" w:sz="4" w:space="0"/>
              <w:left w:val="single" w:color="auto" w:sz="4" w:space="0"/>
              <w:bottom w:val="single" w:color="auto" w:sz="4" w:space="0"/>
              <w:right w:val="single" w:color="auto" w:sz="4" w:space="0"/>
            </w:tcBorders>
            <w:vAlign w:val="center"/>
          </w:tcPr>
          <w:p w14:paraId="79DD360E">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15666586868</w:t>
            </w:r>
          </w:p>
        </w:tc>
      </w:tr>
      <w:tr w14:paraId="10AFC6DC">
        <w:tblPrEx>
          <w:tblCellMar>
            <w:top w:w="0" w:type="dxa"/>
            <w:left w:w="108" w:type="dxa"/>
            <w:bottom w:w="0" w:type="dxa"/>
            <w:right w:w="108" w:type="dxa"/>
          </w:tblCellMar>
        </w:tblPrEx>
        <w:trPr>
          <w:trHeight w:val="745" w:hRule="atLeast"/>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04A1F7A9">
            <w:pPr>
              <w:widowControl/>
              <w:spacing w:line="560" w:lineRule="exact"/>
              <w:jc w:val="left"/>
              <w:rPr>
                <w:rFonts w:ascii="仿宋_GB2312" w:hAnsi="宋体" w:eastAsia="仿宋_GB2312" w:cs="宋体"/>
                <w:kern w:val="0"/>
                <w:sz w:val="24"/>
              </w:rPr>
            </w:pPr>
          </w:p>
        </w:tc>
        <w:tc>
          <w:tcPr>
            <w:tcW w:w="939" w:type="dxa"/>
            <w:tcBorders>
              <w:top w:val="single" w:color="auto" w:sz="4" w:space="0"/>
              <w:left w:val="single" w:color="auto" w:sz="4" w:space="0"/>
              <w:bottom w:val="single" w:color="auto" w:sz="4" w:space="0"/>
              <w:right w:val="single" w:color="auto" w:sz="4" w:space="0"/>
            </w:tcBorders>
            <w:vAlign w:val="center"/>
          </w:tcPr>
          <w:p w14:paraId="1E6E9026">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刘铁军</w:t>
            </w:r>
          </w:p>
        </w:tc>
        <w:tc>
          <w:tcPr>
            <w:tcW w:w="4227" w:type="dxa"/>
            <w:tcBorders>
              <w:top w:val="single" w:color="auto" w:sz="4" w:space="0"/>
              <w:left w:val="single" w:color="auto" w:sz="4" w:space="0"/>
              <w:bottom w:val="single" w:color="auto" w:sz="4" w:space="0"/>
              <w:right w:val="single" w:color="auto" w:sz="4" w:space="0"/>
            </w:tcBorders>
            <w:vAlign w:val="center"/>
          </w:tcPr>
          <w:p w14:paraId="541A2579">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区综合行政执法局副局长</w:t>
            </w:r>
          </w:p>
        </w:tc>
        <w:tc>
          <w:tcPr>
            <w:tcW w:w="1180" w:type="dxa"/>
            <w:tcBorders>
              <w:top w:val="single" w:color="auto" w:sz="4" w:space="0"/>
              <w:left w:val="single" w:color="auto" w:sz="4" w:space="0"/>
              <w:bottom w:val="single" w:color="auto" w:sz="4" w:space="0"/>
              <w:right w:val="single" w:color="auto" w:sz="4" w:space="0"/>
            </w:tcBorders>
            <w:vAlign w:val="center"/>
          </w:tcPr>
          <w:p w14:paraId="7E2FBC54">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6922580</w:t>
            </w:r>
          </w:p>
        </w:tc>
        <w:tc>
          <w:tcPr>
            <w:tcW w:w="1537" w:type="dxa"/>
            <w:tcBorders>
              <w:top w:val="single" w:color="auto" w:sz="4" w:space="0"/>
              <w:left w:val="single" w:color="auto" w:sz="4" w:space="0"/>
              <w:bottom w:val="single" w:color="auto" w:sz="4" w:space="0"/>
              <w:right w:val="single" w:color="auto" w:sz="4" w:space="0"/>
            </w:tcBorders>
            <w:vAlign w:val="center"/>
          </w:tcPr>
          <w:p w14:paraId="2499E31B">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17753598978</w:t>
            </w:r>
          </w:p>
        </w:tc>
      </w:tr>
      <w:tr w14:paraId="7D066B02">
        <w:tblPrEx>
          <w:tblCellMar>
            <w:top w:w="0" w:type="dxa"/>
            <w:left w:w="108" w:type="dxa"/>
            <w:bottom w:w="0" w:type="dxa"/>
            <w:right w:w="108" w:type="dxa"/>
          </w:tblCellMar>
        </w:tblPrEx>
        <w:trPr>
          <w:trHeight w:val="685" w:hRule="atLeast"/>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25123921">
            <w:pPr>
              <w:widowControl/>
              <w:spacing w:line="560" w:lineRule="exact"/>
              <w:jc w:val="left"/>
              <w:rPr>
                <w:rFonts w:ascii="仿宋_GB2312" w:hAnsi="宋体" w:eastAsia="仿宋_GB2312" w:cs="宋体"/>
                <w:kern w:val="0"/>
                <w:sz w:val="24"/>
              </w:rPr>
            </w:pPr>
          </w:p>
        </w:tc>
        <w:tc>
          <w:tcPr>
            <w:tcW w:w="939" w:type="dxa"/>
            <w:tcBorders>
              <w:top w:val="single" w:color="auto" w:sz="4" w:space="0"/>
              <w:left w:val="single" w:color="auto" w:sz="4" w:space="0"/>
              <w:bottom w:val="single" w:color="auto" w:sz="4" w:space="0"/>
              <w:right w:val="single" w:color="auto" w:sz="4" w:space="0"/>
            </w:tcBorders>
            <w:vAlign w:val="center"/>
          </w:tcPr>
          <w:p w14:paraId="648749BA">
            <w:pPr>
              <w:widowControl/>
              <w:spacing w:line="560" w:lineRule="exact"/>
              <w:rPr>
                <w:rFonts w:ascii="仿宋_GB2312" w:hAnsi="宋体" w:eastAsia="仿宋_GB2312" w:cs="宋体"/>
                <w:kern w:val="0"/>
                <w:sz w:val="24"/>
              </w:rPr>
            </w:pPr>
            <w:r>
              <w:rPr>
                <w:rFonts w:hint="eastAsia" w:ascii="仿宋_GB2312" w:hAnsi="宋体" w:eastAsia="仿宋_GB2312" w:cs="宋体"/>
                <w:kern w:val="0"/>
                <w:sz w:val="24"/>
              </w:rPr>
              <w:t>刘旭升</w:t>
            </w:r>
          </w:p>
        </w:tc>
        <w:tc>
          <w:tcPr>
            <w:tcW w:w="4227" w:type="dxa"/>
            <w:tcBorders>
              <w:top w:val="single" w:color="auto" w:sz="4" w:space="0"/>
              <w:left w:val="single" w:color="auto" w:sz="4" w:space="0"/>
              <w:bottom w:val="single" w:color="auto" w:sz="4" w:space="0"/>
              <w:right w:val="single" w:color="auto" w:sz="4" w:space="0"/>
            </w:tcBorders>
            <w:vAlign w:val="center"/>
          </w:tcPr>
          <w:p w14:paraId="2CAD697F">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马山街道党委委员、办事处副主任</w:t>
            </w:r>
          </w:p>
        </w:tc>
        <w:tc>
          <w:tcPr>
            <w:tcW w:w="1180" w:type="dxa"/>
            <w:tcBorders>
              <w:top w:val="single" w:color="auto" w:sz="4" w:space="0"/>
              <w:left w:val="single" w:color="auto" w:sz="4" w:space="0"/>
              <w:bottom w:val="single" w:color="auto" w:sz="4" w:space="0"/>
              <w:right w:val="single" w:color="auto" w:sz="4" w:space="0"/>
            </w:tcBorders>
            <w:vAlign w:val="center"/>
          </w:tcPr>
          <w:p w14:paraId="4AF0BABF">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6922709</w:t>
            </w:r>
          </w:p>
        </w:tc>
        <w:tc>
          <w:tcPr>
            <w:tcW w:w="1537" w:type="dxa"/>
            <w:tcBorders>
              <w:top w:val="single" w:color="auto" w:sz="4" w:space="0"/>
              <w:left w:val="single" w:color="auto" w:sz="4" w:space="0"/>
              <w:bottom w:val="single" w:color="auto" w:sz="4" w:space="0"/>
              <w:right w:val="single" w:color="auto" w:sz="4" w:space="0"/>
            </w:tcBorders>
            <w:vAlign w:val="center"/>
          </w:tcPr>
          <w:p w14:paraId="5CEDB324">
            <w:pPr>
              <w:widowControl/>
              <w:spacing w:line="560" w:lineRule="exact"/>
              <w:rPr>
                <w:rFonts w:ascii="仿宋_GB2312" w:hAnsi="宋体" w:eastAsia="仿宋_GB2312" w:cs="宋体"/>
                <w:kern w:val="0"/>
                <w:sz w:val="24"/>
              </w:rPr>
            </w:pPr>
            <w:r>
              <w:rPr>
                <w:rFonts w:hint="eastAsia" w:ascii="仿宋_GB2312" w:hAnsi="宋体" w:eastAsia="仿宋_GB2312" w:cs="宋体"/>
                <w:kern w:val="0"/>
                <w:sz w:val="24"/>
              </w:rPr>
              <w:t>13553108760</w:t>
            </w:r>
          </w:p>
        </w:tc>
      </w:tr>
      <w:tr w14:paraId="1B17ED64">
        <w:tblPrEx>
          <w:tblCellMar>
            <w:top w:w="0" w:type="dxa"/>
            <w:left w:w="108" w:type="dxa"/>
            <w:bottom w:w="0" w:type="dxa"/>
            <w:right w:w="108" w:type="dxa"/>
          </w:tblCellMar>
        </w:tblPrEx>
        <w:trPr>
          <w:trHeight w:val="660" w:hRule="atLeast"/>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42348D68">
            <w:pPr>
              <w:widowControl/>
              <w:spacing w:line="560" w:lineRule="exact"/>
              <w:jc w:val="left"/>
              <w:rPr>
                <w:rFonts w:ascii="仿宋_GB2312" w:hAnsi="宋体" w:eastAsia="仿宋_GB2312" w:cs="宋体"/>
                <w:kern w:val="0"/>
                <w:sz w:val="24"/>
              </w:rPr>
            </w:pPr>
          </w:p>
        </w:tc>
        <w:tc>
          <w:tcPr>
            <w:tcW w:w="939" w:type="dxa"/>
            <w:tcBorders>
              <w:top w:val="single" w:color="auto" w:sz="4" w:space="0"/>
              <w:left w:val="single" w:color="auto" w:sz="4" w:space="0"/>
              <w:bottom w:val="single" w:color="auto" w:sz="4" w:space="0"/>
              <w:right w:val="single" w:color="auto" w:sz="4" w:space="0"/>
            </w:tcBorders>
            <w:vAlign w:val="center"/>
          </w:tcPr>
          <w:p w14:paraId="34BAF709">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蒋家革</w:t>
            </w:r>
          </w:p>
        </w:tc>
        <w:tc>
          <w:tcPr>
            <w:tcW w:w="4227" w:type="dxa"/>
            <w:tcBorders>
              <w:top w:val="single" w:color="auto" w:sz="4" w:space="0"/>
              <w:left w:val="single" w:color="auto" w:sz="4" w:space="0"/>
              <w:bottom w:val="single" w:color="auto" w:sz="4" w:space="0"/>
              <w:right w:val="single" w:color="auto" w:sz="4" w:space="0"/>
            </w:tcBorders>
            <w:vAlign w:val="center"/>
          </w:tcPr>
          <w:p w14:paraId="6C45FB75">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金山湾管理处副主任</w:t>
            </w:r>
          </w:p>
        </w:tc>
        <w:tc>
          <w:tcPr>
            <w:tcW w:w="1180" w:type="dxa"/>
            <w:tcBorders>
              <w:top w:val="single" w:color="auto" w:sz="4" w:space="0"/>
              <w:left w:val="single" w:color="auto" w:sz="4" w:space="0"/>
              <w:bottom w:val="single" w:color="auto" w:sz="4" w:space="0"/>
              <w:right w:val="single" w:color="auto" w:sz="4" w:space="0"/>
            </w:tcBorders>
            <w:vAlign w:val="center"/>
          </w:tcPr>
          <w:p w14:paraId="64D620CD">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8209522</w:t>
            </w:r>
          </w:p>
        </w:tc>
        <w:tc>
          <w:tcPr>
            <w:tcW w:w="1537" w:type="dxa"/>
            <w:tcBorders>
              <w:top w:val="single" w:color="auto" w:sz="4" w:space="0"/>
              <w:left w:val="single" w:color="auto" w:sz="4" w:space="0"/>
              <w:bottom w:val="single" w:color="auto" w:sz="4" w:space="0"/>
              <w:right w:val="single" w:color="auto" w:sz="4" w:space="0"/>
            </w:tcBorders>
            <w:vAlign w:val="center"/>
          </w:tcPr>
          <w:p w14:paraId="37911466">
            <w:pPr>
              <w:widowControl/>
              <w:spacing w:line="560" w:lineRule="exact"/>
              <w:jc w:val="center"/>
              <w:rPr>
                <w:rFonts w:ascii="仿宋_GB2312" w:hAnsi="宋体" w:eastAsia="仿宋_GB2312" w:cs="宋体"/>
                <w:kern w:val="0"/>
                <w:sz w:val="24"/>
              </w:rPr>
            </w:pPr>
            <w:r>
              <w:rPr>
                <w:rFonts w:hint="eastAsia" w:ascii="仿宋_GB2312" w:hAnsi="宋体" w:eastAsia="仿宋_GB2312" w:cs="宋体"/>
                <w:kern w:val="0"/>
                <w:sz w:val="24"/>
              </w:rPr>
              <w:t>15166898192</w:t>
            </w:r>
          </w:p>
        </w:tc>
      </w:tr>
    </w:tbl>
    <w:p w14:paraId="74470DD0">
      <w:pPr>
        <w:spacing w:line="560" w:lineRule="exact"/>
        <w:rPr>
          <w:rFonts w:ascii="仿宋_GB2312" w:hAnsi="Calibri" w:eastAsia="仿宋_GB2312"/>
          <w:sz w:val="24"/>
        </w:rPr>
      </w:pPr>
      <w:r>
        <w:rPr>
          <w:rFonts w:hint="eastAsia" w:ascii="仿宋_GB2312" w:eastAsia="仿宋_GB2312"/>
          <w:sz w:val="24"/>
        </w:rPr>
        <w:t>注：指挥部下设办公室，办公室设</w:t>
      </w:r>
      <w:r>
        <w:rPr>
          <w:rFonts w:hint="eastAsia" w:ascii="仿宋_GB2312" w:hAnsi="Calibri" w:eastAsia="仿宋_GB2312"/>
          <w:sz w:val="24"/>
        </w:rPr>
        <w:t>在区社会事务管理服务中心，钟虎同志任办公室主任。</w:t>
      </w:r>
    </w:p>
    <w:p w14:paraId="09EFB4E1">
      <w:pPr>
        <w:spacing w:line="560" w:lineRule="exact"/>
        <w:rPr>
          <w:rFonts w:ascii="方正黑体简体" w:eastAsia="方正黑体简体"/>
          <w:sz w:val="32"/>
          <w:szCs w:val="32"/>
        </w:rPr>
      </w:pPr>
    </w:p>
    <w:p w14:paraId="43C671CE">
      <w:pPr>
        <w:spacing w:line="560" w:lineRule="exact"/>
        <w:rPr>
          <w:rFonts w:ascii="方正黑体简体" w:eastAsia="方正黑体简体"/>
          <w:sz w:val="32"/>
          <w:szCs w:val="32"/>
        </w:rPr>
      </w:pPr>
    </w:p>
    <w:p w14:paraId="76B7603F">
      <w:pPr>
        <w:spacing w:line="560" w:lineRule="exact"/>
        <w:rPr>
          <w:rFonts w:ascii="方正黑体简体" w:eastAsia="方正黑体简体"/>
          <w:sz w:val="32"/>
          <w:szCs w:val="32"/>
        </w:rPr>
      </w:pPr>
    </w:p>
    <w:p w14:paraId="03A7102A">
      <w:pPr>
        <w:spacing w:line="560" w:lineRule="exact"/>
        <w:rPr>
          <w:rFonts w:ascii="方正黑体简体" w:eastAsia="方正黑体简体"/>
          <w:sz w:val="32"/>
          <w:szCs w:val="32"/>
        </w:rPr>
      </w:pPr>
    </w:p>
    <w:p w14:paraId="5E4837FA">
      <w:pPr>
        <w:pStyle w:val="9"/>
      </w:pPr>
    </w:p>
    <w:p w14:paraId="6E3175BA">
      <w:pPr>
        <w:spacing w:line="560" w:lineRule="exact"/>
        <w:rPr>
          <w:rFonts w:ascii="方正黑体简体" w:eastAsia="方正黑体简体"/>
          <w:sz w:val="32"/>
          <w:szCs w:val="32"/>
        </w:rPr>
      </w:pPr>
      <w:r>
        <w:rPr>
          <w:rFonts w:hint="eastAsia" w:ascii="方正黑体简体" w:eastAsia="方正黑体简体"/>
          <w:sz w:val="32"/>
          <w:szCs w:val="32"/>
        </w:rPr>
        <w:t>附件2：</w:t>
      </w:r>
    </w:p>
    <w:p w14:paraId="102F0804">
      <w:pPr>
        <w:spacing w:line="560" w:lineRule="exact"/>
        <w:jc w:val="center"/>
        <w:rPr>
          <w:szCs w:val="21"/>
        </w:rPr>
      </w:pPr>
      <w:r>
        <w:rPr>
          <w:rFonts w:hint="eastAsia" w:ascii="方正小标宋简体" w:hAnsi="宋体" w:eastAsia="方正小标宋简体"/>
          <w:sz w:val="44"/>
          <w:szCs w:val="44"/>
        </w:rPr>
        <w:t>高新区重大生物灾害应急预案运行流程</w:t>
      </w:r>
    </w:p>
    <w:p w14:paraId="0C490CC7">
      <w:pPr>
        <w:spacing w:line="560" w:lineRule="exact"/>
        <w:jc w:val="center"/>
        <w:rPr>
          <w:szCs w:val="21"/>
        </w:rPr>
      </w:pPr>
    </w:p>
    <w:p w14:paraId="4A586026">
      <w:pPr>
        <w:spacing w:line="560" w:lineRule="exact"/>
        <w:rPr>
          <w:szCs w:val="21"/>
        </w:rPr>
      </w:pPr>
    </w:p>
    <w:p w14:paraId="09E1E178">
      <w:pPr>
        <w:spacing w:line="560" w:lineRule="exact"/>
        <w:jc w:val="center"/>
        <w:rPr>
          <w:szCs w:val="21"/>
        </w:rPr>
      </w:pPr>
    </w:p>
    <w:p w14:paraId="238C2346">
      <w:pPr>
        <w:spacing w:line="560" w:lineRule="exact"/>
        <w:jc w:val="center"/>
        <w:rPr>
          <w:szCs w:val="21"/>
        </w:rPr>
      </w:pPr>
    </w:p>
    <w:p w14:paraId="22FCF210">
      <w:pPr>
        <w:spacing w:line="560" w:lineRule="exact"/>
        <w:jc w:val="center"/>
        <w:rPr>
          <w:szCs w:val="21"/>
        </w:rPr>
      </w:pPr>
    </w:p>
    <w:p w14:paraId="0BDE718A">
      <w:pPr>
        <w:spacing w:line="560" w:lineRule="exact"/>
        <w:jc w:val="center"/>
        <w:rPr>
          <w:szCs w:val="21"/>
        </w:rPr>
      </w:pPr>
    </w:p>
    <w:p w14:paraId="74F968F4">
      <w:pPr>
        <w:spacing w:line="560" w:lineRule="exact"/>
        <w:jc w:val="center"/>
        <w:rPr>
          <w:szCs w:val="21"/>
        </w:rPr>
      </w:pPr>
    </w:p>
    <w:p w14:paraId="35908F3E">
      <w:pPr>
        <w:spacing w:line="560" w:lineRule="exact"/>
        <w:jc w:val="center"/>
        <w:rPr>
          <w:szCs w:val="21"/>
        </w:rPr>
      </w:pPr>
    </w:p>
    <w:p w14:paraId="182A0FD2">
      <w:pPr>
        <w:spacing w:line="560" w:lineRule="exact"/>
        <w:jc w:val="center"/>
        <w:rPr>
          <w:szCs w:val="21"/>
        </w:rPr>
      </w:pPr>
    </w:p>
    <w:p w14:paraId="03392956">
      <w:pPr>
        <w:spacing w:line="560" w:lineRule="exact"/>
        <w:jc w:val="center"/>
        <w:rPr>
          <w:szCs w:val="21"/>
        </w:rPr>
      </w:pPr>
    </w:p>
    <w:p w14:paraId="7C01F946">
      <w:pPr>
        <w:spacing w:line="560" w:lineRule="exact"/>
        <w:rPr>
          <w:szCs w:val="21"/>
        </w:rPr>
      </w:pPr>
    </w:p>
    <w:p w14:paraId="3C660CD3">
      <w:pPr>
        <w:spacing w:line="560" w:lineRule="exact"/>
        <w:jc w:val="center"/>
        <w:rPr>
          <w:szCs w:val="21"/>
        </w:rPr>
      </w:pPr>
    </w:p>
    <w:p w14:paraId="4E1D296A">
      <w:pPr>
        <w:spacing w:line="560" w:lineRule="exact"/>
        <w:jc w:val="center"/>
        <w:rPr>
          <w:szCs w:val="21"/>
        </w:rPr>
      </w:pPr>
    </w:p>
    <w:p w14:paraId="110E0E36">
      <w:pPr>
        <w:spacing w:line="560" w:lineRule="exact"/>
        <w:jc w:val="center"/>
        <w:rPr>
          <w:szCs w:val="21"/>
        </w:rPr>
      </w:pPr>
    </w:p>
    <w:p w14:paraId="2F7077DA">
      <w:pPr>
        <w:spacing w:line="560" w:lineRule="exact"/>
        <w:jc w:val="center"/>
        <w:rPr>
          <w:szCs w:val="21"/>
        </w:rPr>
      </w:pPr>
    </w:p>
    <w:p w14:paraId="2D4BF4DD">
      <w:pPr>
        <w:spacing w:line="560" w:lineRule="exact"/>
        <w:jc w:val="center"/>
        <w:rPr>
          <w:szCs w:val="21"/>
        </w:rPr>
      </w:pPr>
    </w:p>
    <w:p w14:paraId="625B0264">
      <w:pPr>
        <w:spacing w:line="560" w:lineRule="exact"/>
        <w:jc w:val="center"/>
        <w:rPr>
          <w:szCs w:val="21"/>
        </w:rPr>
      </w:pPr>
    </w:p>
    <w:p w14:paraId="23A1A13D">
      <w:pPr>
        <w:spacing w:line="560" w:lineRule="exact"/>
        <w:jc w:val="center"/>
        <w:rPr>
          <w:szCs w:val="21"/>
        </w:rPr>
      </w:pPr>
    </w:p>
    <w:p w14:paraId="2665C186">
      <w:pPr>
        <w:spacing w:line="560" w:lineRule="exact"/>
        <w:jc w:val="center"/>
        <w:rPr>
          <w:szCs w:val="21"/>
        </w:rPr>
      </w:pPr>
    </w:p>
    <w:p w14:paraId="2FDB4356">
      <w:pPr>
        <w:spacing w:line="560" w:lineRule="exact"/>
        <w:jc w:val="center"/>
        <w:rPr>
          <w:szCs w:val="21"/>
        </w:rPr>
      </w:pPr>
      <w:r>
        <w:rPr>
          <w:szCs w:val="21"/>
        </w:rPr>
        <w:pict>
          <v:group id="_x0000_s2157" o:spid="_x0000_s2157" o:spt="203" style="height:538.2pt;width:387.75pt;" coordsize="4924425,-2147483648" editas="canvas">
            <o:lock v:ext="edit"/>
            <v:shape id="_x0000_s2191" o:spid="_x0000_s2191" o:spt="100" style="position:absolute;left:0;top:0;height:0;width:4924425;" filled="f" stroked="f" coordsize="21600,21600" adj=",">
              <v:fill on="f" focussize="0,0"/>
              <v:stroke on="f"/>
              <v:imagedata o:title=""/>
              <o:lock v:ext="edit" aspectratio="t"/>
            </v:shape>
            <v:shape id="_x0000_s2190" o:spid="_x0000_s2190" o:spt="202" type="#_x0000_t202" style="position:absolute;left:1261745;top:5080;height:396240;width:2400935;" coordsize="21600,21600" o:gfxdata="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sBySb1gAAAAYBAAAPAAAAAAAAAAEAIAAAACIAAABkcnMvZG93bnJldi54bWxQSwEC&#10;FAAUAAAACACHTuJALbXcqfYBAADxAwAADgAAAAAAAAABACAAAAAlAQAAZHJzL2Uyb0RvYy54bWxQ&#10;SwUGAAAAAAYABgBZAQAAjQUAAAAA&#10;">
              <v:path/>
              <v:fill focussize="0,0"/>
              <v:stroke joinstyle="miter"/>
              <v:imagedata o:title=""/>
              <o:lock v:ext="edit"/>
              <v:textbox>
                <w:txbxContent>
                  <w:p w14:paraId="530FAD97">
                    <w:pPr>
                      <w:jc w:val="center"/>
                      <w:rPr>
                        <w:rFonts w:ascii="仿宋" w:hAnsi="仿宋" w:eastAsia="仿宋"/>
                      </w:rPr>
                    </w:pPr>
                    <w:r>
                      <w:rPr>
                        <w:rFonts w:hint="eastAsia" w:ascii="仿宋" w:hAnsi="仿宋" w:eastAsia="仿宋"/>
                      </w:rPr>
                      <w:t>灾害发现单位</w:t>
                    </w:r>
                  </w:p>
                </w:txbxContent>
              </v:textbox>
            </v:shape>
            <v:shape id="_x0000_s2189" o:spid="_x0000_s2189" o:spt="202" type="#_x0000_t202" style="position:absolute;left:1261745;top:896620;height:297180;width:2515235;" coordsize="21600,21600" o:gfxdata="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Ackm9YAAAAGAQAADwAAAAAAAAABACAAAAAiAAAAZHJzL2Rvd25yZXYueG1s&#10;UEsBAhQAFAAAAAgAh07iQDKvcO76AQAA8wMAAA4AAAAAAAAAAQAgAAAAJQEAAGRycy9lMm9Eb2Mu&#10;eG1sUEsFBgAAAAAGAAYAWQEAAJEFAAAAAA==&#10;">
              <v:path/>
              <v:fill focussize="0,0"/>
              <v:stroke joinstyle="miter"/>
              <v:imagedata o:title=""/>
              <o:lock v:ext="edit"/>
              <v:textbox>
                <w:txbxContent>
                  <w:p w14:paraId="253A7184">
                    <w:pPr>
                      <w:jc w:val="center"/>
                      <w:rPr>
                        <w:rFonts w:ascii="仿宋" w:hAnsi="仿宋" w:eastAsia="仿宋"/>
                      </w:rPr>
                    </w:pPr>
                    <w:r>
                      <w:rPr>
                        <w:rFonts w:hint="eastAsia" w:ascii="仿宋" w:hAnsi="仿宋" w:eastAsia="仿宋"/>
                      </w:rPr>
                      <w:t>高新区重大生物灾害应急指挥部办公室</w:t>
                    </w:r>
                  </w:p>
                </w:txbxContent>
              </v:textbox>
            </v:shape>
            <v:shape id="_x0000_s2188" o:spid="_x0000_s2188" o:spt="202" type="#_x0000_t202" style="position:absolute;left:1261745;top:1788160;height:297180;width:2401570;" coordsize="21600,21600" o:gfxdata="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Ackm9YAAAAGAQAADwAAAAAAAAABACAAAAAiAAAAZHJzL2Rvd25yZXYu&#10;eG1sUEsBAhQAFAAAAAgAh07iQH3DdPT9AQAA9AMAAA4AAAAAAAAAAQAgAAAAJQEAAGRycy9lMm9E&#10;b2MueG1sUEsFBgAAAAAGAAYAWQEAAJQFAAAAAA==&#10;">
              <v:path/>
              <v:fill focussize="0,0"/>
              <v:stroke joinstyle="miter"/>
              <v:imagedata o:title=""/>
              <o:lock v:ext="edit"/>
              <v:textbox>
                <w:txbxContent>
                  <w:p w14:paraId="3CE078D3">
                    <w:pPr>
                      <w:jc w:val="center"/>
                      <w:rPr>
                        <w:rFonts w:ascii="仿宋" w:hAnsi="仿宋" w:eastAsia="仿宋"/>
                      </w:rPr>
                    </w:pPr>
                    <w:r>
                      <w:rPr>
                        <w:rFonts w:hint="eastAsia" w:ascii="仿宋" w:hAnsi="仿宋" w:eastAsia="仿宋"/>
                      </w:rPr>
                      <w:t>高新区重大生物灾害应急指挥部</w:t>
                    </w:r>
                  </w:p>
                </w:txbxContent>
              </v:textbox>
            </v:shape>
            <v:shape id="_x0000_s2187" o:spid="_x0000_s2187" o:spt="202" type="#_x0000_t202" style="position:absolute;left:1261745;top:2679700;height:297180;width:2287270;" coordsize="21600,21600" o:gfxdata="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BySb1gAAAAYBAAAPAAAAAAAAAAEAIAAAACIAAABkcnMvZG93bnJldi54&#10;bWxQSwECFAAUAAAACACHTuJANclZZvwBAAD0AwAADgAAAAAAAAABACAAAAAlAQAAZHJzL2Uyb0Rv&#10;Yy54bWxQSwUGAAAAAAYABgBZAQAAkwUAAAAA&#10;">
              <v:path/>
              <v:fill focussize="0,0"/>
              <v:stroke joinstyle="miter"/>
              <v:imagedata o:title=""/>
              <o:lock v:ext="edit"/>
              <v:textbox>
                <w:txbxContent>
                  <w:p w14:paraId="5EBD89DB">
                    <w:pPr>
                      <w:jc w:val="center"/>
                      <w:rPr>
                        <w:rFonts w:ascii="仿宋" w:hAnsi="仿宋" w:eastAsia="仿宋"/>
                      </w:rPr>
                    </w:pPr>
                    <w:r>
                      <w:rPr>
                        <w:rFonts w:hint="eastAsia" w:ascii="仿宋" w:hAnsi="仿宋" w:eastAsia="仿宋"/>
                      </w:rPr>
                      <w:t>高新区重大灾害应急指挥部办公室</w:t>
                    </w:r>
                  </w:p>
                </w:txbxContent>
              </v:textbox>
            </v:shape>
            <v:line id="_x0000_s2186" o:spid="_x0000_s2186" o:spt="20" style="position:absolute;left:2405380;top:401320;flip:x;height:495300;width:635;" coordsize="21600,21600" o:gfxdata="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LTdWbXAAAABgEAAA8AAAAAAAAAAQAgAAAAIgAAAGRycy9kb3ducmV2LnhtbFBL&#10;AQIUABQAAAAIAIdO4kAh1Ja99wEAALADAAAOAAAAAAAAAAEAIAAAACYBAABkcnMvZTJvRG9jLnht&#10;bFBLBQYAAAAABgAGAFkBAACPBQAAAAA=&#10;">
              <v:path arrowok="t"/>
              <v:fill focussize="0,0"/>
              <v:stroke endarrow="block"/>
              <v:imagedata o:title=""/>
              <o:lock v:ext="edit"/>
            </v:line>
            <v:line id="_x0000_s2185" o:spid="_x0000_s2185" o:spt="20" style="position:absolute;left:2405380;top:1193800;height:594360;width:0;" coordsize="21600,21600" o:gfxdata="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gMmfPYAAAABgEAAA8AAAAAAAAAAQAgAAAAIgAAAGRycy9kb3ducmV2LnhtbFBLAQIUABQAAAAI&#10;AIdO4kCGqUnN7QEAAKUDAAAOAAAAAAAAAAEAIAAAACcBAABkcnMvZTJvRG9jLnhtbFBLBQYAAAAA&#10;BgAGAFkBAACGBQAAAAA=&#10;">
              <v:path arrowok="t"/>
              <v:fill focussize="0,0"/>
              <v:stroke endarrow="block"/>
              <v:imagedata o:title=""/>
              <o:lock v:ext="edit"/>
            </v:line>
            <v:line id="_x0000_s2184" o:spid="_x0000_s2184" o:spt="20" style="position:absolute;left:2405380;top:2085340;height:594360;width:0;" coordsize="21600,21600" o:gfxdata="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gMmfPYAAAABgEAAA8AAAAAAAAAAQAgAAAAIgAAAGRycy9kb3ducmV2LnhtbFBLAQIUABQAAAAI&#10;AIdO4kDbHxjP7QEAAKUDAAAOAAAAAAAAAAEAIAAAACcBAABkcnMvZTJvRG9jLnhtbFBLBQYAAAAA&#10;BgAGAFkBAACGBQAAAAA=&#10;">
              <v:path arrowok="t"/>
              <v:fill focussize="0,0"/>
              <v:stroke endarrow="block"/>
              <v:imagedata o:title=""/>
              <o:lock v:ext="edit"/>
            </v:line>
            <v:shape id="_x0000_s2183" o:spid="_x0000_s2183" o:spt="202" type="#_x0000_t202" style="position:absolute;left:2519680;top:374650;height:387350;width:800100;" stroked="t" coordsize="21600,21600" o:gfxdata="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K8kc51gAAAAYBAAAPAAAAAAAAAAEAIAAAACIAAABkcnMvZG93bnJldi54bWxQSwEC&#10;FAAUAAAACACHTuJAJwtZTvYBAADyAwAADgAAAAAAAAABACAAAAAlAQAAZHJzL2Uyb0RvYy54bWxQ&#10;SwUGAAAAAAYABgBZAQAAjQUAAAAA&#10;">
              <v:path/>
              <v:fill focussize="0,0"/>
              <v:stroke color="#FFFFFF" joinstyle="miter"/>
              <v:imagedata o:title=""/>
              <o:lock v:ext="edit"/>
              <v:textbox>
                <w:txbxContent>
                  <w:p w14:paraId="219D1DE8">
                    <w:pPr>
                      <w:jc w:val="center"/>
                      <w:rPr>
                        <w:rFonts w:ascii="仿宋" w:hAnsi="仿宋" w:eastAsia="仿宋"/>
                      </w:rPr>
                    </w:pPr>
                    <w:r>
                      <w:rPr>
                        <w:rFonts w:hint="eastAsia" w:ascii="仿宋" w:hAnsi="仿宋" w:eastAsia="仿宋"/>
                      </w:rPr>
                      <w:t>立即上报</w:t>
                    </w:r>
                  </w:p>
                </w:txbxContent>
              </v:textbox>
            </v:shape>
            <v:shape id="_x0000_s2182" o:spid="_x0000_s2182" o:spt="202" type="#_x0000_t202" style="position:absolute;left:2519680;top:1252220;height:436880;width:914400;" stroked="t" coordsize="21600,21600" o:gfxdata="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ryRznWAAAABgEAAA8AAAAAAAAAAQAgAAAAIgAAAGRycy9kb3ducmV2LnhtbFBLAQIU&#10;ABQAAAAIAIdO4kDMF60E9QEAAPMDAAAOAAAAAAAAAAEAIAAAACUBAABkcnMvZTJvRG9jLnhtbFBL&#10;BQYAAAAABgAGAFkBAACMBQAAAAA=&#10;">
              <v:path/>
              <v:fill focussize="0,0"/>
              <v:stroke color="#FFFFFF" joinstyle="miter"/>
              <v:imagedata o:title=""/>
              <o:lock v:ext="edit"/>
              <v:textbox>
                <w:txbxContent>
                  <w:p w14:paraId="5DBF4C33">
                    <w:pPr>
                      <w:jc w:val="center"/>
                      <w:rPr>
                        <w:rFonts w:ascii="仿宋" w:hAnsi="仿宋" w:eastAsia="仿宋"/>
                      </w:rPr>
                    </w:pPr>
                    <w:r>
                      <w:rPr>
                        <w:rFonts w:hint="eastAsia" w:ascii="仿宋" w:hAnsi="仿宋" w:eastAsia="仿宋"/>
                      </w:rPr>
                      <w:t>立即上报</w:t>
                    </w:r>
                  </w:p>
                </w:txbxContent>
              </v:textbox>
            </v:shape>
            <v:shape id="_x0000_s2181" o:spid="_x0000_s2181" o:spt="202" type="#_x0000_t202" style="position:absolute;left:2519680;top:2184400;height:386080;width:800100;" stroked="t" coordsize="21600,21600" o:gfxdata="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ryRznWAAAABgEAAA8AAAAAAAAAAQAgAAAAIgAAAGRycy9kb3ducmV2LnhtbFBLAQIU&#10;ABQAAAAIAIdO4kDqUtce9QEAAPUDAAAOAAAAAAAAAAEAIAAAACUBAABkcnMvZTJvRG9jLnhtbFBL&#10;BQYAAAAABgAGAFkBAACMBQAAAAA=&#10;">
              <v:path/>
              <v:fill focussize="0,0"/>
              <v:stroke color="#FFFFFF" joinstyle="miter"/>
              <v:imagedata o:title=""/>
              <o:lock v:ext="edit"/>
              <v:textbox>
                <w:txbxContent>
                  <w:p w14:paraId="211BA81F">
                    <w:pPr>
                      <w:jc w:val="center"/>
                      <w:rPr>
                        <w:rFonts w:ascii="仿宋" w:hAnsi="仿宋" w:eastAsia="仿宋"/>
                      </w:rPr>
                    </w:pPr>
                    <w:r>
                      <w:rPr>
                        <w:rFonts w:hint="eastAsia" w:ascii="仿宋" w:hAnsi="仿宋" w:eastAsia="仿宋"/>
                      </w:rPr>
                      <w:t>启动预案</w:t>
                    </w:r>
                  </w:p>
                </w:txbxContent>
              </v:textbox>
            </v:shape>
            <v:line id="_x0000_s2180" o:spid="_x0000_s2180" o:spt="20" style="position:absolute;left:2405380;top:2976880;height:495300;width:635;" coordsize="21600,21600" o:gfxdata="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qzilM1QAA&#10;AAYBAAAPAAAAAAAAAAEAIAAAACIAAABkcnMvZG93bnJldi54bWxQSwECFAAUAAAACACHTuJAxRcb&#10;R+gBAAClAwAADgAAAAAAAAABACAAAAAkAQAAZHJzL2Uyb0RvYy54bWxQSwUGAAAAAAYABgBZAQAA&#10;fgUAAAAA&#10;">
              <v:path arrowok="t"/>
              <v:fill focussize="0,0"/>
              <v:stroke/>
              <v:imagedata o:title=""/>
              <o:lock v:ext="edit"/>
            </v:line>
            <v:line id="_x0000_s2179" o:spid="_x0000_s2179" o:spt="20" style="position:absolute;left:233680;top:3463290;flip:y;height:8890;width:3762375;" coordsize="21600,21600" o:gfxdata="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40xRdUAAAAGAQAADwAAAAAAAAABACAAAAAiAAAAZHJzL2Rvd25yZXYueG1sUEsBAhQAFAAA&#10;AAgAh07iQMnVYKjyAQAAsAMAAA4AAAAAAAAAAQAgAAAAJAEAAGRycy9lMm9Eb2MueG1sUEsFBgAA&#10;AAAGAAYAWQEAAIgFAAAAAA==&#10;">
              <v:path arrowok="t"/>
              <v:fill focussize="0,0"/>
              <v:stroke/>
              <v:imagedata o:title=""/>
              <o:lock v:ext="edit"/>
            </v:line>
            <v:line id="_x0000_s2178" o:spid="_x0000_s2178" o:spt="20" style="position:absolute;left:233680;top:3472180;height:594360;width:0;" coordsize="21600,21600" o:gfxdata="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IDJnz2AAAAAYBAAAPAAAAAAAAAAEAIAAAACIAAABkcnMvZG93bnJldi54bWxQSwECFAAUAAAA&#10;CACHTuJAQPS6Xu4BAACmAwAADgAAAAAAAAABACAAAAAnAQAAZHJzL2Uyb0RvYy54bWxQSwUGAAAA&#10;AAYABgBZAQAAhwUAAAAA&#10;">
              <v:path arrowok="t"/>
              <v:fill focussize="0,0"/>
              <v:stroke endarrow="block"/>
              <v:imagedata o:title=""/>
              <o:lock v:ext="edit"/>
            </v:line>
            <v:line id="_x0000_s2177" o:spid="_x0000_s2177" o:spt="20" style="position:absolute;left:919480;top:3472180;height:594360;width:1270;" coordsize="21600,21600" o:gfxdata="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gMmfPYAAAABgEAAA8AAAAAAAAAAQAgAAAAIgAAAGRycy9kb3ducmV2LnhtbFBLAQIUABQA&#10;AAAIAIdO4kB01dcT8AEAAKkDAAAOAAAAAAAAAAEAIAAAACcBAABkcnMvZTJvRG9jLnhtbFBLBQYA&#10;AAAABgAGAFkBAACJBQAAAAA=&#10;">
              <v:path arrowok="t"/>
              <v:fill focussize="0,0"/>
              <v:stroke endarrow="block"/>
              <v:imagedata o:title=""/>
              <o:lock v:ext="edit"/>
            </v:line>
            <v:line id="_x0000_s2176" o:spid="_x0000_s2176" o:spt="20" style="position:absolute;left:1605280;top:3472180;height:594360;width:635;" coordsize="21600,21600" o:gfxdata="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AyZ89gAAAAGAQAADwAAAAAAAAABACAAAAAiAAAAZHJzL2Rvd25yZXYueG1sUEsBAhQAFAAA&#10;AAgAh07iQAT2AMjvAQAAqQMAAA4AAAAAAAAAAQAgAAAAJwEAAGRycy9lMm9Eb2MueG1sUEsFBgAA&#10;AAAGAAYAWQEAAIgFAAAAAA==&#10;">
              <v:path arrowok="t"/>
              <v:fill focussize="0,0"/>
              <v:stroke endarrow="block"/>
              <v:imagedata o:title=""/>
              <o:lock v:ext="edit"/>
            </v:line>
            <v:shape id="_x0000_s2175" o:spid="_x0000_s2175" o:spt="202" type="#_x0000_t202" style="position:absolute;left:5080;top:4066540;height:1783080;width:456565;" coordsize="21600,21600" o:gfxdata="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Ra4ye1QAAAAYBAAAPAAAAAAAAAAEAIAAAACIAAABkcnMvZG93bnJl&#10;di54bWxQSwECFAAUAAAACACHTuJA/xazWAACAAABBAAADgAAAAAAAAABACAAAAAkAQAAZHJzL2Uy&#10;b0RvYy54bWxQSwUGAAAAAAYABgBZAQAAlgUAAAAA&#10;">
              <v:path/>
              <v:fill focussize="0,0"/>
              <v:stroke joinstyle="miter"/>
              <v:imagedata o:title=""/>
              <o:lock v:ext="edit"/>
              <v:textbox style="layout-flow:vertical-ideographic;">
                <w:txbxContent>
                  <w:p w14:paraId="6323FC00">
                    <w:pPr>
                      <w:jc w:val="center"/>
                      <w:rPr>
                        <w:rFonts w:ascii="仿宋" w:hAnsi="仿宋" w:eastAsia="仿宋"/>
                      </w:rPr>
                    </w:pPr>
                    <w:r>
                      <w:rPr>
                        <w:rFonts w:hint="eastAsia" w:ascii="仿宋" w:hAnsi="仿宋" w:eastAsia="仿宋"/>
                      </w:rPr>
                      <w:t>区综合管理部职责分工</w:t>
                    </w:r>
                  </w:p>
                </w:txbxContent>
              </v:textbox>
            </v:shape>
            <v:shape id="_x0000_s2174" o:spid="_x0000_s2174" o:spt="202" type="#_x0000_t202" style="position:absolute;left:690880;top:4066540;height:1783080;width:457835;" coordsize="21600,21600" o:gfxdata="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Ra4ye1QAAAAYBAAAPAAAAAAAAAAEAIAAAACIAAABkcnMvZG93&#10;bnJldi54bWxQSwECFAAUAAAACACHTuJANDjSIAMCAAADBAAADgAAAAAAAAABACAAAAAkAQAAZHJz&#10;L2Uyb0RvYy54bWxQSwUGAAAAAAYABgBZAQAAmQUAAAAA&#10;">
              <v:path/>
              <v:fill focussize="0,0"/>
              <v:stroke joinstyle="miter"/>
              <v:imagedata o:title=""/>
              <o:lock v:ext="edit"/>
              <v:textbox style="layout-flow:vertical-ideographic;">
                <w:txbxContent>
                  <w:p w14:paraId="431DF9F0">
                    <w:pPr>
                      <w:jc w:val="center"/>
                      <w:rPr>
                        <w:rFonts w:ascii="仿宋" w:hAnsi="仿宋" w:eastAsia="仿宋"/>
                      </w:rPr>
                    </w:pPr>
                    <w:r>
                      <w:rPr>
                        <w:rFonts w:hint="eastAsia" w:ascii="仿宋" w:hAnsi="仿宋" w:eastAsia="仿宋"/>
                      </w:rPr>
                      <w:t>区党群工作部职责分工</w:t>
                    </w:r>
                  </w:p>
                </w:txbxContent>
              </v:textbox>
            </v:shape>
            <v:shape id="_x0000_s2173" o:spid="_x0000_s2173" o:spt="202" type="#_x0000_t202" style="position:absolute;left:1376680;top:4066540;height:1783080;width:618490;" coordsize="21600,21600" o:gfxdata="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WuMntUAAAAGAQAADwAAAAAAAAABACAAAAAiAAAAZHJzL2Rv&#10;d25yZXYueG1sUEsBAhQAFAAAAAgAh07iQO9tzK0EAgAABAQAAA4AAAAAAAAAAQAgAAAAJAEAAGRy&#10;cy9lMm9Eb2MueG1sUEsFBgAAAAAGAAYAWQEAAJoFAAAAAA==&#10;">
              <v:path/>
              <v:fill focussize="0,0"/>
              <v:stroke joinstyle="miter"/>
              <v:imagedata o:title=""/>
              <o:lock v:ext="edit"/>
              <v:textbox style="layout-flow:vertical-ideographic;">
                <w:txbxContent>
                  <w:p w14:paraId="23D241BB">
                    <w:pPr>
                      <w:jc w:val="center"/>
                      <w:rPr>
                        <w:rFonts w:ascii="仿宋" w:hAnsi="仿宋" w:eastAsia="仿宋"/>
                      </w:rPr>
                    </w:pPr>
                    <w:r>
                      <w:rPr>
                        <w:rFonts w:hint="eastAsia" w:ascii="仿宋" w:hAnsi="仿宋" w:eastAsia="仿宋"/>
                      </w:rPr>
                      <w:t>区区社会事务管理服务中心职责分工</w:t>
                    </w:r>
                  </w:p>
                </w:txbxContent>
              </v:textbox>
            </v:shape>
            <v:line id="_x0000_s2172" o:spid="_x0000_s2172" o:spt="20" style="position:absolute;left:233680;top:6042660;height:10160;width:3819525;" coordsize="21600,21600" o:gfxdata="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rOKUzV&#10;AAAABgEAAA8AAAAAAAAAAQAgAAAAIgAAAGRycy9kb3ducmV2LnhtbFBLAQIUABQAAAAIAIdO4kAy&#10;w6kI6gEAAKcDAAAOAAAAAAAAAAEAIAAAACQBAABkcnMvZTJvRG9jLnhtbFBLBQYAAAAABgAGAFkB&#10;AACABQAAAAA=&#10;">
              <v:path arrowok="t"/>
              <v:fill focussize="0,0"/>
              <v:stroke/>
              <v:imagedata o:title=""/>
              <o:lock v:ext="edit"/>
            </v:line>
            <v:line id="_x0000_s2171" o:spid="_x0000_s2171" o:spt="20" style="position:absolute;left:2405380;top:6042660;height:198120;width:635;" coordsize="21600,21600" o:gfxdata="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AyZ89gAAAAGAQAADwAAAAAAAAABACAAAAAiAAAAZHJzL2Rvd25yZXYueG1sUEsBAhQAFAAA&#10;AAgAh07iQAnzqC7vAQAAqQMAAA4AAAAAAAAAAQAgAAAAJwEAAGRycy9lMm9Eb2MueG1sUEsFBgAA&#10;AAAGAAYAWQEAAIgFAAAAAA==&#10;">
              <v:path arrowok="t"/>
              <v:fill focussize="0,0"/>
              <v:stroke endarrow="block"/>
              <v:imagedata o:title=""/>
              <o:lock v:ext="edit"/>
            </v:line>
            <v:shape id="_x0000_s2170" o:spid="_x0000_s2170" o:spt="202" type="#_x0000_t202" style="position:absolute;left:1719580;top:6240780;height:495300;width:1371600;" coordsize="21600,21600" o:gfxdata="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Ackm9YAAAAGAQAADwAAAAAAAAABACAAAAAiAAAAZHJzL2Rvd25yZXYueG1s&#10;UEsBAhQAFAAAAAgAh07iQOWEyWP6AQAA9gMAAA4AAAAAAAAAAQAgAAAAJQEAAGRycy9lMm9Eb2Mu&#10;eG1sUEsFBgAAAAAGAAYAWQEAAJEFAAAAAA==&#10;">
              <v:path/>
              <v:fill focussize="0,0"/>
              <v:stroke joinstyle="miter"/>
              <v:imagedata o:title=""/>
              <o:lock v:ext="edit"/>
              <v:textbox>
                <w:txbxContent>
                  <w:p w14:paraId="6F03C006">
                    <w:pPr>
                      <w:jc w:val="center"/>
                      <w:rPr>
                        <w:rFonts w:ascii="仿宋" w:hAnsi="仿宋" w:eastAsia="仿宋"/>
                      </w:rPr>
                    </w:pPr>
                    <w:r>
                      <w:rPr>
                        <w:rFonts w:hint="eastAsia" w:ascii="仿宋" w:hAnsi="仿宋" w:eastAsia="仿宋"/>
                      </w:rPr>
                      <w:t>善后处理</w:t>
                    </w:r>
                  </w:p>
                  <w:p w14:paraId="1BDCD5D8">
                    <w:pPr>
                      <w:jc w:val="center"/>
                      <w:rPr>
                        <w:rFonts w:ascii="仿宋" w:hAnsi="仿宋" w:eastAsia="仿宋"/>
                      </w:rPr>
                    </w:pPr>
                    <w:r>
                      <w:rPr>
                        <w:rFonts w:hint="eastAsia" w:ascii="仿宋" w:hAnsi="仿宋" w:eastAsia="仿宋"/>
                      </w:rPr>
                      <w:t>后期评估</w:t>
                    </w:r>
                  </w:p>
                </w:txbxContent>
              </v:textbox>
            </v:shape>
            <v:line id="_x0000_s2169" o:spid="_x0000_s2169" o:spt="20" style="position:absolute;left:2405380;top:3472180;flip:x;height:594360;width:635;" coordsize="21600,21600" o:gfxdata="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i03Vm1wAAAAYBAAAPAAAAAAAAAAEAIAAAACIAAABkcnMvZG93bnJldi54bWxQ&#10;SwECFAAUAAAACACHTuJAOlW4g/gBAACzAwAADgAAAAAAAAABACAAAAAmAQAAZHJzL2Uyb0RvYy54&#10;bWxQSwUGAAAAAAYABgBZAQAAkAUAAAAA&#10;">
              <v:path arrowok="t"/>
              <v:fill focussize="0,0"/>
              <v:stroke endarrow="block"/>
              <v:imagedata o:title=""/>
              <o:lock v:ext="edit"/>
            </v:line>
            <v:shape id="_x0000_s2168" o:spid="_x0000_s2168" o:spt="202" type="#_x0000_t202" style="position:absolute;left:2176780;top:4066540;height:1783080;width:457200;" coordsize="21600,21600" o:gfxdata="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FrjJ7VAAAABgEAAA8AAAAAAAAAAQAgAAAAIgAAAGRycy9k&#10;b3ducmV2LnhtbFBLAQIUABQAAAAIAIdO4kDcPa4eBQIAAAQEAAAOAAAAAAAAAAEAIAAAACQBAABk&#10;cnMvZTJvRG9jLnhtbFBLBQYAAAAABgAGAFkBAACbBQAAAAA=&#10;">
              <v:path/>
              <v:fill focussize="0,0"/>
              <v:stroke joinstyle="miter"/>
              <v:imagedata o:title=""/>
              <o:lock v:ext="edit"/>
              <v:textbox style="layout-flow:vertical-ideographic;">
                <w:txbxContent>
                  <w:p w14:paraId="1791EF48">
                    <w:pPr>
                      <w:jc w:val="center"/>
                      <w:rPr>
                        <w:rFonts w:ascii="仿宋" w:hAnsi="仿宋" w:eastAsia="仿宋"/>
                      </w:rPr>
                    </w:pPr>
                    <w:r>
                      <w:rPr>
                        <w:rFonts w:hint="eastAsia" w:ascii="仿宋" w:hAnsi="仿宋" w:eastAsia="仿宋"/>
                      </w:rPr>
                      <w:t>区财政金融部职责分工</w:t>
                    </w:r>
                  </w:p>
                </w:txbxContent>
              </v:textbox>
            </v:shape>
            <v:line id="_x0000_s2167" o:spid="_x0000_s2167" o:spt="20" style="position:absolute;left:3205480;top:3472180;height:594360;width:635;" coordsize="21600,21600" o:gfxdata="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AyZ89gAAAAGAQAADwAAAAAAAAABACAAAAAiAAAAZHJzL2Rvd25yZXYueG1sUEsBAhQAFAAA&#10;AAgAh07iQIMADxHvAQAAqQMAAA4AAAAAAAAAAQAgAAAAJwEAAGRycy9lMm9Eb2MueG1sUEsFBgAA&#10;AAAGAAYAWQEAAIgFAAAAAA==&#10;">
              <v:path arrowok="t"/>
              <v:fill focussize="0,0"/>
              <v:stroke endarrow="block"/>
              <v:imagedata o:title=""/>
              <o:lock v:ext="edit"/>
            </v:line>
            <v:shape id="_x0000_s2166" o:spid="_x0000_s2166" o:spt="202" type="#_x0000_t202" style="position:absolute;left:2976880;top:4066540;height:1783080;width:456565;" coordsize="21600,21600" o:gfxdata="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WuMntUAAAAGAQAADwAAAAAAAAABACAAAAAiAAAAZHJzL2Rv&#10;d25yZXYueG1sUEsBAhQAFAAAAAgAh07iQC1ZZJEEAgAABAQAAA4AAAAAAAAAAQAgAAAAJAEAAGRy&#10;cy9lMm9Eb2MueG1sUEsFBgAAAAAGAAYAWQEAAJoFAAAAAA==&#10;">
              <v:path/>
              <v:fill focussize="0,0"/>
              <v:stroke joinstyle="miter"/>
              <v:imagedata o:title=""/>
              <o:lock v:ext="edit"/>
              <v:textbox style="layout-flow:vertical-ideographic;">
                <w:txbxContent>
                  <w:p w14:paraId="1917D2F3">
                    <w:pPr>
                      <w:jc w:val="center"/>
                      <w:rPr>
                        <w:rFonts w:ascii="仿宋" w:hAnsi="仿宋" w:eastAsia="仿宋"/>
                      </w:rPr>
                    </w:pPr>
                    <w:r>
                      <w:rPr>
                        <w:rFonts w:hint="eastAsia" w:ascii="仿宋" w:hAnsi="仿宋" w:eastAsia="仿宋"/>
                      </w:rPr>
                      <w:t>区综合行政执法局职责分工</w:t>
                    </w:r>
                  </w:p>
                  <w:p w14:paraId="0FEDAFC6">
                    <w:pPr>
                      <w:rPr>
                        <w:rFonts w:ascii="仿宋" w:hAnsi="仿宋" w:eastAsia="仿宋"/>
                      </w:rPr>
                    </w:pPr>
                  </w:p>
                </w:txbxContent>
              </v:textbox>
            </v:shape>
            <v:line id="_x0000_s2165" o:spid="_x0000_s2165" o:spt="20" style="position:absolute;left:4005580;top:3472180;height:594360;width:0;" coordsize="21600,21600" o:gfxdata="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AyZ89gAAAAGAQAADwAAAAAAAAABACAAAAAiAAAAZHJzL2Rvd25yZXYueG1sUEsBAhQAFAAA&#10;AAgAh07iQC9y34LvAQAApwMAAA4AAAAAAAAAAQAgAAAAJwEAAGRycy9lMm9Eb2MueG1sUEsFBgAA&#10;AAAGAAYAWQEAAIgFAAAAAA==&#10;">
              <v:path arrowok="t"/>
              <v:fill focussize="0,0"/>
              <v:stroke endarrow="block"/>
              <v:imagedata o:title=""/>
              <o:lock v:ext="edit"/>
            </v:line>
            <v:shape id="_x0000_s2164" o:spid="_x0000_s2164" o:spt="202" type="#_x0000_t202" style="position:absolute;left:3776980;top:4066540;height:1783080;width:456565;" coordsize="21600,21600" o:gfxdata="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FrjJ7VAAAABgEAAA8AAAAAAAAAAQAgAAAAIgAAAGRycy9k&#10;b3ducmV2LnhtbFBLAQIUABQAAAAIAIdO4kCnOKQ2BQIAAAQEAAAOAAAAAAAAAAEAIAAAACQBAABk&#10;cnMvZTJvRG9jLnhtbFBLBQYAAAAABgAGAFkBAACbBQAAAAA=&#10;">
              <v:path/>
              <v:fill focussize="0,0"/>
              <v:stroke joinstyle="miter"/>
              <v:imagedata o:title=""/>
              <o:lock v:ext="edit"/>
              <v:textbox style="layout-flow:vertical-ideographic;">
                <w:txbxContent>
                  <w:p w14:paraId="72AD5594">
                    <w:pPr>
                      <w:jc w:val="center"/>
                      <w:rPr>
                        <w:rFonts w:ascii="仿宋" w:hAnsi="仿宋" w:eastAsia="仿宋"/>
                      </w:rPr>
                    </w:pPr>
                    <w:r>
                      <w:rPr>
                        <w:rFonts w:hint="eastAsia" w:ascii="仿宋" w:hAnsi="仿宋" w:eastAsia="仿宋"/>
                      </w:rPr>
                      <w:t>区公安分局职责分工</w:t>
                    </w:r>
                  </w:p>
                  <w:p w14:paraId="6D3A2BFC">
                    <w:pPr>
                      <w:rPr>
                        <w:rFonts w:ascii="仿宋" w:hAnsi="仿宋" w:eastAsia="仿宋"/>
                      </w:rPr>
                    </w:pPr>
                  </w:p>
                </w:txbxContent>
              </v:textbox>
            </v:shape>
            <v:line id="_x0000_s2163" o:spid="_x0000_s2163" o:spt="20" style="position:absolute;left:250190;top:5888990;height:161925;width:635;" coordsize="21600,21600" o:gfxdata="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s4pTNUAAAAG&#10;AQAADwAAAAAAAAABACAAAAAiAAAAZHJzL2Rvd25yZXYueG1sUEsBAhQAFAAAAAgAh07iQENrQ97m&#10;AQAApAMAAA4AAAAAAAAAAQAgAAAAJAEAAGRycy9lMm9Eb2MueG1sUEsFBgAAAAAGAAYAWQEAAHwF&#10;AAAAAA==&#10;">
              <v:path arrowok="t"/>
              <v:fill focussize="0,0"/>
              <v:stroke/>
              <v:imagedata o:title=""/>
              <o:lock v:ext="edit"/>
            </v:line>
            <v:line id="_x0000_s2162" o:spid="_x0000_s2162" o:spt="20" style="position:absolute;left:935990;top:5888990;height:133350;width:635;" coordsize="21600,21600" o:gfxdata="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rOKUzVAAAA&#10;BgEAAA8AAAAAAAAAAQAgAAAAIgAAAGRycy9kb3ducmV2LnhtbFBLAQIUABQAAAAIAIdO4kDtiO/L&#10;5wEAAKQDAAAOAAAAAAAAAAEAIAAAACQBAABkcnMvZTJvRG9jLnhtbFBLBQYAAAAABgAGAFkBAAB9&#10;BQAAAAA=&#10;">
              <v:path arrowok="t"/>
              <v:fill focussize="0,0"/>
              <v:stroke/>
              <v:imagedata o:title=""/>
              <o:lock v:ext="edit"/>
            </v:line>
            <v:line id="_x0000_s2161" o:spid="_x0000_s2161" o:spt="20" style="position:absolute;left:1650365;top:5850890;flip:x;height:190500;width:9525;" coordsize="21600,21600" o:gfxdata="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eN&#10;MUXVAAAABgEAAA8AAAAAAAAAAQAgAAAAIgAAAGRycy9kb3ducmV2LnhtbFBLAQIUABQAAAAIAIdO&#10;4kDgCpsX7QEAALADAAAOAAAAAAAAAAEAIAAAACQBAABkcnMvZTJvRG9jLnhtbFBLBQYAAAAABgAG&#10;AFkBAACDBQAAAAA=&#10;">
              <v:path arrowok="t"/>
              <v:fill focussize="0,0"/>
              <v:stroke/>
              <v:imagedata o:title=""/>
              <o:lock v:ext="edit"/>
            </v:line>
            <v:line id="_x0000_s2160" o:spid="_x0000_s2160" o:spt="20" style="position:absolute;left:2412365;top:5841365;height:200025;width:9525;" coordsize="21600,21600" o:gfxdata="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6s4pTNUAAAAGAQAA&#10;DwAAAAAAAAABACAAAAAiAAAAZHJzL2Rvd25yZXYueG1sUEsBAhQAFAAAAAgAh07iQFjxPYfjAQAA&#10;pgMAAA4AAAAAAAAAAQAgAAAAJAEAAGRycy9lMm9Eb2MueG1sUEsFBgAAAAAGAAYAWQEAAHkFAAAA&#10;AA==&#10;">
              <v:path arrowok="t"/>
              <v:fill focussize="0,0"/>
              <v:stroke/>
              <v:imagedata o:title=""/>
              <o:lock v:ext="edit"/>
            </v:line>
            <v:line id="_x0000_s2159" o:spid="_x0000_s2159" o:spt="20" style="position:absolute;left:3202940;top:5860415;height:161925;width:635;" coordsize="21600,21600" o:gfxdata="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rOKUzV&#10;AAAABgEAAA8AAAAAAAAAAQAgAAAAIgAAAGRycy9kb3ducmV2LnhtbFBLAQIUABQAAAAIAIdO4kDo&#10;LCAj6gEAAKUDAAAOAAAAAAAAAAEAIAAAACQBAABkcnMvZTJvRG9jLnhtbFBLBQYAAAAABgAGAFkB&#10;AACABQAAAAA=&#10;">
              <v:path arrowok="t"/>
              <v:fill focussize="0,0"/>
              <v:stroke/>
              <v:imagedata o:title=""/>
              <o:lock v:ext="edit"/>
            </v:line>
            <v:line id="_x0000_s2158" o:spid="_x0000_s2158" o:spt="20" style="position:absolute;left:4041140;top:5869940;height:190500;width:10160;" coordsize="21600,21600" o:gfxdata="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qzilM&#10;1QAAAAYBAAAPAAAAAAAAAAEAIAAAACIAAABkcnMvZG93bnJldi54bWxQSwECFAAUAAAACACHTuJA&#10;sjOF7esBAACnAwAADgAAAAAAAAABACAAAAAkAQAAZHJzL2Uyb0RvYy54bWxQSwUGAAAAAAYABgBZ&#10;AQAAgQUAAAAA&#10;">
              <v:path arrowok="t"/>
              <v:fill focussize="0,0"/>
              <v:stroke/>
              <v:imagedata o:title=""/>
              <o:lock v:ext="edit"/>
            </v:line>
            <w10:wrap type="none"/>
            <w10:anchorlock/>
          </v:group>
        </w:pict>
      </w:r>
    </w:p>
    <w:p w14:paraId="46643A14"/>
    <w:p w14:paraId="057B865A">
      <w:pPr>
        <w:spacing w:beforeLines="100" w:afterLines="100"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烟台高新区海洋灾害突发事件</w:t>
      </w:r>
      <w:r>
        <w:rPr>
          <w:rFonts w:hint="eastAsia" w:ascii="方正小标宋简体" w:hAnsi="Helvetica" w:eastAsia="方正小标宋简体" w:cs="Helvetica"/>
          <w:sz w:val="44"/>
          <w:szCs w:val="44"/>
        </w:rPr>
        <w:t>专项</w:t>
      </w:r>
      <w:r>
        <w:rPr>
          <w:rFonts w:hint="eastAsia" w:ascii="方正小标宋简体" w:hAnsi="方正小标宋简体" w:eastAsia="方正小标宋简体" w:cs="方正小标宋简体"/>
          <w:sz w:val="44"/>
          <w:szCs w:val="44"/>
        </w:rPr>
        <w:t>应急预案</w:t>
      </w:r>
    </w:p>
    <w:p w14:paraId="73461F08">
      <w:pPr>
        <w:pStyle w:val="5"/>
        <w:spacing w:line="560" w:lineRule="exact"/>
        <w:ind w:firstLine="624"/>
        <w:outlineLvl w:val="0"/>
        <w:rPr>
          <w:rFonts w:ascii="宋体" w:hAnsi="宋体" w:eastAsia="宋体"/>
          <w:b/>
          <w:szCs w:val="32"/>
        </w:rPr>
      </w:pPr>
      <w:r>
        <w:rPr>
          <w:rFonts w:hint="eastAsia" w:ascii="黑体" w:hAnsi="黑体" w:eastAsia="黑体" w:cs="黑体"/>
          <w:bCs/>
          <w:szCs w:val="32"/>
        </w:rPr>
        <w:t>一、总则</w:t>
      </w:r>
    </w:p>
    <w:p w14:paraId="3876A7DB">
      <w:pPr>
        <w:pStyle w:val="5"/>
        <w:spacing w:line="560" w:lineRule="exact"/>
        <w:ind w:firstLine="624"/>
        <w:outlineLvl w:val="1"/>
        <w:rPr>
          <w:rFonts w:ascii="楷体_GB2312" w:eastAsia="楷体_GB2312"/>
          <w:szCs w:val="32"/>
        </w:rPr>
      </w:pPr>
      <w:r>
        <w:rPr>
          <w:rFonts w:hint="eastAsia" w:ascii="楷体_GB2312" w:eastAsia="楷体_GB2312"/>
          <w:szCs w:val="32"/>
        </w:rPr>
        <w:t>（一）编制目的</w:t>
      </w:r>
    </w:p>
    <w:p w14:paraId="79C206A4">
      <w:pPr>
        <w:pStyle w:val="5"/>
        <w:spacing w:line="560" w:lineRule="exact"/>
        <w:ind w:firstLine="624"/>
        <w:outlineLvl w:val="1"/>
        <w:rPr>
          <w:rFonts w:ascii="楷体_GB2312"/>
          <w:szCs w:val="32"/>
        </w:rPr>
      </w:pPr>
      <w:r>
        <w:rPr>
          <w:rFonts w:hint="eastAsia"/>
          <w:szCs w:val="32"/>
        </w:rPr>
        <w:t>建立健全海洋灾害应急机制，</w:t>
      </w:r>
      <w:r>
        <w:rPr>
          <w:szCs w:val="32"/>
        </w:rPr>
        <w:t>提高</w:t>
      </w:r>
      <w:r>
        <w:rPr>
          <w:rFonts w:hint="eastAsia"/>
          <w:szCs w:val="32"/>
        </w:rPr>
        <w:t>海洋</w:t>
      </w:r>
      <w:r>
        <w:rPr>
          <w:szCs w:val="32"/>
        </w:rPr>
        <w:t>灾害预防和</w:t>
      </w:r>
      <w:r>
        <w:rPr>
          <w:rFonts w:hint="eastAsia"/>
          <w:szCs w:val="32"/>
        </w:rPr>
        <w:t>处置</w:t>
      </w:r>
      <w:r>
        <w:rPr>
          <w:szCs w:val="32"/>
        </w:rPr>
        <w:t>能力，最大限度减少</w:t>
      </w:r>
      <w:r>
        <w:rPr>
          <w:rFonts w:hint="eastAsia"/>
          <w:szCs w:val="20"/>
        </w:rPr>
        <w:t>或者避免</w:t>
      </w:r>
      <w:r>
        <w:rPr>
          <w:szCs w:val="32"/>
        </w:rPr>
        <w:t>海洋灾害造成的损失，保障人民生命财产安全。</w:t>
      </w:r>
    </w:p>
    <w:p w14:paraId="34B01C88">
      <w:pPr>
        <w:pStyle w:val="5"/>
        <w:spacing w:line="560" w:lineRule="exact"/>
        <w:ind w:firstLine="624"/>
        <w:outlineLvl w:val="1"/>
        <w:rPr>
          <w:rFonts w:ascii="楷体_GB2312" w:eastAsia="楷体_GB2312"/>
          <w:szCs w:val="32"/>
        </w:rPr>
      </w:pPr>
      <w:r>
        <w:rPr>
          <w:rFonts w:hint="eastAsia" w:ascii="楷体_GB2312" w:eastAsia="楷体_GB2312"/>
          <w:szCs w:val="32"/>
        </w:rPr>
        <w:t>（二）编制依据</w:t>
      </w:r>
    </w:p>
    <w:p w14:paraId="3A07DC98">
      <w:pPr>
        <w:autoSpaceDE w:val="0"/>
        <w:autoSpaceDN w:val="0"/>
        <w:adjustRightInd w:val="0"/>
        <w:spacing w:line="560" w:lineRule="exact"/>
        <w:ind w:firstLine="624" w:firstLineChars="200"/>
        <w:rPr>
          <w:rFonts w:ascii="仿宋_GB2312" w:eastAsia="仿宋_GB2312" w:cs="仿宋_GB2312"/>
          <w:kern w:val="0"/>
          <w:sz w:val="32"/>
          <w:szCs w:val="32"/>
        </w:rPr>
      </w:pPr>
      <w:r>
        <w:rPr>
          <w:rFonts w:hint="eastAsia" w:ascii="仿宋_GB2312" w:hAnsi="Arial" w:eastAsia="仿宋_GB2312" w:cs="Arial"/>
          <w:sz w:val="32"/>
          <w:szCs w:val="32"/>
        </w:rPr>
        <w:t>《中华人民共和国突发事件应对法》、《国家自然灾害救助应急预案》、《海洋观测预报管理条例》、《山东省突发事件应对条例》《山东省突发事件总体应急预案》、《山东省自然灾害救助应急预案》、《烟台市突发事件总体应急预案》等法规和规定。</w:t>
      </w:r>
    </w:p>
    <w:p w14:paraId="05B87A61">
      <w:pPr>
        <w:pStyle w:val="5"/>
        <w:spacing w:line="560" w:lineRule="exact"/>
        <w:ind w:firstLine="624"/>
        <w:outlineLvl w:val="1"/>
        <w:rPr>
          <w:rFonts w:ascii="楷体_GB2312" w:eastAsia="楷体_GB2312"/>
          <w:szCs w:val="32"/>
        </w:rPr>
      </w:pPr>
      <w:r>
        <w:rPr>
          <w:rFonts w:hint="eastAsia" w:ascii="楷体_GB2312" w:eastAsia="楷体_GB2312"/>
          <w:szCs w:val="32"/>
        </w:rPr>
        <w:t>（三）适用范围</w:t>
      </w:r>
    </w:p>
    <w:p w14:paraId="76A1C124">
      <w:pPr>
        <w:autoSpaceDE w:val="0"/>
        <w:autoSpaceDN w:val="0"/>
        <w:adjustRightInd w:val="0"/>
        <w:spacing w:line="560" w:lineRule="exact"/>
        <w:ind w:firstLine="624" w:firstLineChars="200"/>
        <w:rPr>
          <w:rFonts w:ascii="仿宋_GB2312" w:eastAsia="仿宋_GB2312"/>
          <w:sz w:val="32"/>
          <w:szCs w:val="32"/>
        </w:rPr>
      </w:pPr>
      <w:r>
        <w:rPr>
          <w:rFonts w:hint="eastAsia" w:ascii="仿宋_GB2312" w:eastAsia="仿宋_GB2312" w:cs="仿宋_GB2312"/>
          <w:kern w:val="0"/>
          <w:sz w:val="32"/>
          <w:szCs w:val="32"/>
        </w:rPr>
        <w:t>本预案适用于处置烟台高新区管辖海域范围内发生的</w:t>
      </w:r>
      <w:r>
        <w:rPr>
          <w:rFonts w:eastAsia="仿宋_GB2312"/>
          <w:sz w:val="32"/>
          <w:szCs w:val="32"/>
        </w:rPr>
        <w:t>风暴潮、海浪、海啸</w:t>
      </w:r>
      <w:r>
        <w:rPr>
          <w:rFonts w:hint="eastAsia" w:eastAsia="仿宋_GB2312"/>
          <w:sz w:val="32"/>
          <w:szCs w:val="32"/>
        </w:rPr>
        <w:t>、</w:t>
      </w:r>
      <w:r>
        <w:rPr>
          <w:rFonts w:eastAsia="仿宋_GB2312"/>
          <w:sz w:val="32"/>
          <w:szCs w:val="32"/>
        </w:rPr>
        <w:t>海冰</w:t>
      </w:r>
      <w:r>
        <w:rPr>
          <w:rFonts w:hint="eastAsia" w:eastAsia="仿宋_GB2312"/>
          <w:sz w:val="32"/>
          <w:szCs w:val="32"/>
        </w:rPr>
        <w:t>、绿潮和赤潮</w:t>
      </w:r>
      <w:r>
        <w:rPr>
          <w:rFonts w:ascii="仿宋_GB2312" w:eastAsia="仿宋_GB2312"/>
          <w:sz w:val="32"/>
          <w:szCs w:val="32"/>
        </w:rPr>
        <w:t>等</w:t>
      </w:r>
      <w:r>
        <w:rPr>
          <w:rFonts w:hint="eastAsia" w:ascii="仿宋_GB2312" w:eastAsia="仿宋_GB2312"/>
          <w:sz w:val="32"/>
          <w:szCs w:val="32"/>
        </w:rPr>
        <w:t>海洋灾害事件</w:t>
      </w:r>
      <w:r>
        <w:rPr>
          <w:rFonts w:ascii="仿宋_GB2312" w:eastAsia="仿宋_GB2312"/>
          <w:sz w:val="32"/>
          <w:szCs w:val="32"/>
        </w:rPr>
        <w:t>的防范和应对</w:t>
      </w:r>
      <w:r>
        <w:rPr>
          <w:rFonts w:hint="eastAsia" w:ascii="仿宋_GB2312" w:eastAsia="仿宋_GB2312"/>
          <w:sz w:val="32"/>
          <w:szCs w:val="32"/>
        </w:rPr>
        <w:t>。</w:t>
      </w:r>
    </w:p>
    <w:p w14:paraId="6B3B536D">
      <w:pPr>
        <w:pStyle w:val="5"/>
        <w:spacing w:line="560" w:lineRule="exact"/>
        <w:ind w:firstLine="624"/>
        <w:outlineLvl w:val="1"/>
        <w:rPr>
          <w:rFonts w:ascii="楷体_GB2312" w:eastAsia="楷体_GB2312"/>
          <w:szCs w:val="32"/>
        </w:rPr>
      </w:pPr>
      <w:r>
        <w:rPr>
          <w:rFonts w:hint="eastAsia" w:ascii="楷体_GB2312" w:eastAsia="楷体_GB2312"/>
          <w:szCs w:val="32"/>
        </w:rPr>
        <w:t>(四）工作原则</w:t>
      </w:r>
    </w:p>
    <w:p w14:paraId="0B5D44EC">
      <w:pPr>
        <w:pStyle w:val="5"/>
        <w:spacing w:line="560" w:lineRule="exact"/>
        <w:ind w:firstLine="624"/>
        <w:outlineLvl w:val="1"/>
        <w:rPr>
          <w:rFonts w:cs="仿宋_GB2312"/>
          <w:kern w:val="0"/>
          <w:szCs w:val="32"/>
        </w:rPr>
      </w:pPr>
      <w:r>
        <w:rPr>
          <w:rFonts w:hint="eastAsia" w:cs="仿宋_GB2312"/>
          <w:kern w:val="0"/>
          <w:szCs w:val="32"/>
        </w:rPr>
        <w:t>以人为本、减少损失；统一领导、协同联动；分级负责、属地管理；科学务实、快速高效。</w:t>
      </w:r>
    </w:p>
    <w:p w14:paraId="0C3DC068">
      <w:pPr>
        <w:pStyle w:val="5"/>
        <w:spacing w:line="560" w:lineRule="exact"/>
        <w:ind w:firstLine="624"/>
        <w:outlineLvl w:val="0"/>
        <w:rPr>
          <w:rFonts w:ascii="黑体" w:hAnsi="黑体" w:eastAsia="黑体" w:cs="黑体"/>
          <w:bCs/>
          <w:szCs w:val="32"/>
        </w:rPr>
      </w:pPr>
      <w:r>
        <w:rPr>
          <w:rFonts w:hint="eastAsia" w:ascii="黑体" w:hAnsi="黑体" w:eastAsia="黑体" w:cs="黑体"/>
          <w:bCs/>
          <w:szCs w:val="32"/>
        </w:rPr>
        <w:t>二、组织机构及职责</w:t>
      </w:r>
    </w:p>
    <w:p w14:paraId="37B414D3">
      <w:pPr>
        <w:spacing w:line="560" w:lineRule="exact"/>
        <w:ind w:firstLine="624" w:firstLineChars="200"/>
        <w:rPr>
          <w:rFonts w:ascii="楷体_GB2312" w:hAnsi="ˎ̥" w:eastAsia="楷体_GB2312" w:cs="宋体"/>
          <w:sz w:val="32"/>
          <w:szCs w:val="32"/>
        </w:rPr>
      </w:pPr>
      <w:r>
        <w:rPr>
          <w:rFonts w:hint="eastAsia" w:ascii="楷体_GB2312" w:hAnsi="ˎ̥" w:eastAsia="楷体_GB2312" w:cs="宋体"/>
          <w:sz w:val="32"/>
          <w:szCs w:val="32"/>
        </w:rPr>
        <w:t>（一）领导机构</w:t>
      </w:r>
    </w:p>
    <w:p w14:paraId="2FA97DA1">
      <w:pPr>
        <w:spacing w:line="560" w:lineRule="exact"/>
        <w:ind w:firstLine="624" w:firstLineChars="200"/>
        <w:rPr>
          <w:rFonts w:ascii="仿宋_GB2312" w:hAnsi="ˎ̥" w:eastAsia="仿宋_GB2312" w:cs="宋体"/>
          <w:sz w:val="32"/>
          <w:szCs w:val="32"/>
        </w:rPr>
      </w:pPr>
      <w:r>
        <w:rPr>
          <w:rFonts w:hint="eastAsia" w:ascii="仿宋_GB2312" w:hAnsi="ˎ̥" w:eastAsia="仿宋_GB2312" w:cs="宋体"/>
          <w:sz w:val="32"/>
          <w:szCs w:val="32"/>
        </w:rPr>
        <w:t>成立高新区海洋灾害突发事件应急领导小组（以下简称区应急领导小组），区管委分管副主任任组长，区经济发展部部长任副组长，马山街道办事处、金山湾管理处、区综合管理部、财政金融部、经济发展部、国土建设部、综合行政执法局、公安分局、卫生健康管理办公室等部门和单位负责人为成员。</w:t>
      </w:r>
    </w:p>
    <w:p w14:paraId="2BE27282">
      <w:pPr>
        <w:spacing w:line="560" w:lineRule="exact"/>
        <w:ind w:firstLine="624" w:firstLineChars="200"/>
        <w:rPr>
          <w:rFonts w:ascii="仿宋_GB2312" w:hAnsi="ˎ̥" w:eastAsia="仿宋_GB2312" w:cs="宋体"/>
          <w:sz w:val="32"/>
          <w:szCs w:val="32"/>
        </w:rPr>
      </w:pPr>
      <w:r>
        <w:rPr>
          <w:rFonts w:hint="eastAsia" w:ascii="仿宋_GB2312" w:hAnsi="ˎ̥" w:eastAsia="仿宋_GB2312" w:cs="宋体"/>
          <w:sz w:val="32"/>
          <w:szCs w:val="32"/>
        </w:rPr>
        <w:t>主要职责：</w:t>
      </w:r>
      <w:r>
        <w:rPr>
          <w:rFonts w:hint="eastAsia" w:eastAsia="仿宋_GB2312"/>
          <w:sz w:val="32"/>
          <w:szCs w:val="32"/>
        </w:rPr>
        <w:t>组织</w:t>
      </w:r>
      <w:r>
        <w:rPr>
          <w:rFonts w:eastAsia="仿宋_GB2312"/>
          <w:sz w:val="32"/>
          <w:szCs w:val="32"/>
        </w:rPr>
        <w:t>全</w:t>
      </w:r>
      <w:r>
        <w:rPr>
          <w:rFonts w:hint="eastAsia" w:ascii="仿宋_GB2312" w:eastAsia="仿宋_GB2312" w:cs="仿宋_GB2312"/>
          <w:sz w:val="32"/>
          <w:szCs w:val="32"/>
        </w:rPr>
        <w:t>区海洋观测预报、预警监测和防灾工作；研究、解决海洋灾害防范和应对工作中的重大问题等。</w:t>
      </w:r>
    </w:p>
    <w:p w14:paraId="5171BB42">
      <w:pPr>
        <w:spacing w:line="560" w:lineRule="exact"/>
        <w:ind w:firstLine="624" w:firstLineChars="200"/>
        <w:rPr>
          <w:rFonts w:ascii="楷体_GB2312" w:hAnsi="ˎ̥" w:eastAsia="楷体_GB2312" w:cs="宋体"/>
          <w:sz w:val="32"/>
          <w:szCs w:val="32"/>
        </w:rPr>
      </w:pPr>
      <w:r>
        <w:rPr>
          <w:rFonts w:hint="eastAsia" w:ascii="楷体_GB2312" w:hAnsi="ˎ̥" w:eastAsia="楷体_GB2312" w:cs="宋体"/>
          <w:sz w:val="32"/>
          <w:szCs w:val="32"/>
        </w:rPr>
        <w:t>（二）领导小组办公室</w:t>
      </w:r>
    </w:p>
    <w:p w14:paraId="274D29F1">
      <w:pPr>
        <w:spacing w:line="560" w:lineRule="exact"/>
        <w:ind w:firstLine="624" w:firstLineChars="200"/>
        <w:rPr>
          <w:rFonts w:ascii="仿宋_GB2312" w:eastAsia="仿宋_GB2312" w:cs="仿宋_GB2312"/>
          <w:sz w:val="32"/>
          <w:szCs w:val="32"/>
        </w:rPr>
      </w:pPr>
      <w:r>
        <w:rPr>
          <w:rFonts w:hint="eastAsia" w:ascii="仿宋_GB2312" w:hAnsi="宋体" w:eastAsia="仿宋_GB2312" w:cs="宋体"/>
          <w:sz w:val="32"/>
          <w:szCs w:val="32"/>
        </w:rPr>
        <w:t>领导小组</w:t>
      </w:r>
      <w:r>
        <w:rPr>
          <w:rFonts w:hint="eastAsia" w:ascii="仿宋_GB2312" w:eastAsia="仿宋_GB2312" w:cs="仿宋_GB2312"/>
          <w:sz w:val="32"/>
          <w:szCs w:val="32"/>
        </w:rPr>
        <w:t>办公室设在区经济发展部，负责日常工作，</w:t>
      </w:r>
      <w:r>
        <w:rPr>
          <w:rFonts w:hint="eastAsia" w:ascii="仿宋_GB2312" w:eastAsia="仿宋_GB2312"/>
          <w:sz w:val="32"/>
          <w:szCs w:val="32"/>
        </w:rPr>
        <w:t>由区经济发展部分管负责人任主任</w:t>
      </w:r>
      <w:r>
        <w:rPr>
          <w:rFonts w:hint="eastAsia" w:ascii="仿宋_GB2312" w:eastAsia="仿宋_GB2312" w:cs="仿宋_GB2312"/>
          <w:sz w:val="32"/>
          <w:szCs w:val="32"/>
        </w:rPr>
        <w:t>。办公室主要职责：负责组织落实领导小组决定；协调成员单位按照预案和职责开展海洋灾害应急处置工作；建立海洋灾害观测预报、预警监测制度；负责海洋灾害信息发布工作；负责应急预案的制定、修改等工作。</w:t>
      </w:r>
    </w:p>
    <w:p w14:paraId="1B6AA0D4">
      <w:pPr>
        <w:spacing w:line="560" w:lineRule="exact"/>
        <w:ind w:firstLine="624" w:firstLineChars="200"/>
        <w:rPr>
          <w:rFonts w:ascii="仿宋_GB2312" w:eastAsia="仿宋_GB2312" w:cs="仿宋_GB2312"/>
          <w:kern w:val="0"/>
          <w:sz w:val="32"/>
          <w:szCs w:val="32"/>
        </w:rPr>
      </w:pPr>
      <w:r>
        <w:rPr>
          <w:rFonts w:hint="eastAsia" w:ascii="仿宋_GB2312" w:eastAsia="仿宋_GB2312" w:cs="仿宋_GB2312"/>
          <w:sz w:val="32"/>
          <w:szCs w:val="32"/>
        </w:rPr>
        <w:t>领导小组成员单位按照各自职责，制定应对海洋灾害的应急预案，根据海洋灾害预警，启动相应应急响应，各司其职，共同作好海洋灾害应急处置工作。</w:t>
      </w:r>
    </w:p>
    <w:p w14:paraId="0A8B6C85">
      <w:pPr>
        <w:pStyle w:val="5"/>
        <w:spacing w:line="560" w:lineRule="exact"/>
        <w:ind w:firstLine="624"/>
        <w:outlineLvl w:val="1"/>
        <w:rPr>
          <w:rFonts w:ascii="楷体_GB2312" w:eastAsia="楷体_GB2312"/>
          <w:szCs w:val="32"/>
        </w:rPr>
      </w:pPr>
      <w:r>
        <w:rPr>
          <w:rFonts w:hint="eastAsia" w:ascii="楷体_GB2312" w:eastAsia="楷体_GB2312"/>
          <w:szCs w:val="32"/>
        </w:rPr>
        <w:t>（三）成员单位及职责</w:t>
      </w:r>
    </w:p>
    <w:p w14:paraId="06A9F47E">
      <w:pPr>
        <w:adjustRightInd w:val="0"/>
        <w:snapToGrid w:val="0"/>
        <w:spacing w:line="560" w:lineRule="exact"/>
        <w:ind w:firstLine="624" w:firstLineChars="200"/>
        <w:rPr>
          <w:rFonts w:ascii="仿宋_GB2312" w:eastAsia="仿宋_GB2312" w:cs="仿宋_GB2312"/>
          <w:kern w:val="0"/>
          <w:sz w:val="32"/>
          <w:szCs w:val="32"/>
        </w:rPr>
      </w:pPr>
      <w:r>
        <w:rPr>
          <w:rFonts w:hint="eastAsia" w:ascii="仿宋_GB2312" w:eastAsia="仿宋_GB2312" w:cs="仿宋_GB2312"/>
          <w:sz w:val="32"/>
          <w:szCs w:val="32"/>
        </w:rPr>
        <w:t>1.区综合管理部：</w:t>
      </w:r>
      <w:r>
        <w:rPr>
          <w:rFonts w:hint="eastAsia" w:ascii="仿宋_GB2312" w:eastAsia="仿宋_GB2312" w:cs="仿宋_GB2312"/>
          <w:kern w:val="0"/>
          <w:sz w:val="32"/>
          <w:szCs w:val="32"/>
        </w:rPr>
        <w:t>负责组织新闻媒体广泛开展海洋灾害预防科普宣传，加强对海洋灾害事件新闻报道的规范管理。</w:t>
      </w:r>
    </w:p>
    <w:p w14:paraId="7C9F2B77">
      <w:pPr>
        <w:adjustRightInd w:val="0"/>
        <w:snapToGrid w:val="0"/>
        <w:spacing w:line="560" w:lineRule="exact"/>
        <w:ind w:firstLine="624" w:firstLineChars="200"/>
        <w:rPr>
          <w:rFonts w:ascii="仿宋_GB2312" w:eastAsia="仿宋_GB2312" w:cs="仿宋_GB2312"/>
          <w:kern w:val="0"/>
          <w:sz w:val="32"/>
          <w:szCs w:val="32"/>
        </w:rPr>
      </w:pPr>
      <w:r>
        <w:rPr>
          <w:rFonts w:hint="eastAsia" w:ascii="仿宋_GB2312" w:eastAsia="仿宋_GB2312" w:cs="仿宋_GB2312"/>
          <w:kern w:val="0"/>
          <w:sz w:val="32"/>
          <w:szCs w:val="32"/>
        </w:rPr>
        <w:t>2.区卫生健康管理办公室：负责应急医疗救护保障，做好有关伤员的救治工作。</w:t>
      </w:r>
    </w:p>
    <w:p w14:paraId="4D141177">
      <w:pPr>
        <w:adjustRightInd w:val="0"/>
        <w:snapToGrid w:val="0"/>
        <w:spacing w:line="560" w:lineRule="exact"/>
        <w:ind w:firstLine="624" w:firstLineChars="200"/>
        <w:rPr>
          <w:rFonts w:ascii="仿宋_GB2312" w:eastAsia="仿宋_GB2312" w:cs="仿宋_GB2312"/>
          <w:kern w:val="0"/>
          <w:sz w:val="32"/>
          <w:szCs w:val="32"/>
        </w:rPr>
      </w:pPr>
      <w:r>
        <w:rPr>
          <w:rFonts w:hint="eastAsia" w:ascii="仿宋_GB2312" w:eastAsia="仿宋_GB2312" w:cs="仿宋_GB2312"/>
          <w:kern w:val="0"/>
          <w:sz w:val="32"/>
          <w:szCs w:val="32"/>
        </w:rPr>
        <w:t>3.应急管理局高新区分局：组织协调一般海洋灾害应急救援工作;会同有关方面组织协调紧急转移安置受灾群众和受灾群众生活救助。</w:t>
      </w:r>
    </w:p>
    <w:p w14:paraId="1E058835">
      <w:pPr>
        <w:adjustRightInd w:val="0"/>
        <w:snapToGrid w:val="0"/>
        <w:spacing w:line="560" w:lineRule="exact"/>
        <w:ind w:firstLine="624" w:firstLineChars="200"/>
        <w:rPr>
          <w:rFonts w:ascii="仿宋_GB2312" w:eastAsia="仿宋_GB2312" w:cs="仿宋_GB2312"/>
          <w:kern w:val="0"/>
          <w:sz w:val="32"/>
          <w:szCs w:val="32"/>
        </w:rPr>
      </w:pPr>
      <w:r>
        <w:rPr>
          <w:rFonts w:hint="eastAsia" w:ascii="仿宋_GB2312" w:eastAsia="仿宋_GB2312" w:cs="仿宋_GB2312"/>
          <w:kern w:val="0"/>
          <w:sz w:val="32"/>
          <w:szCs w:val="32"/>
        </w:rPr>
        <w:t>4.区经济发展部：负责海洋灾害观测预报和预警监测，开展海洋灾害风险评估和隐患排查治理，发布预警信号，实施海洋渔业防灾工作；承担水情旱情监测预警工作；组织编制重要河道、湖泊和重要水工程的防御洪水抗御旱灾调度以及应急水量调度方案；承担防御洪水应急抢险的技术支撑工作；负责及时、准确提供发生海洋灾害区域的气象资料。</w:t>
      </w:r>
    </w:p>
    <w:p w14:paraId="0C840213">
      <w:pPr>
        <w:adjustRightInd w:val="0"/>
        <w:snapToGrid w:val="0"/>
        <w:spacing w:line="560" w:lineRule="exact"/>
        <w:ind w:firstLine="624" w:firstLineChars="200"/>
        <w:rPr>
          <w:rFonts w:ascii="仿宋_GB2312" w:eastAsia="仿宋_GB2312" w:cs="仿宋_GB2312"/>
          <w:kern w:val="0"/>
          <w:sz w:val="32"/>
          <w:szCs w:val="32"/>
        </w:rPr>
      </w:pPr>
      <w:r>
        <w:rPr>
          <w:rFonts w:hint="eastAsia" w:ascii="仿宋_GB2312" w:eastAsia="仿宋_GB2312" w:cs="仿宋_GB2312"/>
          <w:kern w:val="0"/>
          <w:sz w:val="32"/>
          <w:szCs w:val="32"/>
        </w:rPr>
        <w:t>5.区公安局：负责密切注视事件动态，依法、及时、妥善地处置在沿海岸线发生的与人民生命财产安全、社会稳定有关的突发事件，查处打击在沿海岸线发生的违法犯罪活动；协助有关部门、单位组织群众撤离和转移。</w:t>
      </w:r>
    </w:p>
    <w:p w14:paraId="17C2D11D">
      <w:pPr>
        <w:adjustRightInd w:val="0"/>
        <w:snapToGrid w:val="0"/>
        <w:spacing w:line="560" w:lineRule="exact"/>
        <w:ind w:firstLine="624" w:firstLineChars="200"/>
        <w:rPr>
          <w:rFonts w:ascii="仿宋_GB2312" w:eastAsia="仿宋_GB2312" w:cs="仿宋_GB2312"/>
          <w:kern w:val="0"/>
          <w:sz w:val="32"/>
          <w:szCs w:val="32"/>
        </w:rPr>
      </w:pPr>
      <w:r>
        <w:rPr>
          <w:rFonts w:hint="eastAsia" w:ascii="仿宋_GB2312" w:hAnsi="仿宋" w:eastAsia="仿宋_GB2312"/>
          <w:sz w:val="32"/>
          <w:szCs w:val="32"/>
        </w:rPr>
        <w:t>6.区财政金融部：提供必要的经费支持，确保海洋灾害监测预报装备、器材等物资所需的经</w:t>
      </w:r>
      <w:r>
        <w:rPr>
          <w:rFonts w:hint="eastAsia" w:ascii="仿宋_GB2312" w:eastAsia="仿宋_GB2312" w:cs="仿宋_GB2312"/>
          <w:kern w:val="0"/>
          <w:sz w:val="32"/>
          <w:szCs w:val="32"/>
        </w:rPr>
        <w:t>费。</w:t>
      </w:r>
    </w:p>
    <w:p w14:paraId="42F4C6DD">
      <w:pPr>
        <w:adjustRightInd w:val="0"/>
        <w:snapToGrid w:val="0"/>
        <w:spacing w:line="560" w:lineRule="exact"/>
        <w:ind w:firstLine="624" w:firstLineChars="200"/>
        <w:rPr>
          <w:rFonts w:ascii="仿宋_GB2312" w:eastAsia="仿宋_GB2312" w:cs="仿宋_GB2312"/>
          <w:kern w:val="0"/>
          <w:sz w:val="32"/>
          <w:szCs w:val="32"/>
        </w:rPr>
      </w:pPr>
      <w:r>
        <w:rPr>
          <w:rFonts w:hint="eastAsia" w:ascii="仿宋_GB2312" w:eastAsia="仿宋_GB2312" w:cs="仿宋_GB2312"/>
          <w:kern w:val="0"/>
          <w:sz w:val="32"/>
          <w:szCs w:val="32"/>
        </w:rPr>
        <w:t>7.区规划国土建设部：优先安排应急物资和疏散人员的运送，做好受灾区域的交通管理工作。</w:t>
      </w:r>
    </w:p>
    <w:p w14:paraId="7E17D5EB">
      <w:pPr>
        <w:autoSpaceDE w:val="0"/>
        <w:autoSpaceDN w:val="0"/>
        <w:adjustRightInd w:val="0"/>
        <w:spacing w:line="560" w:lineRule="exact"/>
        <w:ind w:firstLine="624" w:firstLineChars="200"/>
        <w:rPr>
          <w:rFonts w:ascii="仿宋_GB2312" w:eastAsia="黑体" w:cs="仿宋_GB2312"/>
          <w:kern w:val="0"/>
          <w:sz w:val="32"/>
          <w:szCs w:val="32"/>
        </w:rPr>
      </w:pPr>
      <w:r>
        <w:rPr>
          <w:rFonts w:hint="eastAsia" w:ascii="黑体" w:hAnsi="黑体" w:eastAsia="黑体" w:cs="黑体"/>
          <w:bCs/>
          <w:sz w:val="32"/>
          <w:szCs w:val="32"/>
        </w:rPr>
        <w:t>三、预警和预防</w:t>
      </w:r>
    </w:p>
    <w:p w14:paraId="3C689FBA">
      <w:pPr>
        <w:adjustRightInd w:val="0"/>
        <w:snapToGrid w:val="0"/>
        <w:spacing w:line="560" w:lineRule="exact"/>
        <w:ind w:firstLine="624" w:firstLineChars="200"/>
        <w:rPr>
          <w:rFonts w:ascii="楷体_GB2312" w:eastAsia="楷体_GB2312" w:cs="楷体_GB2312"/>
          <w:kern w:val="0"/>
          <w:sz w:val="32"/>
          <w:szCs w:val="32"/>
        </w:rPr>
      </w:pPr>
      <w:r>
        <w:rPr>
          <w:rFonts w:hint="eastAsia" w:ascii="楷体_GB2312" w:eastAsia="楷体_GB2312" w:cs="楷体_GB2312"/>
          <w:kern w:val="0"/>
          <w:sz w:val="32"/>
          <w:szCs w:val="32"/>
        </w:rPr>
        <w:t>（一）预警信息监测</w:t>
      </w:r>
    </w:p>
    <w:p w14:paraId="289BF533">
      <w:pPr>
        <w:adjustRightInd w:val="0"/>
        <w:snapToGrid w:val="0"/>
        <w:spacing w:line="560" w:lineRule="exact"/>
        <w:ind w:firstLine="624" w:firstLineChars="200"/>
        <w:rPr>
          <w:rFonts w:ascii="仿宋_GB2312" w:eastAsia="仿宋_GB2312" w:cs="仿宋_GB2312"/>
          <w:kern w:val="0"/>
          <w:sz w:val="32"/>
          <w:szCs w:val="32"/>
        </w:rPr>
      </w:pPr>
      <w:r>
        <w:rPr>
          <w:rFonts w:ascii="仿宋_GB2312" w:eastAsia="仿宋_GB2312" w:cs="仿宋_GB2312"/>
          <w:b/>
          <w:bCs/>
          <w:kern w:val="0"/>
          <w:sz w:val="32"/>
          <w:szCs w:val="32"/>
        </w:rPr>
        <w:t>1.</w:t>
      </w:r>
      <w:r>
        <w:rPr>
          <w:rFonts w:hint="eastAsia" w:ascii="仿宋_GB2312" w:eastAsia="仿宋_GB2312" w:cs="仿宋_GB2312"/>
          <w:b/>
          <w:bCs/>
          <w:kern w:val="0"/>
          <w:sz w:val="32"/>
          <w:szCs w:val="32"/>
        </w:rPr>
        <w:t>预警信息来源。</w:t>
      </w:r>
      <w:r>
        <w:rPr>
          <w:rFonts w:hint="eastAsia" w:ascii="仿宋_GB2312" w:eastAsia="仿宋_GB2312"/>
          <w:sz w:val="32"/>
          <w:szCs w:val="32"/>
        </w:rPr>
        <w:t>领导小组办公室定期组织分析、研究我区可能遭遇海洋灾害的相关信息；根据国家、省、市海洋主管部门发布的预警信息，密切关注水文、气象、理化和生物指标的变化情况；</w:t>
      </w:r>
      <w:r>
        <w:rPr>
          <w:rFonts w:eastAsia="仿宋_GB2312"/>
          <w:sz w:val="32"/>
          <w:szCs w:val="32"/>
        </w:rPr>
        <w:t>充分利用我</w:t>
      </w:r>
      <w:r>
        <w:rPr>
          <w:rFonts w:hint="eastAsia" w:eastAsia="仿宋_GB2312"/>
          <w:sz w:val="32"/>
          <w:szCs w:val="32"/>
        </w:rPr>
        <w:t>区</w:t>
      </w:r>
      <w:r>
        <w:rPr>
          <w:rFonts w:eastAsia="仿宋_GB2312"/>
          <w:sz w:val="32"/>
          <w:szCs w:val="32"/>
        </w:rPr>
        <w:t>海洋观测设施，配合上级预报监测机构，对</w:t>
      </w:r>
      <w:r>
        <w:rPr>
          <w:rFonts w:hint="eastAsia" w:eastAsia="仿宋_GB2312"/>
          <w:sz w:val="32"/>
          <w:szCs w:val="32"/>
        </w:rPr>
        <w:t>海洋</w:t>
      </w:r>
      <w:r>
        <w:rPr>
          <w:rFonts w:eastAsia="仿宋_GB2312"/>
          <w:sz w:val="32"/>
          <w:szCs w:val="32"/>
        </w:rPr>
        <w:t>灾害进行监视监测</w:t>
      </w:r>
      <w:r>
        <w:rPr>
          <w:rFonts w:hint="eastAsia" w:eastAsia="仿宋_GB2312"/>
          <w:sz w:val="32"/>
          <w:szCs w:val="32"/>
        </w:rPr>
        <w:t>。</w:t>
      </w:r>
    </w:p>
    <w:p w14:paraId="6F44BC68">
      <w:pPr>
        <w:spacing w:line="560" w:lineRule="exact"/>
        <w:ind w:firstLine="624" w:firstLineChars="200"/>
        <w:rPr>
          <w:rFonts w:ascii="仿宋_GB2312" w:eastAsia="仿宋_GB2312" w:cs="仿宋_GB2312"/>
          <w:kern w:val="0"/>
          <w:sz w:val="32"/>
          <w:szCs w:val="32"/>
        </w:rPr>
      </w:pPr>
      <w:r>
        <w:rPr>
          <w:rFonts w:hint="eastAsia" w:ascii="仿宋_GB2312" w:eastAsia="仿宋_GB2312" w:cs="仿宋_GB2312"/>
          <w:b/>
          <w:bCs/>
          <w:kern w:val="0"/>
          <w:sz w:val="32"/>
          <w:szCs w:val="32"/>
        </w:rPr>
        <w:t>2</w:t>
      </w:r>
      <w:r>
        <w:rPr>
          <w:rFonts w:ascii="仿宋_GB2312" w:eastAsia="仿宋_GB2312" w:cs="仿宋_GB2312"/>
          <w:b/>
          <w:bCs/>
          <w:kern w:val="0"/>
          <w:sz w:val="32"/>
          <w:szCs w:val="32"/>
        </w:rPr>
        <w:t>.</w:t>
      </w:r>
      <w:r>
        <w:rPr>
          <w:rFonts w:hint="eastAsia" w:ascii="仿宋_GB2312" w:eastAsia="仿宋_GB2312" w:cs="仿宋_GB2312"/>
          <w:b/>
          <w:bCs/>
          <w:kern w:val="0"/>
          <w:sz w:val="32"/>
          <w:szCs w:val="32"/>
        </w:rPr>
        <w:t>预警信息分级。</w:t>
      </w:r>
      <w:r>
        <w:rPr>
          <w:rFonts w:eastAsia="仿宋_GB2312"/>
          <w:sz w:val="32"/>
          <w:szCs w:val="32"/>
        </w:rPr>
        <w:t>根据风暴潮、</w:t>
      </w:r>
      <w:r>
        <w:rPr>
          <w:rFonts w:hint="eastAsia" w:eastAsia="仿宋_GB2312"/>
          <w:sz w:val="32"/>
          <w:szCs w:val="32"/>
        </w:rPr>
        <w:t>海浪、</w:t>
      </w:r>
      <w:r>
        <w:rPr>
          <w:rFonts w:eastAsia="仿宋_GB2312"/>
          <w:sz w:val="32"/>
          <w:szCs w:val="32"/>
        </w:rPr>
        <w:t>海啸、海冰</w:t>
      </w:r>
      <w:r>
        <w:rPr>
          <w:rFonts w:hint="eastAsia" w:eastAsia="仿宋_GB2312"/>
          <w:sz w:val="32"/>
          <w:szCs w:val="32"/>
        </w:rPr>
        <w:t>、绿潮、赤潮</w:t>
      </w:r>
      <w:r>
        <w:rPr>
          <w:rFonts w:eastAsia="仿宋_GB2312"/>
          <w:sz w:val="32"/>
          <w:szCs w:val="32"/>
        </w:rPr>
        <w:t>可能造成的危害程度、紧急程度、区域范围，将其预警级别分为一般（Ⅳ级）、较重（Ⅲ级）、严重（Ⅱ级）和特别严重（Ⅰ级）四个级别，依次用蓝色、黄色、橙色和红色表示。</w:t>
      </w:r>
      <w:r>
        <w:rPr>
          <w:rFonts w:hint="eastAsia" w:ascii="仿宋_GB2312" w:eastAsia="仿宋_GB2312"/>
          <w:sz w:val="32"/>
          <w:szCs w:val="32"/>
        </w:rPr>
        <w:t>具体划分标准详见附件。</w:t>
      </w:r>
    </w:p>
    <w:p w14:paraId="32BE3926">
      <w:pPr>
        <w:adjustRightInd w:val="0"/>
        <w:snapToGrid w:val="0"/>
        <w:spacing w:line="560" w:lineRule="exact"/>
        <w:ind w:firstLine="624" w:firstLineChars="200"/>
        <w:rPr>
          <w:rFonts w:ascii="楷体_GB2312" w:eastAsia="楷体_GB2312" w:cs="楷体_GB2312"/>
          <w:kern w:val="0"/>
          <w:sz w:val="32"/>
          <w:szCs w:val="32"/>
        </w:rPr>
      </w:pPr>
      <w:r>
        <w:rPr>
          <w:rFonts w:hint="eastAsia" w:ascii="楷体_GB2312" w:eastAsia="楷体_GB2312" w:cs="楷体_GB2312"/>
          <w:kern w:val="0"/>
          <w:sz w:val="32"/>
          <w:szCs w:val="32"/>
        </w:rPr>
        <w:t>（二）预警信息发布</w:t>
      </w:r>
    </w:p>
    <w:p w14:paraId="33F9D1DA">
      <w:pPr>
        <w:adjustRightInd w:val="0"/>
        <w:snapToGrid w:val="0"/>
        <w:spacing w:line="560" w:lineRule="exact"/>
        <w:ind w:firstLine="624" w:firstLineChars="200"/>
        <w:rPr>
          <w:rFonts w:ascii="仿宋_GB2312" w:eastAsia="仿宋_GB2312"/>
          <w:sz w:val="32"/>
          <w:szCs w:val="32"/>
        </w:rPr>
      </w:pPr>
      <w:r>
        <w:rPr>
          <w:rFonts w:hint="eastAsia" w:ascii="仿宋_GB2312" w:eastAsia="仿宋_GB2312"/>
          <w:sz w:val="32"/>
          <w:szCs w:val="32"/>
        </w:rPr>
        <w:t>领导小组办公室根据预警信息监测情况，及时做出相应级别的预警，切实做好应急准备。如确认不会形成海洋灾害，及时发布灾害威胁解除消息。</w:t>
      </w:r>
    </w:p>
    <w:p w14:paraId="7A8BF6E6">
      <w:pPr>
        <w:autoSpaceDE w:val="0"/>
        <w:autoSpaceDN w:val="0"/>
        <w:adjustRightInd w:val="0"/>
        <w:spacing w:line="560" w:lineRule="exact"/>
        <w:ind w:firstLine="624" w:firstLineChars="200"/>
        <w:rPr>
          <w:rFonts w:ascii="楷体_GB2312" w:eastAsia="楷体_GB2312" w:cs="楷体_GB2312"/>
          <w:kern w:val="0"/>
          <w:sz w:val="32"/>
          <w:szCs w:val="32"/>
        </w:rPr>
      </w:pPr>
      <w:r>
        <w:rPr>
          <w:rFonts w:hint="eastAsia" w:ascii="楷体_GB2312" w:eastAsia="楷体_GB2312" w:cs="楷体_GB2312"/>
          <w:kern w:val="0"/>
          <w:sz w:val="32"/>
          <w:szCs w:val="32"/>
        </w:rPr>
        <w:t>（三）预警预防行动</w:t>
      </w:r>
    </w:p>
    <w:p w14:paraId="03F3CBDF">
      <w:pPr>
        <w:autoSpaceDE w:val="0"/>
        <w:autoSpaceDN w:val="0"/>
        <w:adjustRightInd w:val="0"/>
        <w:spacing w:line="560" w:lineRule="exact"/>
        <w:ind w:firstLine="624" w:firstLineChars="200"/>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预警信息发布后，海洋灾害事件应急领导小组根据不同预警级别，做好应急响应准备。各有关部门和单位应迅速传播灾害预报预警信息，督促各单位、企业和社会群众做好预防工作。</w:t>
      </w:r>
    </w:p>
    <w:p w14:paraId="7872B442">
      <w:pPr>
        <w:autoSpaceDE w:val="0"/>
        <w:autoSpaceDN w:val="0"/>
        <w:adjustRightInd w:val="0"/>
        <w:spacing w:line="560" w:lineRule="exact"/>
        <w:ind w:firstLine="624" w:firstLineChars="200"/>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从事海上活动的有关单位、渔船和人员应注意接收预警信息，及时采取相应的防范措施，防止或减少海洋灾害事件对生命、财产和环境造成危害。</w:t>
      </w:r>
    </w:p>
    <w:p w14:paraId="04CE3839">
      <w:pPr>
        <w:autoSpaceDE w:val="0"/>
        <w:autoSpaceDN w:val="0"/>
        <w:adjustRightInd w:val="0"/>
        <w:spacing w:line="560" w:lineRule="exact"/>
        <w:ind w:firstLine="624" w:firstLineChars="200"/>
        <w:rPr>
          <w:rFonts w:ascii="仿宋_GB2312" w:eastAsia="黑体" w:cs="仿宋_GB2312"/>
          <w:kern w:val="0"/>
          <w:sz w:val="32"/>
          <w:szCs w:val="32"/>
        </w:rPr>
      </w:pPr>
      <w:bookmarkStart w:id="194" w:name="_Toc12863441"/>
      <w:r>
        <w:rPr>
          <w:rFonts w:hint="eastAsia" w:ascii="黑体" w:hAnsi="黑体" w:eastAsia="黑体"/>
          <w:sz w:val="32"/>
          <w:szCs w:val="32"/>
        </w:rPr>
        <w:t>四、</w:t>
      </w:r>
      <w:bookmarkEnd w:id="194"/>
      <w:r>
        <w:rPr>
          <w:rFonts w:hint="eastAsia" w:ascii="黑体" w:hAnsi="黑体" w:eastAsia="黑体"/>
          <w:sz w:val="32"/>
          <w:szCs w:val="32"/>
        </w:rPr>
        <w:t>应急任务</w:t>
      </w:r>
    </w:p>
    <w:p w14:paraId="13C40C08">
      <w:pPr>
        <w:autoSpaceDE w:val="0"/>
        <w:autoSpaceDN w:val="0"/>
        <w:adjustRightInd w:val="0"/>
        <w:spacing w:line="560" w:lineRule="exact"/>
        <w:ind w:firstLine="624" w:firstLineChars="200"/>
        <w:rPr>
          <w:rFonts w:ascii="仿宋_GB2312" w:eastAsia="仿宋_GB2312" w:cs="仿宋_GB2312"/>
          <w:kern w:val="0"/>
          <w:sz w:val="32"/>
          <w:szCs w:val="32"/>
        </w:rPr>
      </w:pPr>
      <w:r>
        <w:rPr>
          <w:rFonts w:hint="eastAsia" w:ascii="仿宋_GB2312" w:eastAsia="仿宋_GB2312" w:cs="仿宋_GB2312"/>
          <w:kern w:val="0"/>
          <w:sz w:val="32"/>
          <w:szCs w:val="32"/>
        </w:rPr>
        <w:t>（一）</w:t>
      </w:r>
      <w:r>
        <w:rPr>
          <w:rFonts w:eastAsia="楷体_GB2312"/>
          <w:sz w:val="32"/>
          <w:szCs w:val="32"/>
        </w:rPr>
        <w:t>信息报告</w:t>
      </w:r>
    </w:p>
    <w:p w14:paraId="4158B17F">
      <w:pPr>
        <w:spacing w:line="560" w:lineRule="exact"/>
        <w:ind w:firstLine="624" w:firstLineChars="200"/>
        <w:rPr>
          <w:rFonts w:eastAsia="仿宋_GB2312"/>
          <w:sz w:val="32"/>
          <w:szCs w:val="32"/>
        </w:rPr>
      </w:pPr>
      <w:r>
        <w:rPr>
          <w:rFonts w:hint="eastAsia" w:ascii="仿宋_GB2312" w:eastAsia="仿宋_GB2312" w:cs="仿宋_GB2312"/>
          <w:b/>
          <w:bCs/>
          <w:kern w:val="0"/>
          <w:sz w:val="32"/>
          <w:szCs w:val="32"/>
        </w:rPr>
        <w:t>1.报告主体。</w:t>
      </w:r>
      <w:r>
        <w:rPr>
          <w:rFonts w:eastAsia="仿宋_GB2312"/>
          <w:sz w:val="32"/>
          <w:szCs w:val="32"/>
        </w:rPr>
        <w:t>海洋灾害发生后，</w:t>
      </w:r>
      <w:r>
        <w:rPr>
          <w:rFonts w:hint="eastAsia" w:eastAsia="仿宋_GB2312"/>
          <w:sz w:val="32"/>
          <w:szCs w:val="32"/>
        </w:rPr>
        <w:t>有关部门、单位</w:t>
      </w:r>
      <w:r>
        <w:rPr>
          <w:rFonts w:eastAsia="仿宋_GB2312"/>
          <w:sz w:val="32"/>
          <w:szCs w:val="32"/>
        </w:rPr>
        <w:t>应立即核实并向</w:t>
      </w:r>
      <w:r>
        <w:rPr>
          <w:rFonts w:hint="eastAsia" w:eastAsia="仿宋_GB2312"/>
          <w:sz w:val="32"/>
          <w:szCs w:val="32"/>
        </w:rPr>
        <w:t>区</w:t>
      </w:r>
      <w:r>
        <w:rPr>
          <w:rFonts w:eastAsia="仿宋_GB2312"/>
          <w:sz w:val="32"/>
          <w:szCs w:val="32"/>
        </w:rPr>
        <w:t>政府</w:t>
      </w:r>
      <w:r>
        <w:rPr>
          <w:rFonts w:hint="eastAsia" w:eastAsia="仿宋_GB2312"/>
          <w:sz w:val="32"/>
          <w:szCs w:val="32"/>
        </w:rPr>
        <w:t>或区领导小组</w:t>
      </w:r>
      <w:r>
        <w:rPr>
          <w:rFonts w:eastAsia="仿宋_GB2312"/>
          <w:sz w:val="32"/>
          <w:szCs w:val="32"/>
        </w:rPr>
        <w:t>办公室报告。</w:t>
      </w:r>
      <w:r>
        <w:rPr>
          <w:rFonts w:hint="eastAsia" w:eastAsia="仿宋_GB2312"/>
          <w:sz w:val="32"/>
          <w:szCs w:val="32"/>
        </w:rPr>
        <w:t>领导小组</w:t>
      </w:r>
      <w:r>
        <w:rPr>
          <w:rFonts w:eastAsia="仿宋_GB2312"/>
          <w:sz w:val="32"/>
          <w:szCs w:val="32"/>
        </w:rPr>
        <w:t>办公室及时汇总上报风暴潮、</w:t>
      </w:r>
      <w:r>
        <w:rPr>
          <w:rFonts w:hint="eastAsia" w:eastAsia="仿宋_GB2312"/>
          <w:sz w:val="32"/>
          <w:szCs w:val="32"/>
        </w:rPr>
        <w:t>海浪、</w:t>
      </w:r>
      <w:r>
        <w:rPr>
          <w:rFonts w:eastAsia="仿宋_GB2312"/>
          <w:sz w:val="32"/>
          <w:szCs w:val="32"/>
        </w:rPr>
        <w:t>海啸、海冰</w:t>
      </w:r>
      <w:r>
        <w:rPr>
          <w:rFonts w:hint="eastAsia" w:eastAsia="仿宋_GB2312"/>
          <w:sz w:val="32"/>
          <w:szCs w:val="32"/>
        </w:rPr>
        <w:t>、绿潮、赤潮</w:t>
      </w:r>
      <w:r>
        <w:rPr>
          <w:rFonts w:eastAsia="仿宋_GB2312"/>
          <w:sz w:val="32"/>
          <w:szCs w:val="32"/>
        </w:rPr>
        <w:t>灾害的重要信息，同时将上级的批示或者指示传达给各成员单位。</w:t>
      </w:r>
    </w:p>
    <w:p w14:paraId="1723A4BC">
      <w:pPr>
        <w:spacing w:line="560" w:lineRule="exact"/>
        <w:ind w:firstLine="624" w:firstLineChars="200"/>
        <w:rPr>
          <w:rFonts w:eastAsia="仿宋_GB2312"/>
          <w:sz w:val="32"/>
          <w:szCs w:val="32"/>
        </w:rPr>
      </w:pPr>
      <w:r>
        <w:rPr>
          <w:rFonts w:hint="eastAsia" w:ascii="仿宋_GB2312" w:eastAsia="仿宋_GB2312" w:cs="仿宋_GB2312"/>
          <w:b/>
          <w:bCs/>
          <w:kern w:val="0"/>
          <w:sz w:val="32"/>
          <w:szCs w:val="32"/>
        </w:rPr>
        <w:t>2.报告内容。</w:t>
      </w:r>
      <w:r>
        <w:rPr>
          <w:rFonts w:eastAsia="仿宋_GB2312"/>
          <w:sz w:val="32"/>
          <w:szCs w:val="32"/>
        </w:rPr>
        <w:t>风暴潮、</w:t>
      </w:r>
      <w:r>
        <w:rPr>
          <w:rFonts w:hint="eastAsia" w:eastAsia="仿宋_GB2312"/>
          <w:sz w:val="32"/>
          <w:szCs w:val="32"/>
        </w:rPr>
        <w:t>海浪、</w:t>
      </w:r>
      <w:r>
        <w:rPr>
          <w:rFonts w:eastAsia="仿宋_GB2312"/>
          <w:sz w:val="32"/>
          <w:szCs w:val="32"/>
        </w:rPr>
        <w:t>海啸、海冰</w:t>
      </w:r>
      <w:r>
        <w:rPr>
          <w:rFonts w:hint="eastAsia" w:eastAsia="仿宋_GB2312"/>
          <w:sz w:val="32"/>
          <w:szCs w:val="32"/>
        </w:rPr>
        <w:t>、绿潮、赤潮</w:t>
      </w:r>
      <w:r>
        <w:rPr>
          <w:rFonts w:eastAsia="仿宋_GB2312"/>
          <w:sz w:val="32"/>
          <w:szCs w:val="32"/>
        </w:rPr>
        <w:t>灾害发生的时间、地点、信息来源、事件性质、影响范围、事件发展趋势等。</w:t>
      </w:r>
    </w:p>
    <w:p w14:paraId="53BA3FFB">
      <w:pPr>
        <w:autoSpaceDE w:val="0"/>
        <w:autoSpaceDN w:val="0"/>
        <w:adjustRightInd w:val="0"/>
        <w:spacing w:line="560" w:lineRule="exact"/>
        <w:ind w:firstLine="624" w:firstLineChars="200"/>
        <w:rPr>
          <w:rFonts w:eastAsia="楷体_GB2312"/>
          <w:sz w:val="32"/>
          <w:szCs w:val="32"/>
        </w:rPr>
      </w:pPr>
      <w:r>
        <w:rPr>
          <w:rFonts w:hint="eastAsia" w:eastAsia="楷体_GB2312"/>
          <w:sz w:val="32"/>
          <w:szCs w:val="32"/>
        </w:rPr>
        <w:t>（二）应急响应</w:t>
      </w:r>
    </w:p>
    <w:p w14:paraId="402B7B67">
      <w:pPr>
        <w:spacing w:line="560" w:lineRule="exact"/>
        <w:ind w:firstLine="624" w:firstLineChars="200"/>
        <w:rPr>
          <w:rFonts w:eastAsia="仿宋_GB2312"/>
          <w:sz w:val="32"/>
          <w:szCs w:val="32"/>
        </w:rPr>
      </w:pPr>
      <w:r>
        <w:rPr>
          <w:rFonts w:hint="eastAsia" w:eastAsia="仿宋_GB2312"/>
          <w:sz w:val="32"/>
          <w:szCs w:val="32"/>
        </w:rPr>
        <w:t>有关部门、单位要密切关注海洋灾害发展趋势，及时采取合法、有效措施，开展必要的处置准备工作。海洋部门发布海洋灾害预警信号时，有关部门、单位按照各自职责和预案启动应急响应。启动应急响应后，各成员单位应加强值班，密切监视灾情，针对不同海洋灾害种类及其影响程度采取相应的应急响应措施和行动。</w:t>
      </w:r>
    </w:p>
    <w:p w14:paraId="2F93C599">
      <w:pPr>
        <w:spacing w:line="560" w:lineRule="exact"/>
        <w:ind w:firstLine="624" w:firstLineChars="200"/>
        <w:rPr>
          <w:rFonts w:eastAsia="仿宋_GB2312"/>
          <w:sz w:val="32"/>
          <w:szCs w:val="32"/>
        </w:rPr>
      </w:pPr>
      <w:r>
        <w:rPr>
          <w:rFonts w:hint="eastAsia" w:eastAsia="楷体_GB2312"/>
          <w:sz w:val="32"/>
          <w:szCs w:val="32"/>
        </w:rPr>
        <w:t>（三）应急处置</w:t>
      </w:r>
    </w:p>
    <w:p w14:paraId="38C23ED6">
      <w:pPr>
        <w:spacing w:line="560" w:lineRule="exact"/>
        <w:ind w:firstLine="624" w:firstLineChars="200"/>
        <w:rPr>
          <w:rFonts w:eastAsia="仿宋_GB2312"/>
          <w:sz w:val="32"/>
          <w:szCs w:val="32"/>
        </w:rPr>
      </w:pPr>
      <w:r>
        <w:rPr>
          <w:rFonts w:hint="eastAsia" w:eastAsia="仿宋_GB2312"/>
          <w:sz w:val="32"/>
          <w:szCs w:val="32"/>
        </w:rPr>
        <w:t>海洋灾害现场应急处置由灾害发生地政府或相关应急指挥机构统一组织，主要分管领导要坐镇指挥，分管部门负责人要到一线开展相关工作，各有关部门和单位按职责参与应急处置工作，包括组织营救、伤员救治、疏散撤离和妥善安置受灾人员，及时上报灾情和人员伤亡情况，分配救援任务，协调各级各类救援队伍应急行动，查明并及时组织力量消除次生、衍生灾害，组织抢修公共设施，接收、分配援助物资等。</w:t>
      </w:r>
    </w:p>
    <w:p w14:paraId="78095D06">
      <w:pPr>
        <w:spacing w:line="560" w:lineRule="exact"/>
        <w:ind w:firstLine="624" w:firstLineChars="200"/>
        <w:rPr>
          <w:rFonts w:eastAsia="仿宋_GB2312"/>
          <w:sz w:val="32"/>
          <w:szCs w:val="32"/>
        </w:rPr>
      </w:pPr>
      <w:r>
        <w:rPr>
          <w:rFonts w:hint="eastAsia" w:eastAsia="楷体_GB2312"/>
          <w:sz w:val="32"/>
          <w:szCs w:val="32"/>
        </w:rPr>
        <w:t>（四）应急响应级别降低或终止</w:t>
      </w:r>
    </w:p>
    <w:p w14:paraId="5FB46902">
      <w:pPr>
        <w:spacing w:line="560" w:lineRule="exact"/>
        <w:ind w:firstLine="624" w:firstLineChars="200"/>
        <w:rPr>
          <w:rFonts w:eastAsia="仿宋_GB2312"/>
          <w:sz w:val="32"/>
          <w:szCs w:val="32"/>
        </w:rPr>
      </w:pPr>
      <w:r>
        <w:rPr>
          <w:rFonts w:hint="eastAsia" w:eastAsia="仿宋_GB2312"/>
          <w:sz w:val="32"/>
          <w:szCs w:val="32"/>
        </w:rPr>
        <w:t>海洋灾害得到有效处置后，短期内灾害影响不再扩大或已减轻，海洋部门发布的灾害预警级别降低或解除，由宣布启动应急响应的机构或部门降低应急响应级别或终止响应。</w:t>
      </w:r>
    </w:p>
    <w:p w14:paraId="220B1E37">
      <w:pPr>
        <w:snapToGrid w:val="0"/>
        <w:spacing w:line="560" w:lineRule="exact"/>
        <w:ind w:firstLine="624" w:firstLineChars="200"/>
        <w:rPr>
          <w:rFonts w:ascii="黑体" w:hAnsi="仿宋_GB2312" w:eastAsia="黑体"/>
          <w:sz w:val="32"/>
          <w:szCs w:val="32"/>
        </w:rPr>
      </w:pPr>
      <w:r>
        <w:rPr>
          <w:rFonts w:hint="eastAsia" w:ascii="黑体" w:hAnsi="仿宋_GB2312" w:eastAsia="黑体"/>
          <w:sz w:val="32"/>
          <w:szCs w:val="32"/>
        </w:rPr>
        <w:t>五、监督管理</w:t>
      </w:r>
    </w:p>
    <w:p w14:paraId="5902C3B9">
      <w:pPr>
        <w:spacing w:line="560" w:lineRule="exact"/>
        <w:ind w:firstLine="624" w:firstLineChars="200"/>
        <w:rPr>
          <w:rFonts w:eastAsia="仿宋_GB2312"/>
          <w:sz w:val="32"/>
          <w:szCs w:val="32"/>
        </w:rPr>
      </w:pPr>
      <w:r>
        <w:rPr>
          <w:rFonts w:hint="eastAsia" w:eastAsia="楷体_GB2312"/>
          <w:sz w:val="32"/>
          <w:szCs w:val="32"/>
        </w:rPr>
        <w:t>（一）宣传教育。</w:t>
      </w:r>
      <w:r>
        <w:rPr>
          <w:rFonts w:hint="eastAsia" w:eastAsia="仿宋_GB2312"/>
          <w:sz w:val="32"/>
          <w:szCs w:val="32"/>
        </w:rPr>
        <w:t>利用广播、电视、报纸、互联网等多种形式广泛开展海洋灾害知识的普及教育，加大对海洋防灾减灾工作的宣传力度，增强社会公众的防灾减灾意识和自救、互救能力。</w:t>
      </w:r>
    </w:p>
    <w:p w14:paraId="0DB50420">
      <w:pPr>
        <w:spacing w:line="560" w:lineRule="exact"/>
        <w:ind w:firstLine="624" w:firstLineChars="200"/>
        <w:rPr>
          <w:rFonts w:eastAsia="仿宋_GB2312"/>
          <w:sz w:val="32"/>
          <w:szCs w:val="32"/>
        </w:rPr>
      </w:pPr>
      <w:r>
        <w:rPr>
          <w:rFonts w:hint="eastAsia" w:eastAsia="楷体_GB2312"/>
          <w:sz w:val="32"/>
          <w:szCs w:val="32"/>
        </w:rPr>
        <w:t>（二）培训和演练。</w:t>
      </w:r>
      <w:r>
        <w:rPr>
          <w:rFonts w:hint="eastAsia" w:eastAsia="仿宋_GB2312"/>
          <w:sz w:val="32"/>
          <w:szCs w:val="32"/>
        </w:rPr>
        <w:t>定期组织海洋灾害应急处置管理人员、技术人员和预备人员进行常规性培训，提高应急处置能力。原则上每年定期组织1次应急演练，并对应急预案进行评估。</w:t>
      </w:r>
    </w:p>
    <w:p w14:paraId="5F610D4B">
      <w:pPr>
        <w:spacing w:line="560" w:lineRule="exact"/>
        <w:ind w:firstLine="624" w:firstLineChars="200"/>
        <w:rPr>
          <w:rFonts w:eastAsia="仿宋_GB2312"/>
          <w:sz w:val="32"/>
          <w:szCs w:val="32"/>
        </w:rPr>
      </w:pPr>
      <w:r>
        <w:rPr>
          <w:rFonts w:hint="eastAsia" w:eastAsia="楷体_GB2312"/>
          <w:sz w:val="32"/>
          <w:szCs w:val="32"/>
        </w:rPr>
        <w:t>（三）责任与奖惩。</w:t>
      </w:r>
      <w:r>
        <w:rPr>
          <w:rFonts w:hint="eastAsia" w:eastAsia="仿宋_GB2312"/>
          <w:sz w:val="32"/>
          <w:szCs w:val="32"/>
        </w:rPr>
        <w:t>对在应急处置行动中成绩突出的单位和个人，按规定给予表彰和奖励。建立健全责任追究制度，对在应急处置行动中组织不力、措施不落实，造成严重后果和恶劣影响的，依法依纪追究有关责任人的责任。</w:t>
      </w:r>
    </w:p>
    <w:p w14:paraId="730B25ED">
      <w:pPr>
        <w:autoSpaceDE w:val="0"/>
        <w:autoSpaceDN w:val="0"/>
        <w:snapToGrid w:val="0"/>
        <w:spacing w:line="560" w:lineRule="exact"/>
        <w:ind w:firstLine="624" w:firstLineChars="200"/>
        <w:rPr>
          <w:rFonts w:ascii="黑体" w:eastAsia="黑体" w:cs="黑体"/>
          <w:kern w:val="0"/>
          <w:sz w:val="32"/>
          <w:szCs w:val="32"/>
        </w:rPr>
      </w:pPr>
      <w:r>
        <w:rPr>
          <w:rFonts w:hint="eastAsia" w:ascii="黑体" w:eastAsia="黑体" w:cs="黑体"/>
          <w:kern w:val="0"/>
          <w:sz w:val="32"/>
          <w:szCs w:val="32"/>
        </w:rPr>
        <w:t>六、附则</w:t>
      </w:r>
    </w:p>
    <w:p w14:paraId="288790B8">
      <w:pPr>
        <w:snapToGrid w:val="0"/>
        <w:spacing w:line="560" w:lineRule="exact"/>
        <w:ind w:firstLine="624" w:firstLineChars="200"/>
        <w:rPr>
          <w:rFonts w:ascii="楷体_GB2312" w:hAnsi="仿宋_GB2312" w:eastAsia="楷体_GB2312"/>
          <w:sz w:val="32"/>
          <w:szCs w:val="32"/>
        </w:rPr>
      </w:pPr>
      <w:r>
        <w:rPr>
          <w:rFonts w:hint="eastAsia" w:ascii="楷体_GB2312" w:hAnsi="仿宋_GB2312" w:eastAsia="楷体_GB2312"/>
          <w:sz w:val="32"/>
          <w:szCs w:val="32"/>
        </w:rPr>
        <w:t>（一）本预案由区经济发展部负责解释。</w:t>
      </w:r>
    </w:p>
    <w:p w14:paraId="1113E382">
      <w:pPr>
        <w:snapToGrid w:val="0"/>
        <w:spacing w:line="560" w:lineRule="exact"/>
        <w:ind w:firstLine="624" w:firstLineChars="200"/>
        <w:rPr>
          <w:rFonts w:ascii="仿宋_GB2312" w:hAnsi="宋体" w:eastAsia="仿宋_GB2312" w:cs="宋体"/>
          <w:kern w:val="0"/>
          <w:sz w:val="32"/>
          <w:szCs w:val="32"/>
        </w:rPr>
      </w:pPr>
      <w:r>
        <w:rPr>
          <w:rFonts w:hint="eastAsia" w:ascii="楷体_GB2312" w:hAnsi="仿宋_GB2312" w:eastAsia="楷体_GB2312"/>
          <w:sz w:val="32"/>
          <w:szCs w:val="32"/>
        </w:rPr>
        <w:t>（二）本预案自发布之日起实施。</w:t>
      </w:r>
    </w:p>
    <w:p w14:paraId="130BED75">
      <w:pPr>
        <w:rPr>
          <w:rFonts w:ascii="仿宋_GB2312" w:hAnsi="宋体" w:eastAsia="仿宋_GB2312" w:cs="宋体"/>
          <w:kern w:val="0"/>
          <w:sz w:val="32"/>
          <w:szCs w:val="32"/>
        </w:rPr>
      </w:pPr>
      <w:r>
        <w:rPr>
          <w:rFonts w:hint="eastAsia" w:ascii="仿宋_GB2312" w:hAnsi="宋体" w:eastAsia="仿宋_GB2312" w:cs="宋体"/>
          <w:kern w:val="0"/>
          <w:sz w:val="32"/>
          <w:szCs w:val="32"/>
        </w:rPr>
        <w:br w:type="page"/>
      </w:r>
      <w:r>
        <w:rPr>
          <w:rFonts w:hint="eastAsia" w:ascii="黑体" w:hAnsi="黑体" w:eastAsia="黑体" w:cs="宋体"/>
          <w:kern w:val="0"/>
          <w:sz w:val="32"/>
          <w:szCs w:val="32"/>
        </w:rPr>
        <w:t>附件</w:t>
      </w:r>
    </w:p>
    <w:p w14:paraId="3B2365D1">
      <w:pPr>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海洋灾害预警信息发布标准</w:t>
      </w:r>
    </w:p>
    <w:tbl>
      <w:tblPr>
        <w:tblStyle w:val="12"/>
        <w:tblpPr w:leftFromText="180" w:rightFromText="180" w:vertAnchor="text" w:horzAnchor="page" w:tblpX="1726" w:tblpY="694"/>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469"/>
        <w:gridCol w:w="468"/>
        <w:gridCol w:w="7547"/>
      </w:tblGrid>
      <w:tr w14:paraId="5B86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D808565">
            <w:pPr>
              <w:spacing w:line="480" w:lineRule="exact"/>
              <w:jc w:val="center"/>
              <w:rPr>
                <w:rFonts w:ascii="仿宋_GB2312" w:hAnsi="宋体" w:eastAsia="仿宋_GB2312" w:cs="宋体"/>
                <w:b/>
                <w:kern w:val="0"/>
                <w:sz w:val="24"/>
                <w:szCs w:val="21"/>
              </w:rPr>
            </w:pPr>
            <w:r>
              <w:rPr>
                <w:rFonts w:hint="eastAsia" w:ascii="仿宋_GB2312" w:hAnsi="宋体" w:eastAsia="仿宋_GB2312" w:cs="宋体"/>
                <w:b/>
                <w:kern w:val="0"/>
                <w:sz w:val="24"/>
                <w:szCs w:val="21"/>
              </w:rPr>
              <w:t>灾害</w:t>
            </w:r>
          </w:p>
          <w:p w14:paraId="0231C98F">
            <w:pPr>
              <w:spacing w:line="480" w:lineRule="exact"/>
              <w:jc w:val="center"/>
              <w:rPr>
                <w:rFonts w:ascii="仿宋_GB2312" w:hAnsi="宋体" w:eastAsia="仿宋_GB2312" w:cs="宋体"/>
                <w:b/>
                <w:kern w:val="0"/>
                <w:sz w:val="24"/>
                <w:szCs w:val="21"/>
              </w:rPr>
            </w:pPr>
            <w:r>
              <w:rPr>
                <w:rFonts w:hint="eastAsia" w:ascii="仿宋_GB2312" w:hAnsi="宋体" w:eastAsia="仿宋_GB2312" w:cs="宋体"/>
                <w:b/>
                <w:kern w:val="0"/>
                <w:sz w:val="24"/>
                <w:szCs w:val="21"/>
              </w:rPr>
              <w:t>类型</w:t>
            </w:r>
          </w:p>
        </w:tc>
        <w:tc>
          <w:tcPr>
            <w:tcW w:w="469" w:type="dxa"/>
            <w:vAlign w:val="center"/>
          </w:tcPr>
          <w:p w14:paraId="3FC3FDEA">
            <w:pPr>
              <w:spacing w:line="480" w:lineRule="exact"/>
              <w:jc w:val="center"/>
              <w:rPr>
                <w:rFonts w:ascii="仿宋_GB2312" w:hAnsi="宋体" w:eastAsia="仿宋_GB2312" w:cs="宋体"/>
                <w:b/>
                <w:kern w:val="0"/>
                <w:sz w:val="24"/>
                <w:szCs w:val="21"/>
              </w:rPr>
            </w:pPr>
            <w:r>
              <w:rPr>
                <w:rFonts w:hint="eastAsia" w:ascii="仿宋_GB2312" w:hAnsi="宋体" w:eastAsia="仿宋_GB2312" w:cs="宋体"/>
                <w:b/>
                <w:kern w:val="0"/>
                <w:sz w:val="24"/>
                <w:szCs w:val="21"/>
              </w:rPr>
              <w:t>预警</w:t>
            </w:r>
          </w:p>
          <w:p w14:paraId="0CE7CBF1">
            <w:pPr>
              <w:spacing w:line="480" w:lineRule="exact"/>
              <w:jc w:val="center"/>
              <w:rPr>
                <w:rFonts w:ascii="仿宋_GB2312" w:hAnsi="宋体" w:eastAsia="仿宋_GB2312" w:cs="宋体"/>
                <w:b/>
                <w:kern w:val="0"/>
                <w:sz w:val="24"/>
                <w:szCs w:val="21"/>
              </w:rPr>
            </w:pPr>
            <w:r>
              <w:rPr>
                <w:rFonts w:hint="eastAsia" w:ascii="仿宋_GB2312" w:hAnsi="宋体" w:eastAsia="仿宋_GB2312" w:cs="宋体"/>
                <w:b/>
                <w:kern w:val="0"/>
                <w:sz w:val="24"/>
                <w:szCs w:val="21"/>
              </w:rPr>
              <w:t>级别</w:t>
            </w:r>
          </w:p>
        </w:tc>
        <w:tc>
          <w:tcPr>
            <w:tcW w:w="468" w:type="dxa"/>
            <w:vAlign w:val="center"/>
          </w:tcPr>
          <w:p w14:paraId="5673841A">
            <w:pPr>
              <w:spacing w:line="480" w:lineRule="exact"/>
              <w:jc w:val="center"/>
              <w:rPr>
                <w:rFonts w:ascii="仿宋_GB2312" w:hAnsi="宋体" w:eastAsia="仿宋_GB2312" w:cs="宋体"/>
                <w:b/>
                <w:kern w:val="0"/>
                <w:sz w:val="24"/>
                <w:szCs w:val="21"/>
              </w:rPr>
            </w:pPr>
            <w:r>
              <w:rPr>
                <w:rFonts w:hint="eastAsia" w:ascii="仿宋_GB2312" w:hAnsi="宋体" w:eastAsia="仿宋_GB2312" w:cs="宋体"/>
                <w:b/>
                <w:kern w:val="0"/>
                <w:sz w:val="24"/>
                <w:szCs w:val="21"/>
              </w:rPr>
              <w:t>预警</w:t>
            </w:r>
          </w:p>
          <w:p w14:paraId="27932724">
            <w:pPr>
              <w:spacing w:line="480" w:lineRule="exact"/>
              <w:jc w:val="center"/>
              <w:rPr>
                <w:rFonts w:ascii="仿宋_GB2312" w:hAnsi="宋体" w:eastAsia="仿宋_GB2312" w:cs="宋体"/>
                <w:b/>
                <w:kern w:val="0"/>
                <w:sz w:val="24"/>
                <w:szCs w:val="21"/>
              </w:rPr>
            </w:pPr>
            <w:r>
              <w:rPr>
                <w:rFonts w:hint="eastAsia" w:ascii="仿宋_GB2312" w:hAnsi="宋体" w:eastAsia="仿宋_GB2312" w:cs="宋体"/>
                <w:b/>
                <w:kern w:val="0"/>
                <w:sz w:val="24"/>
                <w:szCs w:val="21"/>
              </w:rPr>
              <w:t>颜色</w:t>
            </w:r>
          </w:p>
        </w:tc>
        <w:tc>
          <w:tcPr>
            <w:tcW w:w="7547" w:type="dxa"/>
            <w:vAlign w:val="center"/>
          </w:tcPr>
          <w:p w14:paraId="6D5E1C91">
            <w:pPr>
              <w:spacing w:line="480" w:lineRule="exact"/>
              <w:jc w:val="center"/>
              <w:rPr>
                <w:rFonts w:ascii="仿宋_GB2312" w:hAnsi="宋体" w:eastAsia="仿宋_GB2312" w:cs="宋体"/>
                <w:b/>
                <w:kern w:val="0"/>
                <w:sz w:val="24"/>
                <w:szCs w:val="21"/>
              </w:rPr>
            </w:pPr>
            <w:r>
              <w:rPr>
                <w:rFonts w:hint="eastAsia" w:ascii="仿宋_GB2312" w:hAnsi="宋体" w:eastAsia="仿宋_GB2312" w:cs="宋体"/>
                <w:b/>
                <w:kern w:val="0"/>
                <w:sz w:val="24"/>
                <w:szCs w:val="21"/>
              </w:rPr>
              <w:t>预警信号发布标准</w:t>
            </w:r>
          </w:p>
        </w:tc>
      </w:tr>
      <w:tr w14:paraId="0FF4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restart"/>
            <w:vAlign w:val="center"/>
          </w:tcPr>
          <w:p w14:paraId="5B03F7E5">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风暴潮</w:t>
            </w:r>
          </w:p>
        </w:tc>
        <w:tc>
          <w:tcPr>
            <w:tcW w:w="469" w:type="dxa"/>
            <w:vAlign w:val="center"/>
          </w:tcPr>
          <w:p w14:paraId="6BFB977E">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Ⅳ级</w:t>
            </w:r>
          </w:p>
        </w:tc>
        <w:tc>
          <w:tcPr>
            <w:tcW w:w="468" w:type="dxa"/>
            <w:vAlign w:val="center"/>
          </w:tcPr>
          <w:p w14:paraId="33D65BAC">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蓝</w:t>
            </w:r>
          </w:p>
        </w:tc>
        <w:tc>
          <w:tcPr>
            <w:tcW w:w="7547" w:type="dxa"/>
            <w:vAlign w:val="center"/>
          </w:tcPr>
          <w:p w14:paraId="3E2A25F5">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受热带气旋或温带天气系统影响，预计未来受影响区域内有一个或一个以上具有代表性的验潮站的高潮位达到蓝色警戒潮位；预计未来24小时内热带气旋将登陆我市沿海地区，或热带气旋中心位置在离岸100公里以内，即使受影响区域内具有代表性的验潮站的高潮位低于蓝色警戒潮位，也应该发布风暴潮灾害蓝色警报。</w:t>
            </w:r>
          </w:p>
        </w:tc>
      </w:tr>
      <w:tr w14:paraId="42A1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630B0A8B">
            <w:pPr>
              <w:spacing w:line="480" w:lineRule="exact"/>
              <w:rPr>
                <w:rFonts w:ascii="仿宋_GB2312" w:hAnsi="宋体" w:eastAsia="仿宋_GB2312" w:cs="宋体"/>
                <w:kern w:val="0"/>
                <w:szCs w:val="21"/>
              </w:rPr>
            </w:pPr>
          </w:p>
        </w:tc>
        <w:tc>
          <w:tcPr>
            <w:tcW w:w="469" w:type="dxa"/>
            <w:vAlign w:val="center"/>
          </w:tcPr>
          <w:p w14:paraId="006031D9">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Ⅲ级</w:t>
            </w:r>
          </w:p>
        </w:tc>
        <w:tc>
          <w:tcPr>
            <w:tcW w:w="468" w:type="dxa"/>
            <w:vAlign w:val="center"/>
          </w:tcPr>
          <w:p w14:paraId="0BEBAFC7">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黄</w:t>
            </w:r>
          </w:p>
        </w:tc>
        <w:tc>
          <w:tcPr>
            <w:tcW w:w="7547" w:type="dxa"/>
            <w:vAlign w:val="center"/>
          </w:tcPr>
          <w:p w14:paraId="3B31EEE3">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受热带气旋或温带天气系统影响，预计未来受影响区域内有一个或一个以上具有代表性的验潮站的高潮位达到黄色警戒潮位。</w:t>
            </w:r>
          </w:p>
        </w:tc>
      </w:tr>
      <w:tr w14:paraId="548FD413">
        <w:tblPrEx>
          <w:tblCellMar>
            <w:top w:w="0" w:type="dxa"/>
            <w:left w:w="108" w:type="dxa"/>
            <w:bottom w:w="0" w:type="dxa"/>
            <w:right w:w="108" w:type="dxa"/>
          </w:tblCellMar>
        </w:tblPrEx>
        <w:tc>
          <w:tcPr>
            <w:tcW w:w="576" w:type="dxa"/>
            <w:vMerge w:val="continue"/>
            <w:vAlign w:val="center"/>
          </w:tcPr>
          <w:p w14:paraId="4BBA35FD">
            <w:pPr>
              <w:spacing w:line="480" w:lineRule="exact"/>
              <w:rPr>
                <w:rFonts w:ascii="仿宋_GB2312" w:hAnsi="宋体" w:eastAsia="仿宋_GB2312" w:cs="宋体"/>
                <w:kern w:val="0"/>
                <w:szCs w:val="21"/>
              </w:rPr>
            </w:pPr>
          </w:p>
        </w:tc>
        <w:tc>
          <w:tcPr>
            <w:tcW w:w="469" w:type="dxa"/>
            <w:vAlign w:val="center"/>
          </w:tcPr>
          <w:p w14:paraId="1845DA8F">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Ⅱ级</w:t>
            </w:r>
          </w:p>
        </w:tc>
        <w:tc>
          <w:tcPr>
            <w:tcW w:w="468" w:type="dxa"/>
            <w:vAlign w:val="center"/>
          </w:tcPr>
          <w:p w14:paraId="059664E7">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橙</w:t>
            </w:r>
          </w:p>
        </w:tc>
        <w:tc>
          <w:tcPr>
            <w:tcW w:w="7547" w:type="dxa"/>
            <w:vAlign w:val="center"/>
          </w:tcPr>
          <w:p w14:paraId="0D91F362">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受热带气旋或温带天气系统影响，预计未来受影响区域内有一个或一个以上具有代表性的验潮站的高潮位达到橙色警戒潮位。</w:t>
            </w:r>
          </w:p>
        </w:tc>
      </w:tr>
      <w:tr w14:paraId="4156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5709DA34">
            <w:pPr>
              <w:spacing w:line="480" w:lineRule="exact"/>
              <w:rPr>
                <w:rFonts w:ascii="仿宋_GB2312" w:hAnsi="宋体" w:eastAsia="仿宋_GB2312" w:cs="宋体"/>
                <w:kern w:val="0"/>
                <w:szCs w:val="21"/>
              </w:rPr>
            </w:pPr>
          </w:p>
        </w:tc>
        <w:tc>
          <w:tcPr>
            <w:tcW w:w="469" w:type="dxa"/>
            <w:vAlign w:val="center"/>
          </w:tcPr>
          <w:p w14:paraId="7206EA89">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Ⅰ级</w:t>
            </w:r>
          </w:p>
        </w:tc>
        <w:tc>
          <w:tcPr>
            <w:tcW w:w="468" w:type="dxa"/>
            <w:vAlign w:val="center"/>
          </w:tcPr>
          <w:p w14:paraId="5E94FFEA">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红</w:t>
            </w:r>
          </w:p>
        </w:tc>
        <w:tc>
          <w:tcPr>
            <w:tcW w:w="7547" w:type="dxa"/>
            <w:vAlign w:val="center"/>
          </w:tcPr>
          <w:p w14:paraId="1E35C250">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受热带气旋或温带天气系统影响，预计未来受影响区域内有一个或一个以上具有代表性的验潮站的高潮位达到红色警戒潮位。</w:t>
            </w:r>
          </w:p>
        </w:tc>
      </w:tr>
      <w:tr w14:paraId="3F76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76" w:type="dxa"/>
            <w:vMerge w:val="restart"/>
            <w:vAlign w:val="center"/>
          </w:tcPr>
          <w:p w14:paraId="242DB1D9">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海浪</w:t>
            </w:r>
          </w:p>
        </w:tc>
        <w:tc>
          <w:tcPr>
            <w:tcW w:w="469" w:type="dxa"/>
            <w:vAlign w:val="center"/>
          </w:tcPr>
          <w:p w14:paraId="555B8F88">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Ⅳ级</w:t>
            </w:r>
          </w:p>
        </w:tc>
        <w:tc>
          <w:tcPr>
            <w:tcW w:w="468" w:type="dxa"/>
            <w:vAlign w:val="center"/>
          </w:tcPr>
          <w:p w14:paraId="057F4B85">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蓝</w:t>
            </w:r>
          </w:p>
        </w:tc>
        <w:tc>
          <w:tcPr>
            <w:tcW w:w="7547" w:type="dxa"/>
            <w:vAlign w:val="center"/>
          </w:tcPr>
          <w:p w14:paraId="098C4026">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受热带气旋或温带天气系统影响，预计未来24小时受影响近岸海域出现2.5m-3.5m（不含）有效波高时，应发布海浪蓝色警报。</w:t>
            </w:r>
          </w:p>
        </w:tc>
      </w:tr>
      <w:tr w14:paraId="72C4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1BFFFD62">
            <w:pPr>
              <w:spacing w:line="480" w:lineRule="exact"/>
              <w:rPr>
                <w:rFonts w:ascii="仿宋_GB2312" w:hAnsi="宋体" w:eastAsia="仿宋_GB2312" w:cs="宋体"/>
                <w:kern w:val="0"/>
                <w:szCs w:val="21"/>
              </w:rPr>
            </w:pPr>
          </w:p>
        </w:tc>
        <w:tc>
          <w:tcPr>
            <w:tcW w:w="469" w:type="dxa"/>
            <w:vAlign w:val="center"/>
          </w:tcPr>
          <w:p w14:paraId="7752CC3C">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Ⅲ级</w:t>
            </w:r>
          </w:p>
        </w:tc>
        <w:tc>
          <w:tcPr>
            <w:tcW w:w="468" w:type="dxa"/>
            <w:vAlign w:val="center"/>
          </w:tcPr>
          <w:p w14:paraId="26E06B1D">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黄</w:t>
            </w:r>
          </w:p>
        </w:tc>
        <w:tc>
          <w:tcPr>
            <w:tcW w:w="7547" w:type="dxa"/>
            <w:vAlign w:val="center"/>
          </w:tcPr>
          <w:p w14:paraId="7A0A6C72">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受热带气旋或温带天气系统影响，预计未来24小时受影响近岸海域出现3.5m-4.5m（不含）有效波高，或者近海预报海域出现6.0m-9.0m（不含）有效波高时，应发布海浪黄色警报。</w:t>
            </w:r>
          </w:p>
        </w:tc>
      </w:tr>
      <w:tr w14:paraId="4D6D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574B8F3F">
            <w:pPr>
              <w:spacing w:line="480" w:lineRule="exact"/>
              <w:rPr>
                <w:rFonts w:ascii="仿宋_GB2312" w:hAnsi="宋体" w:eastAsia="仿宋_GB2312" w:cs="宋体"/>
                <w:kern w:val="0"/>
                <w:szCs w:val="21"/>
              </w:rPr>
            </w:pPr>
          </w:p>
        </w:tc>
        <w:tc>
          <w:tcPr>
            <w:tcW w:w="469" w:type="dxa"/>
            <w:vAlign w:val="center"/>
          </w:tcPr>
          <w:p w14:paraId="74EF8D66">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Ⅱ级</w:t>
            </w:r>
          </w:p>
        </w:tc>
        <w:tc>
          <w:tcPr>
            <w:tcW w:w="468" w:type="dxa"/>
            <w:vAlign w:val="center"/>
          </w:tcPr>
          <w:p w14:paraId="6D050551">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橙</w:t>
            </w:r>
          </w:p>
        </w:tc>
        <w:tc>
          <w:tcPr>
            <w:tcW w:w="7547" w:type="dxa"/>
            <w:vAlign w:val="center"/>
          </w:tcPr>
          <w:p w14:paraId="1CA7214A">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受热带气旋或温带天气系统影响，预计未来24小时受影响近岸海域出现4.5m-6.0m（不含）有效波高，或者近海预报海域出现9.0m-14.0m（不含）有效波高时，应发布海浪橙色警报。</w:t>
            </w:r>
          </w:p>
        </w:tc>
      </w:tr>
      <w:tr w14:paraId="638F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0CAF5416">
            <w:pPr>
              <w:spacing w:line="480" w:lineRule="exact"/>
              <w:rPr>
                <w:rFonts w:ascii="仿宋_GB2312" w:hAnsi="宋体" w:eastAsia="仿宋_GB2312" w:cs="宋体"/>
                <w:kern w:val="0"/>
                <w:szCs w:val="21"/>
              </w:rPr>
            </w:pPr>
          </w:p>
        </w:tc>
        <w:tc>
          <w:tcPr>
            <w:tcW w:w="469" w:type="dxa"/>
            <w:vAlign w:val="center"/>
          </w:tcPr>
          <w:p w14:paraId="36EC40C7">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Ⅰ级</w:t>
            </w:r>
          </w:p>
        </w:tc>
        <w:tc>
          <w:tcPr>
            <w:tcW w:w="468" w:type="dxa"/>
            <w:vAlign w:val="center"/>
          </w:tcPr>
          <w:p w14:paraId="07928E67">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红</w:t>
            </w:r>
          </w:p>
        </w:tc>
        <w:tc>
          <w:tcPr>
            <w:tcW w:w="7547" w:type="dxa"/>
            <w:vAlign w:val="center"/>
          </w:tcPr>
          <w:p w14:paraId="161E175D">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受热带气旋或温带天气系统影响，预未来24小时受影响近岸海域出现达到或超过6.0m有效波高，或者近海预报海域出现达到或超过14.0m有效波高时，应发布海浪红色警报。</w:t>
            </w:r>
          </w:p>
        </w:tc>
      </w:tr>
      <w:tr w14:paraId="2DF7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6" w:type="dxa"/>
            <w:vMerge w:val="restart"/>
            <w:vAlign w:val="center"/>
          </w:tcPr>
          <w:p w14:paraId="0CFA31EE">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海冰</w:t>
            </w:r>
          </w:p>
        </w:tc>
        <w:tc>
          <w:tcPr>
            <w:tcW w:w="469" w:type="dxa"/>
            <w:vAlign w:val="center"/>
          </w:tcPr>
          <w:p w14:paraId="1402BEB0">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Ⅳ级</w:t>
            </w:r>
          </w:p>
        </w:tc>
        <w:tc>
          <w:tcPr>
            <w:tcW w:w="468" w:type="dxa"/>
            <w:vAlign w:val="center"/>
          </w:tcPr>
          <w:p w14:paraId="18AD9259">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蓝</w:t>
            </w:r>
          </w:p>
        </w:tc>
        <w:tc>
          <w:tcPr>
            <w:tcW w:w="7547" w:type="dxa"/>
            <w:vAlign w:val="center"/>
          </w:tcPr>
          <w:p w14:paraId="28118893">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我市邻近海域浮冰范围达到25海里，且冰量8成以上，预计海冰冰情将持续增长。</w:t>
            </w:r>
          </w:p>
        </w:tc>
      </w:tr>
      <w:tr w14:paraId="19E3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6" w:type="dxa"/>
            <w:vMerge w:val="continue"/>
            <w:vAlign w:val="center"/>
          </w:tcPr>
          <w:p w14:paraId="6FE8745D">
            <w:pPr>
              <w:spacing w:line="480" w:lineRule="exact"/>
              <w:rPr>
                <w:rFonts w:ascii="仿宋_GB2312" w:hAnsi="宋体" w:eastAsia="仿宋_GB2312" w:cs="宋体"/>
                <w:kern w:val="0"/>
                <w:szCs w:val="21"/>
              </w:rPr>
            </w:pPr>
          </w:p>
        </w:tc>
        <w:tc>
          <w:tcPr>
            <w:tcW w:w="469" w:type="dxa"/>
            <w:vAlign w:val="center"/>
          </w:tcPr>
          <w:p w14:paraId="2A940F11">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Ⅲ级</w:t>
            </w:r>
          </w:p>
        </w:tc>
        <w:tc>
          <w:tcPr>
            <w:tcW w:w="468" w:type="dxa"/>
            <w:vAlign w:val="center"/>
          </w:tcPr>
          <w:p w14:paraId="45086D48">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黄</w:t>
            </w:r>
          </w:p>
        </w:tc>
        <w:tc>
          <w:tcPr>
            <w:tcW w:w="7547" w:type="dxa"/>
            <w:vAlign w:val="center"/>
          </w:tcPr>
          <w:p w14:paraId="592A4C09">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我市邻近海域浮冰范围达到35海里，且冰量8成以上，预计海冰冰情将持续增长。</w:t>
            </w:r>
          </w:p>
        </w:tc>
      </w:tr>
      <w:tr w14:paraId="4BFD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trPr>
        <w:tc>
          <w:tcPr>
            <w:tcW w:w="576" w:type="dxa"/>
            <w:vMerge w:val="continue"/>
            <w:vAlign w:val="center"/>
          </w:tcPr>
          <w:p w14:paraId="6B833FBB">
            <w:pPr>
              <w:spacing w:line="480" w:lineRule="exact"/>
              <w:rPr>
                <w:rFonts w:ascii="仿宋_GB2312" w:hAnsi="宋体" w:eastAsia="仿宋_GB2312" w:cs="宋体"/>
                <w:kern w:val="0"/>
                <w:szCs w:val="21"/>
              </w:rPr>
            </w:pPr>
          </w:p>
        </w:tc>
        <w:tc>
          <w:tcPr>
            <w:tcW w:w="469" w:type="dxa"/>
            <w:vAlign w:val="center"/>
          </w:tcPr>
          <w:p w14:paraId="784BD917">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Ⅱ级</w:t>
            </w:r>
          </w:p>
        </w:tc>
        <w:tc>
          <w:tcPr>
            <w:tcW w:w="468" w:type="dxa"/>
            <w:vAlign w:val="center"/>
          </w:tcPr>
          <w:p w14:paraId="0FCB0B61">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橙</w:t>
            </w:r>
          </w:p>
        </w:tc>
        <w:tc>
          <w:tcPr>
            <w:tcW w:w="7547" w:type="dxa"/>
            <w:vAlign w:val="center"/>
          </w:tcPr>
          <w:p w14:paraId="664EC6F0">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我市邻近海域浮冰范围达到40海里，且冰量8成以上，预计海冰冰情将持续增长。</w:t>
            </w:r>
          </w:p>
        </w:tc>
      </w:tr>
      <w:tr w14:paraId="6B56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6" w:type="dxa"/>
            <w:vMerge w:val="continue"/>
            <w:tcBorders>
              <w:top w:val="single" w:color="auto" w:sz="4" w:space="0"/>
            </w:tcBorders>
            <w:vAlign w:val="center"/>
          </w:tcPr>
          <w:p w14:paraId="009E038E">
            <w:pPr>
              <w:spacing w:line="480" w:lineRule="exact"/>
              <w:rPr>
                <w:rFonts w:ascii="仿宋_GB2312" w:hAnsi="宋体" w:eastAsia="仿宋_GB2312" w:cs="宋体"/>
                <w:kern w:val="0"/>
                <w:szCs w:val="21"/>
              </w:rPr>
            </w:pPr>
          </w:p>
        </w:tc>
        <w:tc>
          <w:tcPr>
            <w:tcW w:w="469" w:type="dxa"/>
            <w:tcBorders>
              <w:top w:val="single" w:color="auto" w:sz="4" w:space="0"/>
            </w:tcBorders>
            <w:vAlign w:val="center"/>
          </w:tcPr>
          <w:p w14:paraId="7E720E3B">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Ⅰ级</w:t>
            </w:r>
          </w:p>
        </w:tc>
        <w:tc>
          <w:tcPr>
            <w:tcW w:w="468" w:type="dxa"/>
            <w:tcBorders>
              <w:top w:val="nil"/>
            </w:tcBorders>
            <w:vAlign w:val="center"/>
          </w:tcPr>
          <w:p w14:paraId="3D83CD4C">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红</w:t>
            </w:r>
          </w:p>
        </w:tc>
        <w:tc>
          <w:tcPr>
            <w:tcW w:w="7547" w:type="dxa"/>
            <w:tcBorders>
              <w:top w:val="nil"/>
            </w:tcBorders>
            <w:vAlign w:val="center"/>
          </w:tcPr>
          <w:p w14:paraId="4F48F846">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我市邻近海域浮冰范围达到45海里，且冰量8成以上，预计海冰冰情将持续增长。</w:t>
            </w:r>
          </w:p>
        </w:tc>
      </w:tr>
      <w:tr w14:paraId="4065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6" w:type="dxa"/>
            <w:vMerge w:val="restart"/>
            <w:vAlign w:val="center"/>
          </w:tcPr>
          <w:p w14:paraId="7D622115">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海啸</w:t>
            </w:r>
          </w:p>
        </w:tc>
        <w:tc>
          <w:tcPr>
            <w:tcW w:w="469" w:type="dxa"/>
            <w:vAlign w:val="center"/>
          </w:tcPr>
          <w:p w14:paraId="4914B408">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Ⅳ级</w:t>
            </w:r>
          </w:p>
        </w:tc>
        <w:tc>
          <w:tcPr>
            <w:tcW w:w="468" w:type="dxa"/>
            <w:vAlign w:val="center"/>
          </w:tcPr>
          <w:p w14:paraId="0657F105">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蓝</w:t>
            </w:r>
          </w:p>
        </w:tc>
        <w:tc>
          <w:tcPr>
            <w:tcW w:w="7547" w:type="dxa"/>
            <w:vAlign w:val="center"/>
          </w:tcPr>
          <w:p w14:paraId="6163E04B">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受地震或其他因素影响，预计海啸波将在我市沿岸产生0.3米以下的海啸波幅。</w:t>
            </w:r>
          </w:p>
        </w:tc>
      </w:tr>
      <w:tr w14:paraId="3DB9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6" w:type="dxa"/>
            <w:vMerge w:val="continue"/>
            <w:vAlign w:val="center"/>
          </w:tcPr>
          <w:p w14:paraId="42299395">
            <w:pPr>
              <w:spacing w:line="480" w:lineRule="exact"/>
              <w:rPr>
                <w:rFonts w:ascii="仿宋_GB2312" w:hAnsi="宋体" w:eastAsia="仿宋_GB2312" w:cs="宋体"/>
                <w:kern w:val="0"/>
                <w:szCs w:val="21"/>
              </w:rPr>
            </w:pPr>
          </w:p>
        </w:tc>
        <w:tc>
          <w:tcPr>
            <w:tcW w:w="469" w:type="dxa"/>
            <w:vAlign w:val="center"/>
          </w:tcPr>
          <w:p w14:paraId="526C767A">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Ⅲ级</w:t>
            </w:r>
          </w:p>
        </w:tc>
        <w:tc>
          <w:tcPr>
            <w:tcW w:w="468" w:type="dxa"/>
            <w:vAlign w:val="center"/>
          </w:tcPr>
          <w:p w14:paraId="6F7C438D">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黄</w:t>
            </w:r>
          </w:p>
        </w:tc>
        <w:tc>
          <w:tcPr>
            <w:tcW w:w="7547" w:type="dxa"/>
            <w:vAlign w:val="center"/>
          </w:tcPr>
          <w:p w14:paraId="6E224890">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受地震或其他因素影响，预计海啸波将在我市沿岸产生0.3米以上、1米以下的海啸波幅。</w:t>
            </w:r>
          </w:p>
        </w:tc>
      </w:tr>
      <w:tr w14:paraId="3E2E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6" w:type="dxa"/>
            <w:vMerge w:val="continue"/>
            <w:vAlign w:val="center"/>
          </w:tcPr>
          <w:p w14:paraId="659158F3">
            <w:pPr>
              <w:spacing w:line="480" w:lineRule="exact"/>
              <w:rPr>
                <w:rFonts w:ascii="仿宋_GB2312" w:hAnsi="宋体" w:eastAsia="仿宋_GB2312" w:cs="宋体"/>
                <w:kern w:val="0"/>
                <w:szCs w:val="21"/>
              </w:rPr>
            </w:pPr>
          </w:p>
        </w:tc>
        <w:tc>
          <w:tcPr>
            <w:tcW w:w="469" w:type="dxa"/>
            <w:vAlign w:val="center"/>
          </w:tcPr>
          <w:p w14:paraId="22BC4F57">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Ⅱ级</w:t>
            </w:r>
          </w:p>
        </w:tc>
        <w:tc>
          <w:tcPr>
            <w:tcW w:w="468" w:type="dxa"/>
            <w:vAlign w:val="center"/>
          </w:tcPr>
          <w:p w14:paraId="4BAF5CA7">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橙</w:t>
            </w:r>
          </w:p>
        </w:tc>
        <w:tc>
          <w:tcPr>
            <w:tcW w:w="7547" w:type="dxa"/>
            <w:vAlign w:val="center"/>
          </w:tcPr>
          <w:p w14:paraId="0B8A82B6">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受地震或其他因素影响，预计海啸波将在我市沿岸产生1米以上、3米以下的海啸波幅。</w:t>
            </w:r>
          </w:p>
        </w:tc>
      </w:tr>
      <w:tr w14:paraId="3EE0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6" w:type="dxa"/>
            <w:vMerge w:val="continue"/>
            <w:vAlign w:val="center"/>
          </w:tcPr>
          <w:p w14:paraId="69D3B40C">
            <w:pPr>
              <w:spacing w:line="480" w:lineRule="exact"/>
              <w:rPr>
                <w:rFonts w:ascii="仿宋_GB2312" w:hAnsi="宋体" w:eastAsia="仿宋_GB2312" w:cs="宋体"/>
                <w:kern w:val="0"/>
                <w:szCs w:val="21"/>
              </w:rPr>
            </w:pPr>
          </w:p>
        </w:tc>
        <w:tc>
          <w:tcPr>
            <w:tcW w:w="469" w:type="dxa"/>
            <w:vAlign w:val="center"/>
          </w:tcPr>
          <w:p w14:paraId="244FF04A">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Ⅰ级</w:t>
            </w:r>
          </w:p>
        </w:tc>
        <w:tc>
          <w:tcPr>
            <w:tcW w:w="468" w:type="dxa"/>
            <w:vAlign w:val="center"/>
          </w:tcPr>
          <w:p w14:paraId="7E373B2B">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红</w:t>
            </w:r>
          </w:p>
        </w:tc>
        <w:tc>
          <w:tcPr>
            <w:tcW w:w="7547" w:type="dxa"/>
            <w:vAlign w:val="center"/>
          </w:tcPr>
          <w:p w14:paraId="2EE45FDD">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受地震或其他因素影响，预计海啸波将在我市沿岸产生3米以上的海啸波幅。</w:t>
            </w:r>
          </w:p>
        </w:tc>
      </w:tr>
      <w:tr w14:paraId="3BCB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76" w:type="dxa"/>
            <w:vMerge w:val="restart"/>
            <w:vAlign w:val="center"/>
          </w:tcPr>
          <w:p w14:paraId="17D016A2">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绿潮</w:t>
            </w:r>
          </w:p>
        </w:tc>
        <w:tc>
          <w:tcPr>
            <w:tcW w:w="469" w:type="dxa"/>
            <w:vAlign w:val="center"/>
          </w:tcPr>
          <w:p w14:paraId="131F54F4">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Ⅳ级</w:t>
            </w:r>
          </w:p>
        </w:tc>
        <w:tc>
          <w:tcPr>
            <w:tcW w:w="468" w:type="dxa"/>
            <w:vAlign w:val="center"/>
          </w:tcPr>
          <w:p w14:paraId="2BABD7A3">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蓝</w:t>
            </w:r>
          </w:p>
        </w:tc>
        <w:tc>
          <w:tcPr>
            <w:tcW w:w="7547" w:type="dxa"/>
            <w:vAlign w:val="center"/>
          </w:tcPr>
          <w:p w14:paraId="70BB7373">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近岸海域出现海洋绿潮聚集现象，海洋绿潮分布面积达到1000平方公里以上、2000平方公里以下，或者实际覆盖面积达到100平方公里以上、200平方公里以下，预计未来10天内将进入我市责任海域。</w:t>
            </w:r>
          </w:p>
        </w:tc>
      </w:tr>
      <w:tr w14:paraId="07E3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76" w:type="dxa"/>
            <w:vMerge w:val="continue"/>
            <w:vAlign w:val="center"/>
          </w:tcPr>
          <w:p w14:paraId="09BA821E">
            <w:pPr>
              <w:spacing w:line="480" w:lineRule="exact"/>
              <w:rPr>
                <w:rFonts w:ascii="仿宋_GB2312" w:hAnsi="宋体" w:eastAsia="仿宋_GB2312" w:cs="宋体"/>
                <w:kern w:val="0"/>
                <w:szCs w:val="21"/>
              </w:rPr>
            </w:pPr>
          </w:p>
        </w:tc>
        <w:tc>
          <w:tcPr>
            <w:tcW w:w="469" w:type="dxa"/>
            <w:vAlign w:val="center"/>
          </w:tcPr>
          <w:p w14:paraId="28FB84B1">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Ⅲ级</w:t>
            </w:r>
          </w:p>
        </w:tc>
        <w:tc>
          <w:tcPr>
            <w:tcW w:w="468" w:type="dxa"/>
            <w:vAlign w:val="center"/>
          </w:tcPr>
          <w:p w14:paraId="7255D516">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黄</w:t>
            </w:r>
          </w:p>
        </w:tc>
        <w:tc>
          <w:tcPr>
            <w:tcW w:w="7547" w:type="dxa"/>
            <w:vAlign w:val="center"/>
          </w:tcPr>
          <w:p w14:paraId="7E686FA8">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近岸海域海洋绿潮分布面积达到2000平方公里以上、5000平方公里以下，或者实际覆盖面积达到200平方公里以上、300平方公里以下，预计未来7天内将进入我市责任海域。</w:t>
            </w:r>
          </w:p>
        </w:tc>
      </w:tr>
      <w:tr w14:paraId="6322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76" w:type="dxa"/>
            <w:vMerge w:val="continue"/>
            <w:vAlign w:val="center"/>
          </w:tcPr>
          <w:p w14:paraId="736A3AF5">
            <w:pPr>
              <w:spacing w:line="480" w:lineRule="exact"/>
              <w:rPr>
                <w:rFonts w:ascii="仿宋_GB2312" w:hAnsi="宋体" w:eastAsia="仿宋_GB2312" w:cs="宋体"/>
                <w:kern w:val="0"/>
                <w:szCs w:val="21"/>
              </w:rPr>
            </w:pPr>
          </w:p>
        </w:tc>
        <w:tc>
          <w:tcPr>
            <w:tcW w:w="469" w:type="dxa"/>
            <w:vAlign w:val="center"/>
          </w:tcPr>
          <w:p w14:paraId="66DEE480">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Ⅱ级</w:t>
            </w:r>
          </w:p>
        </w:tc>
        <w:tc>
          <w:tcPr>
            <w:tcW w:w="468" w:type="dxa"/>
            <w:vAlign w:val="center"/>
          </w:tcPr>
          <w:p w14:paraId="25ADFA6A">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橙</w:t>
            </w:r>
          </w:p>
        </w:tc>
        <w:tc>
          <w:tcPr>
            <w:tcW w:w="7547" w:type="dxa"/>
            <w:vAlign w:val="center"/>
          </w:tcPr>
          <w:p w14:paraId="5AC45604">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近岸海域海洋绿潮分布面积达到5000平方公里以上、10000平方公里以下，或者实际覆盖面积达到300平方公里以上、500平方公里以下，预计未来5天内将进入我市责任海域。</w:t>
            </w:r>
          </w:p>
        </w:tc>
      </w:tr>
      <w:tr w14:paraId="28B7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576" w:type="dxa"/>
            <w:vMerge w:val="continue"/>
            <w:vAlign w:val="center"/>
          </w:tcPr>
          <w:p w14:paraId="7ACECF6B">
            <w:pPr>
              <w:spacing w:line="480" w:lineRule="exact"/>
              <w:rPr>
                <w:rFonts w:ascii="仿宋_GB2312" w:hAnsi="宋体" w:eastAsia="仿宋_GB2312" w:cs="宋体"/>
                <w:kern w:val="0"/>
                <w:szCs w:val="21"/>
              </w:rPr>
            </w:pPr>
          </w:p>
        </w:tc>
        <w:tc>
          <w:tcPr>
            <w:tcW w:w="469" w:type="dxa"/>
            <w:vAlign w:val="center"/>
          </w:tcPr>
          <w:p w14:paraId="7F3A3BDD">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Ⅰ级</w:t>
            </w:r>
          </w:p>
        </w:tc>
        <w:tc>
          <w:tcPr>
            <w:tcW w:w="468" w:type="dxa"/>
            <w:vAlign w:val="center"/>
          </w:tcPr>
          <w:p w14:paraId="44924D80">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红</w:t>
            </w:r>
          </w:p>
        </w:tc>
        <w:tc>
          <w:tcPr>
            <w:tcW w:w="7547" w:type="dxa"/>
            <w:vAlign w:val="center"/>
          </w:tcPr>
          <w:p w14:paraId="76D6BBD2">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近岸海域海洋绿潮分布面积达到10000平方公里以上，或者实际覆盖面积达到500平方公里以上，预计24小时内将进入我市责任海域。</w:t>
            </w:r>
          </w:p>
        </w:tc>
      </w:tr>
      <w:tr w14:paraId="6F41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restart"/>
            <w:vAlign w:val="center"/>
          </w:tcPr>
          <w:p w14:paraId="2DC42543">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赤潮</w:t>
            </w:r>
          </w:p>
        </w:tc>
        <w:tc>
          <w:tcPr>
            <w:tcW w:w="469" w:type="dxa"/>
            <w:vAlign w:val="center"/>
          </w:tcPr>
          <w:p w14:paraId="5D9E5295">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Ⅳ级</w:t>
            </w:r>
          </w:p>
        </w:tc>
        <w:tc>
          <w:tcPr>
            <w:tcW w:w="468" w:type="dxa"/>
            <w:vAlign w:val="center"/>
          </w:tcPr>
          <w:p w14:paraId="2C265440">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蓝</w:t>
            </w:r>
          </w:p>
        </w:tc>
        <w:tc>
          <w:tcPr>
            <w:tcW w:w="7547" w:type="dxa"/>
            <w:vAlign w:val="center"/>
          </w:tcPr>
          <w:p w14:paraId="6F11945E">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灾害严重程度和影响范围小于Ⅲ级，但造成了一定的损失和影响。</w:t>
            </w:r>
          </w:p>
        </w:tc>
      </w:tr>
      <w:tr w14:paraId="509928C9">
        <w:tblPrEx>
          <w:tblCellMar>
            <w:top w:w="0" w:type="dxa"/>
            <w:left w:w="108" w:type="dxa"/>
            <w:bottom w:w="0" w:type="dxa"/>
            <w:right w:w="108" w:type="dxa"/>
          </w:tblCellMar>
        </w:tblPrEx>
        <w:trPr>
          <w:trHeight w:val="2098" w:hRule="exact"/>
        </w:trPr>
        <w:tc>
          <w:tcPr>
            <w:tcW w:w="576" w:type="dxa"/>
            <w:vMerge w:val="continue"/>
            <w:vAlign w:val="center"/>
          </w:tcPr>
          <w:p w14:paraId="2A92922C">
            <w:pPr>
              <w:spacing w:line="480" w:lineRule="exact"/>
              <w:rPr>
                <w:rFonts w:ascii="仿宋_GB2312" w:hAnsi="宋体" w:eastAsia="仿宋_GB2312" w:cs="宋体"/>
                <w:kern w:val="0"/>
                <w:szCs w:val="21"/>
              </w:rPr>
            </w:pPr>
          </w:p>
        </w:tc>
        <w:tc>
          <w:tcPr>
            <w:tcW w:w="469" w:type="dxa"/>
            <w:vAlign w:val="center"/>
          </w:tcPr>
          <w:p w14:paraId="602790E8">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Ⅲ级</w:t>
            </w:r>
          </w:p>
        </w:tc>
        <w:tc>
          <w:tcPr>
            <w:tcW w:w="468" w:type="dxa"/>
            <w:vAlign w:val="center"/>
          </w:tcPr>
          <w:p w14:paraId="51CFB606">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黄</w:t>
            </w:r>
          </w:p>
        </w:tc>
        <w:tc>
          <w:tcPr>
            <w:tcW w:w="7547" w:type="dxa"/>
            <w:vAlign w:val="center"/>
          </w:tcPr>
          <w:p w14:paraId="31A9FCAC">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发生无毒赤潮面积1000平方公里以上、3000平方公里以下，或有毒赤潮面积500平方公里以上、1000平方公里以下；因食用受赤潮污染的海产品或接触到赤潮海水，出现身体严重不适的病例报告10个以上、50个以下或死亡人数5人以下。</w:t>
            </w:r>
          </w:p>
        </w:tc>
      </w:tr>
      <w:tr w14:paraId="1877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exact"/>
        </w:trPr>
        <w:tc>
          <w:tcPr>
            <w:tcW w:w="576" w:type="dxa"/>
            <w:vMerge w:val="continue"/>
            <w:vAlign w:val="center"/>
          </w:tcPr>
          <w:p w14:paraId="1E901CB6">
            <w:pPr>
              <w:spacing w:line="480" w:lineRule="exact"/>
              <w:rPr>
                <w:rFonts w:ascii="仿宋_GB2312" w:hAnsi="宋体" w:eastAsia="仿宋_GB2312" w:cs="宋体"/>
                <w:kern w:val="0"/>
                <w:szCs w:val="21"/>
              </w:rPr>
            </w:pPr>
          </w:p>
        </w:tc>
        <w:tc>
          <w:tcPr>
            <w:tcW w:w="469" w:type="dxa"/>
            <w:vAlign w:val="center"/>
          </w:tcPr>
          <w:p w14:paraId="6792BADD">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Ⅱ级</w:t>
            </w:r>
          </w:p>
        </w:tc>
        <w:tc>
          <w:tcPr>
            <w:tcW w:w="468" w:type="dxa"/>
            <w:vAlign w:val="center"/>
          </w:tcPr>
          <w:p w14:paraId="6094C6A9">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橙</w:t>
            </w:r>
          </w:p>
        </w:tc>
        <w:tc>
          <w:tcPr>
            <w:tcW w:w="7547" w:type="dxa"/>
            <w:vAlign w:val="center"/>
          </w:tcPr>
          <w:p w14:paraId="2E80CC85">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发生无毒赤潮面积3000平方公里以上、8000平方公里以下，或有毒赤潮面积1000平方公里以上、5000平方公里以下；因食用受赤潮污染的海产品或接触到赤潮海水，出现身体严重不适的病例报告50个以上或死亡5至10人。</w:t>
            </w:r>
          </w:p>
        </w:tc>
      </w:tr>
      <w:tr w14:paraId="15F7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exact"/>
        </w:trPr>
        <w:tc>
          <w:tcPr>
            <w:tcW w:w="576" w:type="dxa"/>
            <w:vMerge w:val="continue"/>
            <w:vAlign w:val="center"/>
          </w:tcPr>
          <w:p w14:paraId="0E04A7B7">
            <w:pPr>
              <w:spacing w:line="480" w:lineRule="exact"/>
              <w:rPr>
                <w:rFonts w:ascii="仿宋_GB2312" w:hAnsi="宋体" w:eastAsia="仿宋_GB2312" w:cs="宋体"/>
                <w:kern w:val="0"/>
                <w:szCs w:val="21"/>
              </w:rPr>
            </w:pPr>
          </w:p>
        </w:tc>
        <w:tc>
          <w:tcPr>
            <w:tcW w:w="469" w:type="dxa"/>
            <w:vAlign w:val="center"/>
          </w:tcPr>
          <w:p w14:paraId="3A39DB17">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Ⅰ级</w:t>
            </w:r>
          </w:p>
        </w:tc>
        <w:tc>
          <w:tcPr>
            <w:tcW w:w="468" w:type="dxa"/>
            <w:vAlign w:val="center"/>
          </w:tcPr>
          <w:p w14:paraId="61BEC4FD">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红</w:t>
            </w:r>
          </w:p>
        </w:tc>
        <w:tc>
          <w:tcPr>
            <w:tcW w:w="7547" w:type="dxa"/>
            <w:vAlign w:val="center"/>
          </w:tcPr>
          <w:p w14:paraId="6CF89CB9">
            <w:pPr>
              <w:spacing w:line="480" w:lineRule="exact"/>
              <w:rPr>
                <w:rFonts w:ascii="仿宋_GB2312" w:hAnsi="宋体" w:eastAsia="仿宋_GB2312" w:cs="宋体"/>
                <w:kern w:val="0"/>
                <w:szCs w:val="21"/>
              </w:rPr>
            </w:pPr>
            <w:r>
              <w:rPr>
                <w:rFonts w:hint="eastAsia" w:ascii="仿宋_GB2312" w:hAnsi="宋体" w:eastAsia="仿宋_GB2312" w:cs="宋体"/>
                <w:kern w:val="0"/>
                <w:szCs w:val="21"/>
              </w:rPr>
              <w:t>发生无毒赤潮面积8000平方公里以上，或有毒赤潮面积5000平方公里以上；因食用受赤潮污染的海产品或接触到赤潮海水，出现死亡病例10人以上。</w:t>
            </w:r>
          </w:p>
        </w:tc>
      </w:tr>
    </w:tbl>
    <w:p w14:paraId="3E648D84">
      <w:pPr>
        <w:rPr>
          <w:rFonts w:ascii="仿宋_GB2312" w:hAnsi="宋体" w:eastAsia="仿宋_GB2312" w:cs="宋体"/>
          <w:kern w:val="0"/>
          <w:sz w:val="32"/>
          <w:szCs w:val="32"/>
        </w:rPr>
      </w:pPr>
    </w:p>
    <w:p w14:paraId="66DF3CB6">
      <w:pPr>
        <w:rPr>
          <w:rFonts w:ascii="仿宋_GB2312" w:hAnsi="宋体" w:eastAsia="仿宋_GB2312" w:cs="宋体"/>
          <w:kern w:val="0"/>
          <w:sz w:val="32"/>
          <w:szCs w:val="32"/>
        </w:rPr>
      </w:pPr>
    </w:p>
    <w:p w14:paraId="27A583B8"/>
    <w:p w14:paraId="0C638805">
      <w:pPr>
        <w:pStyle w:val="9"/>
      </w:pPr>
    </w:p>
    <w:p w14:paraId="399434AE">
      <w:pPr>
        <w:pStyle w:val="9"/>
      </w:pPr>
    </w:p>
    <w:p w14:paraId="2FF23244"/>
    <w:p w14:paraId="14F012DF">
      <w:pPr>
        <w:pStyle w:val="9"/>
      </w:pPr>
    </w:p>
    <w:p w14:paraId="4EFEAEE9"/>
    <w:p w14:paraId="5CC052D7">
      <w:pPr>
        <w:pStyle w:val="9"/>
      </w:pPr>
    </w:p>
    <w:p w14:paraId="335ECF89"/>
    <w:p w14:paraId="3A778DD7">
      <w:pPr>
        <w:pStyle w:val="9"/>
      </w:pPr>
    </w:p>
    <w:p w14:paraId="0BE211E6">
      <w:pPr>
        <w:spacing w:line="700" w:lineRule="exact"/>
        <w:jc w:val="center"/>
        <w:outlineLvl w:val="0"/>
        <w:rPr>
          <w:rFonts w:ascii="方正小标宋简体" w:hAnsi="新宋体-18030" w:eastAsia="方正小标宋简体" w:cs="新宋体-18030"/>
          <w:sz w:val="44"/>
          <w:szCs w:val="44"/>
        </w:rPr>
      </w:pPr>
      <w:r>
        <w:rPr>
          <w:rFonts w:hint="eastAsia" w:ascii="方正小标宋简体" w:hAnsi="新宋体-18030" w:eastAsia="方正小标宋简体" w:cs="新宋体-18030"/>
          <w:sz w:val="44"/>
          <w:szCs w:val="44"/>
        </w:rPr>
        <w:t>烟台高新区危险化学品生产安全事故</w:t>
      </w:r>
    </w:p>
    <w:p w14:paraId="564489D7">
      <w:pPr>
        <w:spacing w:line="700" w:lineRule="exact"/>
        <w:jc w:val="center"/>
        <w:outlineLvl w:val="0"/>
        <w:rPr>
          <w:rFonts w:ascii="方正小标宋简体" w:hAnsi="新宋体-18030" w:eastAsia="方正小标宋简体" w:cs="新宋体-18030"/>
          <w:sz w:val="44"/>
          <w:szCs w:val="44"/>
        </w:rPr>
      </w:pPr>
      <w:r>
        <w:rPr>
          <w:rFonts w:hint="eastAsia" w:ascii="方正小标宋简体" w:hAnsi="Helvetica" w:eastAsia="方正小标宋简体" w:cs="Helvetica"/>
          <w:sz w:val="44"/>
          <w:szCs w:val="44"/>
        </w:rPr>
        <w:t>专项</w:t>
      </w:r>
      <w:r>
        <w:rPr>
          <w:rFonts w:hint="eastAsia" w:ascii="方正小标宋简体" w:hAnsi="新宋体-18030" w:eastAsia="方正小标宋简体" w:cs="新宋体-18030"/>
          <w:sz w:val="44"/>
          <w:szCs w:val="44"/>
        </w:rPr>
        <w:t>应急预案</w:t>
      </w:r>
    </w:p>
    <w:p w14:paraId="5008F0D8">
      <w:pPr>
        <w:autoSpaceDE w:val="0"/>
        <w:autoSpaceDN w:val="0"/>
        <w:spacing w:line="560" w:lineRule="exact"/>
        <w:ind w:firstLine="624" w:firstLineChars="200"/>
        <w:rPr>
          <w:rFonts w:ascii="黑体" w:eastAsia="黑体" w:cs="黑体"/>
          <w:bCs/>
          <w:sz w:val="32"/>
          <w:szCs w:val="32"/>
          <w:lang w:val="zh-CN"/>
        </w:rPr>
      </w:pPr>
    </w:p>
    <w:p w14:paraId="0FBDA2EC">
      <w:pPr>
        <w:autoSpaceDE w:val="0"/>
        <w:autoSpaceDN w:val="0"/>
        <w:spacing w:line="560" w:lineRule="exact"/>
        <w:ind w:firstLine="624" w:firstLineChars="200"/>
        <w:rPr>
          <w:rFonts w:ascii="黑体" w:eastAsia="黑体"/>
          <w:bCs/>
          <w:sz w:val="32"/>
          <w:szCs w:val="32"/>
          <w:lang w:val="zh-CN"/>
        </w:rPr>
      </w:pPr>
      <w:r>
        <w:rPr>
          <w:rFonts w:hint="eastAsia" w:ascii="黑体" w:eastAsia="黑体" w:cs="黑体"/>
          <w:bCs/>
          <w:sz w:val="32"/>
          <w:szCs w:val="32"/>
          <w:lang w:val="zh-CN"/>
        </w:rPr>
        <w:t>一、总则</w:t>
      </w:r>
    </w:p>
    <w:p w14:paraId="23332EFF">
      <w:pPr>
        <w:autoSpaceDE w:val="0"/>
        <w:autoSpaceDN w:val="0"/>
        <w:spacing w:line="560" w:lineRule="exact"/>
        <w:ind w:firstLine="624" w:firstLineChars="200"/>
        <w:rPr>
          <w:rFonts w:ascii="楷体_GB2312" w:eastAsia="楷体_GB2312" w:cs="仿宋_GB2312"/>
          <w:bCs/>
          <w:sz w:val="32"/>
          <w:szCs w:val="32"/>
          <w:lang w:val="zh-CN"/>
        </w:rPr>
      </w:pPr>
      <w:r>
        <w:rPr>
          <w:rFonts w:hint="eastAsia" w:ascii="楷体_GB2312" w:eastAsia="楷体_GB2312" w:cs="仿宋_GB2312"/>
          <w:bCs/>
          <w:sz w:val="32"/>
          <w:szCs w:val="32"/>
          <w:lang w:val="zh-CN"/>
        </w:rPr>
        <w:t>（一）编制目的。</w:t>
      </w:r>
      <w:r>
        <w:rPr>
          <w:rFonts w:hint="eastAsia" w:ascii="仿宋_GB2312" w:eastAsia="仿宋_GB2312" w:cs="仿宋_GB2312"/>
          <w:sz w:val="32"/>
          <w:szCs w:val="32"/>
          <w:lang w:val="zh-CN"/>
        </w:rPr>
        <w:t>规范危险化学品生产安全事故应急管理，增强事故灾难预防和处置能力，</w:t>
      </w:r>
      <w:r>
        <w:rPr>
          <w:rFonts w:hint="eastAsia" w:ascii="仿宋_GB2312" w:eastAsia="仿宋_GB2312" w:cs="仿宋_GB2312"/>
          <w:sz w:val="32"/>
          <w:szCs w:val="32"/>
        </w:rPr>
        <w:t>减少</w:t>
      </w:r>
      <w:r>
        <w:rPr>
          <w:rFonts w:hint="eastAsia" w:ascii="仿宋_GB2312" w:eastAsia="仿宋_GB2312" w:cs="仿宋_GB2312"/>
          <w:sz w:val="32"/>
          <w:szCs w:val="32"/>
          <w:lang w:val="zh-CN"/>
        </w:rPr>
        <w:t>危险化学品生产安全事故损失，保护环境。</w:t>
      </w:r>
    </w:p>
    <w:p w14:paraId="642E7F26">
      <w:pPr>
        <w:autoSpaceDE w:val="0"/>
        <w:autoSpaceDN w:val="0"/>
        <w:spacing w:line="560" w:lineRule="exact"/>
        <w:ind w:firstLine="624" w:firstLineChars="200"/>
        <w:rPr>
          <w:rFonts w:ascii="仿宋_GB2312" w:eastAsia="仿宋_GB2312" w:cs="仿宋_GB2312"/>
          <w:sz w:val="32"/>
          <w:szCs w:val="32"/>
          <w:lang w:val="zh-CN"/>
        </w:rPr>
      </w:pPr>
      <w:r>
        <w:rPr>
          <w:rFonts w:hint="eastAsia" w:ascii="楷体_GB2312" w:eastAsia="楷体_GB2312" w:cs="仿宋_GB2312"/>
          <w:bCs/>
          <w:sz w:val="32"/>
          <w:szCs w:val="32"/>
          <w:lang w:val="zh-CN"/>
        </w:rPr>
        <w:t>（二）编制依据。</w:t>
      </w:r>
      <w:r>
        <w:rPr>
          <w:rFonts w:hint="eastAsia" w:ascii="仿宋_GB2312" w:eastAsia="仿宋_GB2312" w:cs="仿宋_GB2312"/>
          <w:sz w:val="32"/>
          <w:szCs w:val="32"/>
          <w:lang w:val="zh-CN"/>
        </w:rPr>
        <w:t>《山东省安全生产条例》《山东省生产安全事故应急预案管理办法》《山东省危险化学品重特大安全生产事故应急预案》《烟台市突发事件总体应急预案》</w:t>
      </w:r>
      <w:r>
        <w:rPr>
          <w:rFonts w:hint="eastAsia" w:ascii="仿宋_GB2312" w:hAnsi="仿宋" w:eastAsia="仿宋_GB2312" w:cs="Courier New"/>
          <w:sz w:val="32"/>
          <w:szCs w:val="32"/>
        </w:rPr>
        <w:t>《烟台高新技术产业开发区突发事件总体应急预案》</w:t>
      </w:r>
      <w:r>
        <w:rPr>
          <w:rFonts w:hint="eastAsia" w:ascii="仿宋_GB2312" w:eastAsia="仿宋_GB2312" w:cs="仿宋_GB2312"/>
          <w:sz w:val="32"/>
          <w:szCs w:val="32"/>
          <w:lang w:val="zh-CN"/>
        </w:rPr>
        <w:t>。</w:t>
      </w:r>
    </w:p>
    <w:p w14:paraId="54CC74D2">
      <w:pPr>
        <w:autoSpaceDE w:val="0"/>
        <w:autoSpaceDN w:val="0"/>
        <w:spacing w:line="560" w:lineRule="exact"/>
        <w:ind w:firstLine="624" w:firstLineChars="200"/>
        <w:rPr>
          <w:rFonts w:ascii="仿宋_GB2312" w:eastAsia="仿宋_GB2312" w:cs="仿宋_GB2312"/>
          <w:sz w:val="32"/>
          <w:szCs w:val="32"/>
        </w:rPr>
      </w:pPr>
      <w:r>
        <w:rPr>
          <w:rFonts w:hint="eastAsia" w:ascii="楷体_GB2312" w:eastAsia="楷体_GB2312" w:cs="仿宋_GB2312"/>
          <w:bCs/>
          <w:sz w:val="32"/>
          <w:szCs w:val="32"/>
          <w:lang w:val="zh-CN"/>
        </w:rPr>
        <w:t>（三）适用范围。</w:t>
      </w:r>
      <w:r>
        <w:rPr>
          <w:rFonts w:hint="eastAsia" w:ascii="仿宋_GB2312" w:eastAsia="仿宋_GB2312" w:cs="仿宋_GB2312"/>
          <w:sz w:val="32"/>
          <w:szCs w:val="32"/>
          <w:lang w:val="zh-CN"/>
        </w:rPr>
        <w:t>本预案适用于烟台高新区辖区内生产、经营、储存、运输、使用危险化学品活动过程中发生的一般及以上生产安全事故，或不到一般等级但社会影响重大的生产安全事故。</w:t>
      </w:r>
    </w:p>
    <w:p w14:paraId="56364969">
      <w:pPr>
        <w:autoSpaceDE w:val="0"/>
        <w:autoSpaceDN w:val="0"/>
        <w:spacing w:line="560" w:lineRule="exact"/>
        <w:ind w:firstLine="624" w:firstLineChars="200"/>
        <w:rPr>
          <w:rFonts w:ascii="黑体" w:eastAsia="黑体" w:cs="黑体"/>
          <w:bCs/>
          <w:sz w:val="32"/>
          <w:szCs w:val="32"/>
          <w:lang w:val="zh-CN"/>
        </w:rPr>
      </w:pPr>
      <w:r>
        <w:rPr>
          <w:rFonts w:hint="eastAsia" w:ascii="黑体" w:eastAsia="黑体" w:cs="黑体"/>
          <w:bCs/>
          <w:sz w:val="32"/>
          <w:szCs w:val="32"/>
          <w:lang w:val="zh-CN"/>
        </w:rPr>
        <w:t>二、组织机构与职责</w:t>
      </w:r>
    </w:p>
    <w:p w14:paraId="450316C3">
      <w:pPr>
        <w:autoSpaceDE w:val="0"/>
        <w:autoSpaceDN w:val="0"/>
        <w:spacing w:line="560" w:lineRule="exact"/>
        <w:ind w:firstLine="624" w:firstLineChars="200"/>
        <w:rPr>
          <w:rFonts w:ascii="仿宋_GB2312" w:eastAsia="仿宋_GB2312" w:cs="仿宋_GB2312"/>
          <w:sz w:val="32"/>
          <w:szCs w:val="32"/>
        </w:rPr>
      </w:pPr>
      <w:r>
        <w:rPr>
          <w:rFonts w:hint="eastAsia" w:ascii="楷体_GB2312" w:eastAsia="楷体_GB2312" w:cs="仿宋_GB2312"/>
          <w:bCs/>
          <w:sz w:val="32"/>
          <w:szCs w:val="32"/>
          <w:lang w:val="zh-CN"/>
        </w:rPr>
        <w:t>（一）领导机构。</w:t>
      </w:r>
      <w:r>
        <w:rPr>
          <w:rFonts w:hint="eastAsia" w:ascii="仿宋_GB2312" w:eastAsia="仿宋_GB2312" w:cs="仿宋_GB2312"/>
          <w:sz w:val="32"/>
          <w:szCs w:val="32"/>
        </w:rPr>
        <w:t>成立烟台高新区危险化学品生产安全</w:t>
      </w:r>
      <w:r>
        <w:rPr>
          <w:rFonts w:hint="eastAsia" w:ascii="仿宋_GB2312" w:eastAsia="仿宋_GB2312" w:cs="仿宋_GB2312"/>
          <w:sz w:val="32"/>
          <w:szCs w:val="32"/>
          <w:lang w:val="zh-CN"/>
        </w:rPr>
        <w:t>事故应急领导小组（以下简称区领导小组）</w:t>
      </w:r>
      <w:r>
        <w:rPr>
          <w:rFonts w:hint="eastAsia" w:ascii="仿宋_GB2312" w:eastAsia="仿宋_GB2312" w:cs="仿宋_GB2312"/>
          <w:sz w:val="32"/>
          <w:szCs w:val="32"/>
        </w:rPr>
        <w:t>，由区管委分管副主任任组长，区综合管理部常务副部长、区应急管理分局局长、区公安分局局长、消防救援大队大队长、事故发生所在地街道办事处（管理处）主要负责人任副组长，马山街道办事处、区党群工作部、区经济发展部、区财政金融部、区规划国土建设部、区综合行政执法局、</w:t>
      </w:r>
      <w:r>
        <w:rPr>
          <w:rFonts w:hint="eastAsia" w:ascii="仿宋_GB2312" w:eastAsia="仿宋_GB2312" w:cs="仿宋_GB2312"/>
          <w:sz w:val="32"/>
          <w:szCs w:val="32"/>
          <w:lang w:val="zh-CN"/>
        </w:rPr>
        <w:t>区法制中心、</w:t>
      </w:r>
      <w:r>
        <w:rPr>
          <w:rFonts w:hint="eastAsia" w:ascii="仿宋_GB2312" w:eastAsia="仿宋_GB2312" w:cs="仿宋_GB2312"/>
          <w:sz w:val="32"/>
          <w:szCs w:val="32"/>
        </w:rPr>
        <w:t>区生态环境分局、区教育分局、区卫生健康管理办公室、区市场监管分局、</w:t>
      </w:r>
      <w:r>
        <w:rPr>
          <w:rFonts w:ascii="仿宋_GB2312" w:eastAsia="仿宋_GB2312" w:cs="仿宋_GB2312"/>
          <w:sz w:val="32"/>
          <w:szCs w:val="32"/>
        </w:rPr>
        <w:t>市公安交警支队第</w:t>
      </w:r>
      <w:r>
        <w:rPr>
          <w:rFonts w:hint="eastAsia" w:ascii="仿宋_GB2312" w:eastAsia="仿宋_GB2312" w:cs="仿宋_GB2312"/>
          <w:sz w:val="32"/>
          <w:szCs w:val="32"/>
        </w:rPr>
        <w:t>五</w:t>
      </w:r>
      <w:r>
        <w:rPr>
          <w:rFonts w:ascii="仿宋_GB2312" w:eastAsia="仿宋_GB2312" w:cs="仿宋_GB2312"/>
          <w:sz w:val="32"/>
          <w:szCs w:val="32"/>
        </w:rPr>
        <w:t>大队</w:t>
      </w:r>
      <w:r>
        <w:rPr>
          <w:rFonts w:hint="eastAsia" w:ascii="仿宋_GB2312" w:eastAsia="仿宋_GB2312" w:cs="仿宋_GB2312"/>
          <w:sz w:val="32"/>
          <w:szCs w:val="32"/>
        </w:rPr>
        <w:t>等部门和单位负责人为成员。</w:t>
      </w:r>
    </w:p>
    <w:p w14:paraId="0455C211">
      <w:pPr>
        <w:autoSpaceDE w:val="0"/>
        <w:autoSpaceDN w:val="0"/>
        <w:spacing w:line="560" w:lineRule="exact"/>
        <w:ind w:firstLine="624" w:firstLineChars="200"/>
        <w:rPr>
          <w:rFonts w:ascii="仿宋_GB2312" w:eastAsia="仿宋_GB2312" w:cs="仿宋_GB2312"/>
          <w:sz w:val="32"/>
          <w:szCs w:val="32"/>
        </w:rPr>
      </w:pPr>
      <w:r>
        <w:rPr>
          <w:rFonts w:hint="eastAsia" w:ascii="仿宋_GB2312" w:eastAsia="仿宋_GB2312" w:cs="仿宋_GB2312"/>
          <w:sz w:val="32"/>
          <w:szCs w:val="32"/>
        </w:rPr>
        <w:t>主要职责：根据事故现场情况决定本预案的启动与结束；统一部署、协调、督查街道办事处（管理处）和有关部门、单位的事故应急抢救处理工作；统一调度事故现场及外围救护所需的人员、物资、器材装备等；研究解决事故应急救援工作中的重大问题，作出事故应急、救援及善后处理等重大决策。</w:t>
      </w:r>
    </w:p>
    <w:p w14:paraId="13FA6EE2">
      <w:pPr>
        <w:spacing w:line="560" w:lineRule="exact"/>
        <w:ind w:firstLine="624" w:firstLineChars="200"/>
        <w:rPr>
          <w:rFonts w:ascii="仿宋_GB2312" w:eastAsia="仿宋_GB2312" w:cs="仿宋_GB2312"/>
          <w:sz w:val="32"/>
          <w:szCs w:val="32"/>
        </w:rPr>
      </w:pPr>
      <w:r>
        <w:rPr>
          <w:rFonts w:hint="eastAsia" w:ascii="楷体_GB2312" w:eastAsia="楷体_GB2312" w:cs="仿宋_GB2312"/>
          <w:bCs/>
          <w:sz w:val="32"/>
          <w:szCs w:val="32"/>
          <w:lang w:val="zh-CN"/>
        </w:rPr>
        <w:t>（二）常设机构及职责。</w:t>
      </w:r>
      <w:r>
        <w:rPr>
          <w:rFonts w:hint="eastAsia" w:ascii="仿宋_GB2312" w:eastAsia="仿宋_GB2312" w:cs="仿宋_GB2312"/>
          <w:bCs/>
          <w:sz w:val="32"/>
          <w:szCs w:val="32"/>
          <w:lang w:val="zh-CN"/>
        </w:rPr>
        <w:t>区</w:t>
      </w:r>
      <w:r>
        <w:rPr>
          <w:rFonts w:hint="eastAsia" w:ascii="仿宋_GB2312" w:eastAsia="仿宋_GB2312" w:cs="仿宋_GB2312"/>
          <w:sz w:val="32"/>
          <w:szCs w:val="32"/>
        </w:rPr>
        <w:t>领导小组办公室设在区应急管理分局，区应急管理分局局长兼任办公室主任。主要职责：联络协调和承办区领导小组交办的有关事项；负责应急救援预案的制定、修改和演练等日常工作。</w:t>
      </w:r>
    </w:p>
    <w:p w14:paraId="7A0BE3D9">
      <w:pPr>
        <w:autoSpaceDE w:val="0"/>
        <w:autoSpaceDN w:val="0"/>
        <w:spacing w:line="560" w:lineRule="exact"/>
        <w:ind w:firstLine="624" w:firstLineChars="200"/>
        <w:rPr>
          <w:rFonts w:ascii="黑体" w:eastAsia="黑体" w:cs="黑体"/>
          <w:bCs/>
          <w:sz w:val="32"/>
          <w:szCs w:val="32"/>
          <w:lang w:val="zh-CN"/>
        </w:rPr>
      </w:pPr>
      <w:r>
        <w:rPr>
          <w:rFonts w:hint="eastAsia" w:ascii="黑体" w:eastAsia="黑体" w:cs="黑体"/>
          <w:bCs/>
          <w:sz w:val="32"/>
          <w:szCs w:val="32"/>
        </w:rPr>
        <w:t>三、应急处置</w:t>
      </w:r>
    </w:p>
    <w:p w14:paraId="592F127A">
      <w:pPr>
        <w:spacing w:line="560" w:lineRule="exact"/>
        <w:ind w:firstLine="624" w:firstLineChars="200"/>
        <w:rPr>
          <w:rFonts w:ascii="楷体_GB2312" w:eastAsia="楷体_GB2312" w:cs="仿宋_GB2312"/>
          <w:bCs/>
          <w:sz w:val="32"/>
          <w:szCs w:val="32"/>
          <w:lang w:val="zh-CN"/>
        </w:rPr>
      </w:pPr>
      <w:r>
        <w:rPr>
          <w:rFonts w:hint="eastAsia" w:ascii="楷体_GB2312" w:eastAsia="楷体_GB2312" w:cs="仿宋_GB2312"/>
          <w:bCs/>
          <w:sz w:val="32"/>
          <w:szCs w:val="32"/>
          <w:lang w:val="zh-CN"/>
        </w:rPr>
        <w:t>（一）事故报告。</w:t>
      </w:r>
    </w:p>
    <w:p w14:paraId="15CD92B2">
      <w:pPr>
        <w:spacing w:line="560" w:lineRule="exact"/>
        <w:ind w:firstLine="624" w:firstLineChars="200"/>
        <w:rPr>
          <w:rFonts w:ascii="仿宋_GB2312" w:eastAsia="仿宋_GB2312" w:cs="仿宋_GB2312"/>
          <w:sz w:val="32"/>
          <w:szCs w:val="32"/>
          <w:lang w:val="zh-CN"/>
        </w:rPr>
      </w:pPr>
      <w:r>
        <w:rPr>
          <w:rFonts w:hint="eastAsia" w:ascii="仿宋_GB2312" w:eastAsia="仿宋_GB2312" w:cs="仿宋_GB2312"/>
          <w:sz w:val="32"/>
          <w:szCs w:val="32"/>
          <w:lang w:val="zh-CN"/>
        </w:rPr>
        <w:t>1.事故发生后，现场人员应立即向本单位负责人报告；企业负责人接到事故报告后，应第一时间报告区应急管理分局和其他负有安全生产监督管理职责的部门，</w:t>
      </w:r>
      <w:r>
        <w:rPr>
          <w:rFonts w:hint="eastAsia" w:ascii="仿宋_GB2312" w:eastAsia="仿宋_GB2312"/>
          <w:sz w:val="32"/>
          <w:szCs w:val="32"/>
        </w:rPr>
        <w:t>同时启动本单位相应应急预案，迅速采取有效措施，</w:t>
      </w:r>
      <w:r>
        <w:rPr>
          <w:rFonts w:hint="eastAsia" w:ascii="仿宋_GB2312" w:eastAsia="仿宋_GB2312"/>
          <w:bCs/>
          <w:sz w:val="32"/>
          <w:szCs w:val="32"/>
        </w:rPr>
        <w:t>组织应急队伍进行抢险救援。</w:t>
      </w:r>
      <w:r>
        <w:rPr>
          <w:rFonts w:hint="eastAsia" w:ascii="仿宋_GB2312" w:eastAsia="仿宋_GB2312" w:cs="仿宋_GB2312"/>
          <w:sz w:val="32"/>
          <w:szCs w:val="32"/>
          <w:lang w:val="zh-CN"/>
        </w:rPr>
        <w:t>事故报告的主要内容包括：事故发生单位情况介绍；事故发生时间、地点及事故现场情况；事故的简要经过；事故已经造成或者可能造成的伤亡人数（包括下落不明的人数）；初步估计的直接经济损失；已经采取的措施等。</w:t>
      </w:r>
    </w:p>
    <w:p w14:paraId="168F1E5D">
      <w:pPr>
        <w:autoSpaceDE w:val="0"/>
        <w:autoSpaceDN w:val="0"/>
        <w:spacing w:line="560" w:lineRule="exact"/>
        <w:ind w:firstLine="624" w:firstLineChars="200"/>
        <w:rPr>
          <w:rFonts w:ascii="楷体_GB2312" w:eastAsia="楷体_GB2312" w:cs="仿宋_GB2312"/>
          <w:bCs/>
          <w:sz w:val="32"/>
          <w:szCs w:val="32"/>
          <w:lang w:val="zh-CN"/>
        </w:rPr>
      </w:pPr>
      <w:r>
        <w:rPr>
          <w:rFonts w:hint="eastAsia" w:ascii="仿宋_GB2312" w:eastAsia="仿宋_GB2312" w:cs="仿宋_GB2312"/>
          <w:sz w:val="32"/>
          <w:szCs w:val="32"/>
          <w:lang w:val="zh-CN"/>
        </w:rPr>
        <w:t>2.区应急管理分局和其他负有安全生产监督管理职责的部门在接到事故报告后，应当在事发20分钟内，分别向对口上级部门和区管委报告，并通知有关单位赶赴现场组织抢救。一般事故由区管委牵头处理；较大及以上事故由区管委先期进行处置，并报告烟台市危险化学品生产安全事故应急领导小组（电话：6789559，6789790，以下简称市领导小组）。</w:t>
      </w:r>
    </w:p>
    <w:p w14:paraId="6387BED6">
      <w:pPr>
        <w:autoSpaceDE w:val="0"/>
        <w:autoSpaceDN w:val="0"/>
        <w:spacing w:line="560" w:lineRule="exact"/>
        <w:ind w:firstLine="624" w:firstLineChars="200"/>
        <w:rPr>
          <w:rFonts w:ascii="楷体_GB2312" w:eastAsia="楷体_GB2312" w:cs="仿宋_GB2312"/>
          <w:bCs/>
          <w:sz w:val="32"/>
          <w:szCs w:val="32"/>
          <w:lang w:val="zh-CN"/>
        </w:rPr>
      </w:pPr>
      <w:r>
        <w:rPr>
          <w:rFonts w:hint="eastAsia" w:ascii="楷体_GB2312" w:eastAsia="楷体_GB2312" w:cs="仿宋_GB2312"/>
          <w:bCs/>
          <w:sz w:val="32"/>
          <w:szCs w:val="32"/>
          <w:lang w:val="zh-CN"/>
        </w:rPr>
        <w:t>（</w:t>
      </w:r>
      <w:r>
        <w:rPr>
          <w:rFonts w:hint="eastAsia" w:ascii="楷体_GB2312" w:eastAsia="楷体_GB2312" w:cs="仿宋_GB2312"/>
          <w:bCs/>
          <w:sz w:val="32"/>
          <w:szCs w:val="32"/>
        </w:rPr>
        <w:t>二</w:t>
      </w:r>
      <w:r>
        <w:rPr>
          <w:rFonts w:hint="eastAsia" w:ascii="楷体_GB2312" w:eastAsia="楷体_GB2312" w:cs="仿宋_GB2312"/>
          <w:bCs/>
          <w:sz w:val="32"/>
          <w:szCs w:val="32"/>
          <w:lang w:val="zh-CN"/>
        </w:rPr>
        <w:t>）应急处置。</w:t>
      </w:r>
    </w:p>
    <w:p w14:paraId="219645DB">
      <w:pPr>
        <w:spacing w:line="560" w:lineRule="exact"/>
        <w:ind w:firstLine="624" w:firstLineChars="200"/>
        <w:rPr>
          <w:rFonts w:ascii="仿宋_GB2312" w:eastAsia="仿宋_GB2312" w:cs="仿宋_GB2312"/>
          <w:sz w:val="32"/>
          <w:szCs w:val="32"/>
          <w:lang w:val="zh-CN"/>
        </w:rPr>
      </w:pPr>
      <w:r>
        <w:rPr>
          <w:rFonts w:hint="eastAsia" w:ascii="仿宋_GB2312" w:eastAsia="仿宋_GB2312" w:cs="仿宋_GB2312"/>
          <w:sz w:val="32"/>
          <w:szCs w:val="32"/>
          <w:lang w:val="zh-CN"/>
        </w:rPr>
        <w:t>1.应急指挥。本预案启动后，区领导小组成员单位、有关专家赶赴现场开展应急救援工作。区领导小组办公室调度有关情况，为区领导小组制定救援方案提供基础信息及相关资料。区领导小组制定并组织救援实施方案。当事态难以控制或有扩大、蔓延趋势，救援力量不足或者事态严重时，区领导小组应及时向省、市级应急救援机构提出增援请求。</w:t>
      </w:r>
    </w:p>
    <w:p w14:paraId="2EDB05A6">
      <w:pPr>
        <w:spacing w:line="560" w:lineRule="exact"/>
        <w:ind w:firstLine="624" w:firstLineChars="200"/>
        <w:rPr>
          <w:rFonts w:ascii="仿宋_GB2312" w:eastAsia="仿宋_GB2312" w:cs="仿宋_GB2312"/>
          <w:sz w:val="32"/>
          <w:szCs w:val="32"/>
          <w:lang w:val="zh-CN"/>
        </w:rPr>
      </w:pPr>
      <w:r>
        <w:rPr>
          <w:rFonts w:hint="eastAsia" w:ascii="仿宋_GB2312" w:eastAsia="仿宋_GB2312" w:cs="仿宋_GB2312"/>
          <w:sz w:val="32"/>
          <w:szCs w:val="32"/>
          <w:lang w:val="zh-CN"/>
        </w:rPr>
        <w:t>2.现场处置。各有关成员单位根据救援实施方案，按照职责分工，在保证救援人员安全前提下开展救援工作。</w:t>
      </w:r>
    </w:p>
    <w:p w14:paraId="1EB6FC1B">
      <w:pPr>
        <w:autoSpaceDE w:val="0"/>
        <w:autoSpaceDN w:val="0"/>
        <w:spacing w:line="560" w:lineRule="exact"/>
        <w:ind w:firstLine="624" w:firstLineChars="200"/>
        <w:rPr>
          <w:rFonts w:ascii="仿宋_GB2312" w:eastAsia="仿宋_GB2312"/>
          <w:sz w:val="32"/>
          <w:szCs w:val="32"/>
          <w:lang w:val="zh-CN"/>
        </w:rPr>
      </w:pPr>
      <w:r>
        <w:rPr>
          <w:rFonts w:hint="eastAsia" w:ascii="仿宋_GB2312" w:eastAsia="仿宋_GB2312" w:cs="仿宋_GB2312"/>
          <w:sz w:val="32"/>
          <w:szCs w:val="32"/>
          <w:lang w:val="zh-CN"/>
        </w:rPr>
        <w:t>（1）</w:t>
      </w:r>
      <w:r>
        <w:rPr>
          <w:rFonts w:hint="eastAsia" w:ascii="仿宋_GB2312" w:eastAsia="仿宋_GB2312" w:cs="仿宋_GB2312"/>
          <w:sz w:val="32"/>
          <w:szCs w:val="32"/>
        </w:rPr>
        <w:t>设立警戒区。由区公安分局牵头，会同</w:t>
      </w:r>
      <w:r>
        <w:rPr>
          <w:rFonts w:hint="eastAsia" w:eastAsia="仿宋_GB2312"/>
          <w:sz w:val="32"/>
          <w:szCs w:val="32"/>
        </w:rPr>
        <w:t>区规划国土建设部</w:t>
      </w:r>
      <w:r>
        <w:rPr>
          <w:rFonts w:hint="eastAsia" w:ascii="仿宋_GB2312" w:eastAsia="仿宋_GB2312" w:cs="仿宋_GB2312"/>
          <w:sz w:val="32"/>
          <w:szCs w:val="32"/>
        </w:rPr>
        <w:t>、</w:t>
      </w:r>
      <w:r>
        <w:rPr>
          <w:rFonts w:hint="eastAsia" w:eastAsia="仿宋_GB2312"/>
          <w:sz w:val="32"/>
          <w:szCs w:val="32"/>
        </w:rPr>
        <w:t>区生态环境分局、</w:t>
      </w:r>
      <w:r>
        <w:rPr>
          <w:rFonts w:hint="eastAsia" w:ascii="仿宋_GB2312" w:eastAsia="仿宋_GB2312" w:cs="仿宋_GB2312"/>
          <w:sz w:val="32"/>
          <w:szCs w:val="32"/>
        </w:rPr>
        <w:t>马山街道办事处等部门和单位对事故现场及周边环境进行侦察检测，为事故处置划定警戒范围，根据气象状况合理设置指挥、救援、医疗救护、后勤保障、临时避难等专项区域，并在通往事故现场的主要干道上实行交通管制。</w:t>
      </w:r>
      <w:r>
        <w:rPr>
          <w:rFonts w:ascii="仿宋_GB2312" w:eastAsia="仿宋_GB2312" w:cs="仿宋_GB2312"/>
          <w:sz w:val="32"/>
          <w:szCs w:val="32"/>
        </w:rPr>
        <w:t>市公安交警支队第</w:t>
      </w:r>
      <w:r>
        <w:rPr>
          <w:rFonts w:hint="eastAsia" w:ascii="仿宋_GB2312" w:eastAsia="仿宋_GB2312" w:cs="仿宋_GB2312"/>
          <w:sz w:val="32"/>
          <w:szCs w:val="32"/>
        </w:rPr>
        <w:t>五</w:t>
      </w:r>
      <w:r>
        <w:rPr>
          <w:rFonts w:ascii="仿宋_GB2312" w:eastAsia="仿宋_GB2312" w:cs="仿宋_GB2312"/>
          <w:sz w:val="32"/>
          <w:szCs w:val="32"/>
        </w:rPr>
        <w:t>大队</w:t>
      </w:r>
      <w:r>
        <w:rPr>
          <w:rFonts w:hint="eastAsia" w:ascii="仿宋_GB2312" w:eastAsia="仿宋_GB2312" w:cs="仿宋_GB2312"/>
          <w:sz w:val="32"/>
          <w:szCs w:val="32"/>
        </w:rPr>
        <w:t>、区公安分局等部门和单位开通应急特别通道，确保应急救援队伍和物资尽快到达事故现场。</w:t>
      </w:r>
    </w:p>
    <w:p w14:paraId="4690A1CB">
      <w:pPr>
        <w:autoSpaceDE w:val="0"/>
        <w:autoSpaceDN w:val="0"/>
        <w:spacing w:line="560" w:lineRule="exact"/>
        <w:ind w:firstLine="624" w:firstLineChars="200"/>
        <w:rPr>
          <w:rFonts w:ascii="仿宋_GB2312" w:eastAsia="仿宋_GB2312"/>
          <w:sz w:val="32"/>
          <w:szCs w:val="32"/>
          <w:lang w:val="zh-CN"/>
        </w:rPr>
      </w:pPr>
      <w:r>
        <w:rPr>
          <w:rFonts w:hint="eastAsia" w:ascii="仿宋_GB2312" w:eastAsia="仿宋_GB2312" w:cs="仿宋_GB2312"/>
          <w:sz w:val="32"/>
          <w:szCs w:val="32"/>
          <w:lang w:val="zh-CN"/>
        </w:rPr>
        <w:t>（2）</w:t>
      </w:r>
      <w:r>
        <w:rPr>
          <w:rFonts w:hint="eastAsia" w:ascii="仿宋_GB2312" w:eastAsia="仿宋_GB2312" w:cs="仿宋_GB2312"/>
          <w:sz w:val="32"/>
          <w:szCs w:val="32"/>
        </w:rPr>
        <w:t>紧急疏散。</w:t>
      </w:r>
      <w:r>
        <w:rPr>
          <w:rFonts w:hint="eastAsia" w:ascii="仿宋_GB2312" w:eastAsia="仿宋_GB2312" w:cs="仿宋_GB2312"/>
          <w:sz w:val="32"/>
          <w:szCs w:val="32"/>
          <w:lang w:val="zh-CN"/>
        </w:rPr>
        <w:t>根据事故危害程度，</w:t>
      </w:r>
      <w:r>
        <w:rPr>
          <w:rFonts w:hint="eastAsia" w:ascii="仿宋_GB2312" w:eastAsia="仿宋_GB2312" w:cs="仿宋_GB2312"/>
          <w:sz w:val="32"/>
          <w:szCs w:val="32"/>
        </w:rPr>
        <w:t>由区公安分局配合街道办事处（管理处）</w:t>
      </w:r>
      <w:r>
        <w:rPr>
          <w:rFonts w:hint="eastAsia" w:ascii="仿宋_GB2312" w:eastAsia="仿宋_GB2312" w:cs="仿宋_GB2312"/>
          <w:sz w:val="32"/>
          <w:szCs w:val="32"/>
          <w:lang w:val="zh-CN"/>
        </w:rPr>
        <w:t>及时组织疏散、撤离可能受到事故波及的人员，指定临时避难场所或</w:t>
      </w:r>
      <w:r>
        <w:rPr>
          <w:rFonts w:hint="eastAsia" w:ascii="仿宋_GB2312" w:eastAsia="仿宋_GB2312" w:cs="仿宋_GB2312"/>
          <w:sz w:val="32"/>
          <w:szCs w:val="32"/>
        </w:rPr>
        <w:t>指导周边群众采取各种措施进行自身防护，迅速撤离出危险区域或可能受到危害的区域。</w:t>
      </w:r>
    </w:p>
    <w:p w14:paraId="5B402B5A">
      <w:pPr>
        <w:autoSpaceDE w:val="0"/>
        <w:autoSpaceDN w:val="0"/>
        <w:spacing w:line="560" w:lineRule="exact"/>
        <w:ind w:firstLine="624" w:firstLineChars="200"/>
        <w:rPr>
          <w:rFonts w:ascii="仿宋_GB2312" w:eastAsia="仿宋_GB2312" w:cs="仿宋_GB2312"/>
          <w:sz w:val="32"/>
          <w:szCs w:val="32"/>
        </w:rPr>
      </w:pPr>
      <w:r>
        <w:rPr>
          <w:rFonts w:hint="eastAsia" w:ascii="仿宋_GB2312" w:eastAsia="仿宋_GB2312" w:cs="仿宋_GB2312"/>
          <w:sz w:val="32"/>
          <w:szCs w:val="32"/>
        </w:rPr>
        <w:t>（3）抢救人员。由消防救援大队牵头组织消防队伍、区域性危险化学品专业应急救援队伍等抢救事故现场人员脱离事故现场，并可根据救援实际情况，报请市领导小组调动烟台警备区、武警烟台支队、预备役76师等各种救援力量；由区卫生健康管理办公室协调，市红十字会协助，组织有关专家及医疗队伍对受伤人员进行救护、治疗。</w:t>
      </w:r>
    </w:p>
    <w:p w14:paraId="55961625">
      <w:pPr>
        <w:autoSpaceDE w:val="0"/>
        <w:autoSpaceDN w:val="0"/>
        <w:spacing w:line="560" w:lineRule="exact"/>
        <w:ind w:firstLine="624" w:firstLineChars="200"/>
        <w:rPr>
          <w:rFonts w:ascii="仿宋_GB2312" w:eastAsia="仿宋_GB2312" w:cs="仿宋_GB2312"/>
          <w:sz w:val="32"/>
          <w:szCs w:val="32"/>
        </w:rPr>
      </w:pPr>
      <w:r>
        <w:rPr>
          <w:rFonts w:hint="eastAsia" w:ascii="仿宋_GB2312" w:eastAsia="仿宋_GB2312" w:cs="仿宋_GB2312"/>
          <w:sz w:val="32"/>
          <w:szCs w:val="32"/>
          <w:lang w:val="zh-CN"/>
        </w:rPr>
        <w:t>（4）</w:t>
      </w:r>
      <w:r>
        <w:rPr>
          <w:rFonts w:hint="eastAsia" w:ascii="仿宋_GB2312" w:eastAsia="仿宋_GB2312" w:cs="仿宋_GB2312"/>
          <w:sz w:val="32"/>
          <w:szCs w:val="32"/>
        </w:rPr>
        <w:t>危险控制与消除。由区应急管理分局牵头，组织事故单位专业技术人员、烟台市化工专家、烟台市危险化学品事故应急救援技术支持中心等单位根据事故具体情况，制定处置方案，对险情进行控制与消除，防止引发次生、衍生灾害；消防救援大队在管委统一领导和有关部门的协助下，根据应急救援任务的需要，参与抢救人员的危险控制与消除；由区</w:t>
      </w:r>
      <w:r>
        <w:rPr>
          <w:rFonts w:hint="eastAsia" w:eastAsia="仿宋_GB2312"/>
          <w:sz w:val="32"/>
          <w:szCs w:val="32"/>
        </w:rPr>
        <w:t>生态环境分局</w:t>
      </w:r>
      <w:r>
        <w:rPr>
          <w:rFonts w:hint="eastAsia" w:ascii="仿宋_GB2312" w:eastAsia="仿宋_GB2312" w:cs="仿宋_GB2312"/>
          <w:sz w:val="32"/>
          <w:szCs w:val="32"/>
        </w:rPr>
        <w:t>牵头按照国家有关标准，对危险化学品事故造成的环境危害进行监测并提出处置意见；区</w:t>
      </w:r>
      <w:r>
        <w:rPr>
          <w:rFonts w:hint="eastAsia" w:eastAsia="仿宋_GB2312"/>
          <w:sz w:val="32"/>
          <w:szCs w:val="32"/>
        </w:rPr>
        <w:t>生态环境分局</w:t>
      </w:r>
      <w:r>
        <w:rPr>
          <w:rFonts w:hint="eastAsia" w:ascii="仿宋_GB2312" w:eastAsia="仿宋_GB2312" w:cs="仿宋_GB2312"/>
          <w:sz w:val="32"/>
          <w:szCs w:val="32"/>
        </w:rPr>
        <w:t>、区卫生健康管理办公室、消防救援大队等部门和单位按照各自职责，迅速采取洗消措施，防止继续对人体危害和环境污染。</w:t>
      </w:r>
    </w:p>
    <w:p w14:paraId="4E83B0C1">
      <w:pPr>
        <w:spacing w:line="560" w:lineRule="exact"/>
        <w:ind w:firstLine="624" w:firstLineChars="200"/>
        <w:rPr>
          <w:rFonts w:ascii="仿宋_GB2312" w:eastAsia="仿宋_GB2312"/>
          <w:sz w:val="32"/>
          <w:szCs w:val="32"/>
          <w:lang w:val="zh-CN"/>
        </w:rPr>
      </w:pPr>
      <w:r>
        <w:rPr>
          <w:rFonts w:hint="eastAsia" w:ascii="仿宋_GB2312" w:eastAsia="仿宋_GB2312" w:cs="仿宋_GB2312"/>
          <w:sz w:val="32"/>
          <w:szCs w:val="32"/>
          <w:lang w:val="zh-CN"/>
        </w:rPr>
        <w:t>（5）</w:t>
      </w:r>
      <w:r>
        <w:rPr>
          <w:rFonts w:hint="eastAsia" w:ascii="仿宋_GB2312" w:eastAsia="仿宋_GB2312" w:cs="仿宋_GB2312"/>
          <w:sz w:val="32"/>
          <w:szCs w:val="32"/>
        </w:rPr>
        <w:t>应急结束。各牵头单位应及时向区领导小组报告各自应急救援进展情况。</w:t>
      </w:r>
      <w:r>
        <w:rPr>
          <w:rFonts w:hint="eastAsia" w:ascii="仿宋_GB2312" w:eastAsia="仿宋_GB2312" w:cs="仿宋_GB2312"/>
          <w:sz w:val="32"/>
          <w:szCs w:val="32"/>
          <w:lang w:val="zh-CN"/>
        </w:rPr>
        <w:t>在事故险情得到控制，次生、衍生事故隐患已被消除，伤亡人员得到有效救治，对事故造成的环境危害监测、处置符合国家环境保护标准后，区领导小组宣布应急救援结束。</w:t>
      </w:r>
    </w:p>
    <w:p w14:paraId="358ED8BF">
      <w:pPr>
        <w:autoSpaceDE w:val="0"/>
        <w:autoSpaceDN w:val="0"/>
        <w:spacing w:line="560" w:lineRule="exact"/>
        <w:ind w:firstLine="624" w:firstLineChars="200"/>
        <w:rPr>
          <w:rFonts w:ascii="仿宋_GB2312" w:eastAsia="仿宋_GB2312" w:cs="仿宋_GB2312"/>
          <w:bCs/>
          <w:sz w:val="32"/>
          <w:szCs w:val="32"/>
          <w:lang w:val="zh-CN"/>
        </w:rPr>
      </w:pPr>
      <w:r>
        <w:rPr>
          <w:rFonts w:hint="eastAsia" w:ascii="仿宋_GB2312" w:eastAsia="仿宋_GB2312" w:cs="仿宋_GB2312"/>
          <w:bCs/>
          <w:sz w:val="32"/>
          <w:szCs w:val="32"/>
          <w:lang w:val="zh-CN"/>
        </w:rPr>
        <w:t>3.善后处置。</w:t>
      </w:r>
    </w:p>
    <w:p w14:paraId="692591D1">
      <w:pPr>
        <w:autoSpaceDE w:val="0"/>
        <w:autoSpaceDN w:val="0"/>
        <w:spacing w:line="560" w:lineRule="exact"/>
        <w:ind w:firstLine="624" w:firstLineChars="200"/>
        <w:rPr>
          <w:rFonts w:ascii="仿宋_GB2312" w:eastAsia="仿宋_GB2312" w:cs="仿宋_GB2312"/>
          <w:sz w:val="32"/>
          <w:szCs w:val="32"/>
          <w:lang w:val="zh-CN"/>
        </w:rPr>
      </w:pPr>
      <w:r>
        <w:rPr>
          <w:rFonts w:hint="eastAsia" w:ascii="仿宋_GB2312" w:eastAsia="仿宋_GB2312" w:cs="仿宋_GB2312"/>
          <w:sz w:val="32"/>
          <w:szCs w:val="32"/>
          <w:lang w:val="zh-CN"/>
        </w:rPr>
        <w:t>（1）善后处置工作由区管委牵头负责，及时返还救援工作临时征用的房屋、运输工具、通信设备等物资，造成损坏或无法返还的，按照有关规定给予补偿或做出其他处理。</w:t>
      </w:r>
    </w:p>
    <w:p w14:paraId="73361133">
      <w:pPr>
        <w:autoSpaceDE w:val="0"/>
        <w:autoSpaceDN w:val="0"/>
        <w:spacing w:line="560" w:lineRule="exact"/>
        <w:ind w:firstLine="624" w:firstLineChars="200"/>
        <w:rPr>
          <w:rFonts w:ascii="仿宋_GB2312" w:eastAsia="仿宋_GB2312" w:cs="仿宋_GB2312"/>
          <w:sz w:val="32"/>
          <w:szCs w:val="32"/>
          <w:lang w:val="zh-CN"/>
        </w:rPr>
      </w:pPr>
      <w:r>
        <w:rPr>
          <w:rFonts w:hint="eastAsia" w:ascii="仿宋_GB2312" w:eastAsia="仿宋_GB2312" w:cs="仿宋_GB2312"/>
          <w:sz w:val="32"/>
          <w:szCs w:val="32"/>
          <w:lang w:val="zh-CN"/>
        </w:rPr>
        <w:t>（2）马山街道办事处、区党群工作部、区法制中心、有关保险机构等单位和事故发生单位要妥善处理事故伤亡人员及其家属的安置、救助、补偿和保险理赔善后处置工作。</w:t>
      </w:r>
    </w:p>
    <w:p w14:paraId="7950B568">
      <w:pPr>
        <w:autoSpaceDE w:val="0"/>
        <w:autoSpaceDN w:val="0"/>
        <w:spacing w:line="560" w:lineRule="exact"/>
        <w:ind w:firstLine="624" w:firstLineChars="200"/>
        <w:rPr>
          <w:rFonts w:ascii="仿宋_GB2312" w:eastAsia="仿宋_GB2312" w:cs="仿宋_GB2312"/>
          <w:sz w:val="32"/>
          <w:szCs w:val="32"/>
          <w:lang w:val="zh-CN"/>
        </w:rPr>
      </w:pPr>
      <w:r>
        <w:rPr>
          <w:rFonts w:hint="eastAsia" w:ascii="仿宋_GB2312" w:eastAsia="仿宋_GB2312" w:cs="仿宋_GB2312"/>
          <w:sz w:val="32"/>
          <w:szCs w:val="32"/>
          <w:lang w:val="zh-CN"/>
        </w:rPr>
        <w:t>（3）参加救援的部门、单位应认真核对参加应急救援的人数，清点救援装备、器材，核算救援发生的费用，整理保存救援记录、图纸等资料，各自写出救援报告，上报区领导小组。</w:t>
      </w:r>
    </w:p>
    <w:p w14:paraId="553C6609">
      <w:pPr>
        <w:autoSpaceDE w:val="0"/>
        <w:autoSpaceDN w:val="0"/>
        <w:spacing w:line="560" w:lineRule="exact"/>
        <w:ind w:firstLine="624" w:firstLineChars="200"/>
        <w:rPr>
          <w:rFonts w:ascii="仿宋_GB2312" w:eastAsia="仿宋_GB2312" w:cs="仿宋_GB2312"/>
          <w:sz w:val="32"/>
          <w:szCs w:val="32"/>
          <w:lang w:val="zh-CN"/>
        </w:rPr>
      </w:pPr>
      <w:r>
        <w:rPr>
          <w:rFonts w:hint="eastAsia" w:ascii="仿宋_GB2312" w:eastAsia="仿宋_GB2312" w:cs="仿宋_GB2312"/>
          <w:sz w:val="32"/>
          <w:szCs w:val="32"/>
          <w:lang w:val="zh-CN"/>
        </w:rPr>
        <w:t>（4）做好污染物的收集、清理与处置等工作。</w:t>
      </w:r>
    </w:p>
    <w:p w14:paraId="006D35C6">
      <w:pPr>
        <w:autoSpaceDE w:val="0"/>
        <w:autoSpaceDN w:val="0"/>
        <w:spacing w:line="560" w:lineRule="exact"/>
        <w:ind w:firstLine="624" w:firstLineChars="200"/>
        <w:rPr>
          <w:rFonts w:ascii="仿宋_GB2312" w:eastAsia="仿宋_GB2312" w:cs="仿宋_GB2312"/>
          <w:sz w:val="32"/>
          <w:szCs w:val="32"/>
          <w:lang w:val="zh-CN"/>
        </w:rPr>
      </w:pPr>
      <w:r>
        <w:rPr>
          <w:rFonts w:hint="eastAsia" w:ascii="仿宋_GB2312" w:eastAsia="仿宋_GB2312" w:cs="仿宋_GB2312"/>
          <w:sz w:val="32"/>
          <w:szCs w:val="32"/>
          <w:lang w:val="zh-CN"/>
        </w:rPr>
        <w:t>（5）尽快恢复正常秩序，消除事故后果和影响，安抚受灾和受影响人员，确保社会稳定。</w:t>
      </w:r>
    </w:p>
    <w:p w14:paraId="26E962E9">
      <w:pPr>
        <w:autoSpaceDE w:val="0"/>
        <w:autoSpaceDN w:val="0"/>
        <w:spacing w:line="560" w:lineRule="exact"/>
        <w:ind w:firstLine="624" w:firstLineChars="200"/>
        <w:rPr>
          <w:rFonts w:ascii="仿宋_GB2312" w:eastAsia="仿宋_GB2312"/>
          <w:sz w:val="32"/>
          <w:szCs w:val="32"/>
          <w:lang w:val="zh-CN"/>
        </w:rPr>
      </w:pPr>
      <w:r>
        <w:rPr>
          <w:rFonts w:hint="eastAsia" w:ascii="仿宋_GB2312" w:eastAsia="仿宋_GB2312" w:cs="仿宋_GB2312"/>
          <w:bCs/>
          <w:sz w:val="32"/>
          <w:szCs w:val="32"/>
          <w:lang w:val="zh-CN"/>
        </w:rPr>
        <w:t>4.总结与评估。</w:t>
      </w:r>
      <w:r>
        <w:rPr>
          <w:rFonts w:hint="eastAsia" w:ascii="仿宋_GB2312" w:eastAsia="仿宋_GB2312" w:cs="仿宋_GB2312"/>
          <w:sz w:val="32"/>
          <w:szCs w:val="32"/>
          <w:lang w:val="zh-CN"/>
        </w:rPr>
        <w:t>由区应急管理分局牵头负责收集、整理应急救援工作的记录、方案、文件等资料，对应急救援预案的启动、决策、指挥和后勤保障等全过程进行评估，分析总结经验教训，提出改进意见和建议，将总结评估报告报区管委。</w:t>
      </w:r>
    </w:p>
    <w:p w14:paraId="67F2627D">
      <w:pPr>
        <w:autoSpaceDE w:val="0"/>
        <w:autoSpaceDN w:val="0"/>
        <w:spacing w:line="560" w:lineRule="exact"/>
        <w:ind w:firstLine="624" w:firstLineChars="200"/>
        <w:rPr>
          <w:rFonts w:ascii="仿宋_GB2312" w:eastAsia="仿宋_GB2312" w:cs="仿宋_GB2312"/>
          <w:sz w:val="32"/>
          <w:szCs w:val="32"/>
          <w:lang w:val="zh-CN"/>
        </w:rPr>
      </w:pPr>
      <w:r>
        <w:rPr>
          <w:rFonts w:hint="eastAsia" w:ascii="仿宋_GB2312" w:eastAsia="仿宋_GB2312" w:cs="仿宋_GB2312"/>
          <w:bCs/>
          <w:sz w:val="32"/>
          <w:szCs w:val="32"/>
          <w:lang w:val="zh-CN"/>
        </w:rPr>
        <w:t>5.事故调查。</w:t>
      </w:r>
      <w:r>
        <w:rPr>
          <w:rFonts w:hint="eastAsia" w:ascii="仿宋_GB2312" w:eastAsia="仿宋_GB2312" w:cs="仿宋_GB2312"/>
          <w:sz w:val="32"/>
          <w:szCs w:val="32"/>
          <w:lang w:val="zh-CN"/>
        </w:rPr>
        <w:t>按照事故调查权限，</w:t>
      </w:r>
      <w:r>
        <w:rPr>
          <w:rFonts w:hint="eastAsia" w:ascii="仿宋_GB2312" w:eastAsia="仿宋_GB2312" w:cs="仿宋_GB2312"/>
          <w:sz w:val="32"/>
          <w:szCs w:val="32"/>
        </w:rPr>
        <w:t>由区应急管理分局牵头，区公安分局、区生态环境分局、</w:t>
      </w:r>
      <w:r>
        <w:rPr>
          <w:rFonts w:hint="eastAsia" w:ascii="仿宋_GB2312" w:eastAsia="仿宋_GB2312" w:cs="仿宋_GB2312"/>
          <w:sz w:val="32"/>
          <w:szCs w:val="32"/>
          <w:lang w:val="zh-CN"/>
        </w:rPr>
        <w:t>区党群工作部</w:t>
      </w:r>
      <w:r>
        <w:rPr>
          <w:rFonts w:hint="eastAsia" w:ascii="仿宋_GB2312" w:eastAsia="仿宋_GB2312" w:cs="仿宋_GB2312"/>
          <w:sz w:val="32"/>
          <w:szCs w:val="32"/>
        </w:rPr>
        <w:t>等部门和单位及有关专家组成调查组，对事故的起因、性质、影</w:t>
      </w:r>
      <w:r>
        <w:rPr>
          <w:rFonts w:hint="eastAsia" w:ascii="仿宋_GB2312" w:eastAsia="仿宋_GB2312" w:cs="仿宋_GB2312"/>
          <w:sz w:val="32"/>
          <w:szCs w:val="32"/>
          <w:lang w:val="zh-CN"/>
        </w:rPr>
        <w:t>响、责任、经验教训等进行调查、分析和评估。调查组应向区管委提交书面调查报告。</w:t>
      </w:r>
    </w:p>
    <w:p w14:paraId="39B90FC6">
      <w:pPr>
        <w:autoSpaceDE w:val="0"/>
        <w:autoSpaceDN w:val="0"/>
        <w:spacing w:line="560" w:lineRule="exact"/>
        <w:ind w:firstLine="624" w:firstLineChars="200"/>
        <w:rPr>
          <w:rFonts w:ascii="仿宋_GB2312" w:eastAsia="仿宋_GB2312" w:cs="仿宋_GB2312"/>
          <w:sz w:val="32"/>
          <w:szCs w:val="32"/>
        </w:rPr>
      </w:pPr>
      <w:r>
        <w:rPr>
          <w:rFonts w:hint="eastAsia" w:ascii="仿宋_GB2312" w:eastAsia="仿宋_GB2312" w:cs="仿宋_GB2312"/>
          <w:bCs/>
          <w:sz w:val="32"/>
          <w:szCs w:val="32"/>
          <w:lang w:val="zh-CN"/>
        </w:rPr>
        <w:t>6.信息发布。</w:t>
      </w:r>
      <w:r>
        <w:rPr>
          <w:rFonts w:hint="eastAsia" w:ascii="仿宋_GB2312" w:eastAsia="仿宋_GB2312" w:cs="仿宋_GB2312"/>
          <w:sz w:val="32"/>
          <w:szCs w:val="32"/>
        </w:rPr>
        <w:t>由区应急管理分局牵头</w:t>
      </w:r>
      <w:r>
        <w:rPr>
          <w:rFonts w:hint="eastAsia" w:ascii="仿宋_GB2312" w:eastAsia="仿宋_GB2312" w:cs="仿宋_GB2312"/>
          <w:sz w:val="32"/>
          <w:szCs w:val="32"/>
          <w:lang w:val="zh-CN"/>
        </w:rPr>
        <w:t>，区综合管理部协助，负责危险化学品生产安全事故的信息综合工作，根据事故类型和影响程度，按照程序做好事故信息发布。信息发布要及时、准确、客观、全面。</w:t>
      </w:r>
    </w:p>
    <w:p w14:paraId="58973AF7">
      <w:pPr>
        <w:autoSpaceDE w:val="0"/>
        <w:autoSpaceDN w:val="0"/>
        <w:spacing w:line="560" w:lineRule="exact"/>
        <w:ind w:firstLine="624" w:firstLineChars="200"/>
        <w:rPr>
          <w:rFonts w:ascii="黑体" w:eastAsia="黑体" w:cs="黑体"/>
          <w:bCs/>
          <w:sz w:val="32"/>
          <w:szCs w:val="32"/>
        </w:rPr>
      </w:pPr>
      <w:r>
        <w:rPr>
          <w:rFonts w:hint="eastAsia" w:ascii="黑体" w:eastAsia="黑体" w:cs="黑体"/>
          <w:bCs/>
          <w:sz w:val="32"/>
          <w:szCs w:val="32"/>
          <w:lang w:val="zh-CN"/>
        </w:rPr>
        <w:t>四、保障措施</w:t>
      </w:r>
    </w:p>
    <w:p w14:paraId="5B00C6F0">
      <w:pPr>
        <w:autoSpaceDE w:val="0"/>
        <w:autoSpaceDN w:val="0"/>
        <w:spacing w:line="560" w:lineRule="exact"/>
        <w:ind w:firstLine="624" w:firstLineChars="200"/>
        <w:rPr>
          <w:rFonts w:ascii="仿宋_GB2312" w:eastAsia="仿宋_GB2312" w:cs="仿宋_GB2312"/>
          <w:sz w:val="32"/>
          <w:szCs w:val="32"/>
          <w:lang w:val="zh-CN"/>
        </w:rPr>
      </w:pPr>
      <w:r>
        <w:rPr>
          <w:rFonts w:hint="eastAsia" w:ascii="仿宋_GB2312" w:eastAsia="仿宋_GB2312" w:cs="仿宋_GB2312"/>
          <w:sz w:val="32"/>
          <w:szCs w:val="32"/>
          <w:lang w:val="zh-CN"/>
        </w:rPr>
        <w:t>街道办事处（管理处）及其有关部门、单位要按照职责分工，做好应对危险化学品生产安全事故各项保障工作。</w:t>
      </w:r>
    </w:p>
    <w:p w14:paraId="2F26815E">
      <w:pPr>
        <w:autoSpaceDE w:val="0"/>
        <w:autoSpaceDN w:val="0"/>
        <w:spacing w:line="560" w:lineRule="exact"/>
        <w:ind w:firstLine="624" w:firstLineChars="200"/>
        <w:rPr>
          <w:rFonts w:ascii="仿宋_GB2312" w:eastAsia="仿宋_GB2312"/>
          <w:sz w:val="32"/>
          <w:szCs w:val="32"/>
          <w:lang w:val="zh-CN"/>
        </w:rPr>
      </w:pPr>
      <w:r>
        <w:rPr>
          <w:rFonts w:hint="eastAsia" w:ascii="楷体_GB2312" w:eastAsia="楷体_GB2312" w:cs="仿宋_GB2312"/>
          <w:bCs/>
          <w:sz w:val="32"/>
          <w:szCs w:val="32"/>
          <w:lang w:val="zh-CN"/>
        </w:rPr>
        <w:t>（一）应急救援队伍保障。</w:t>
      </w:r>
      <w:r>
        <w:rPr>
          <w:rFonts w:hint="eastAsia" w:ascii="仿宋_GB2312" w:eastAsia="仿宋_GB2312" w:cs="仿宋_GB2312"/>
          <w:sz w:val="32"/>
          <w:szCs w:val="32"/>
          <w:lang w:val="zh-CN"/>
        </w:rPr>
        <w:t>以消防救援大队为事故应急救援骨干力量，山东省危险化学品鲁东安全生产应急救援中心、烟台市危险化学品事故应急救援技术支持中心、各区域应急救援队伍以及各企业应急救援队伍作为事故应急救援辅助力量。没有条件组建专业应急救援队伍的企业，要建立兼职救援队伍或与区域危险化学品应急救援</w:t>
      </w:r>
      <w:r>
        <w:rPr>
          <w:rFonts w:hint="eastAsia" w:ascii="仿宋_GB2312" w:eastAsia="仿宋_GB2312" w:cs="仿宋_GB2312"/>
          <w:sz w:val="32"/>
          <w:szCs w:val="32"/>
        </w:rPr>
        <w:t>队伍</w:t>
      </w:r>
      <w:r>
        <w:rPr>
          <w:rFonts w:hint="eastAsia" w:ascii="仿宋_GB2312" w:eastAsia="仿宋_GB2312" w:cs="仿宋_GB2312"/>
          <w:sz w:val="32"/>
          <w:szCs w:val="32"/>
          <w:lang w:val="zh-CN"/>
        </w:rPr>
        <w:t>签订应急救援协议。加强应急队伍业务培训和应急演练，提高应急救援能力。</w:t>
      </w:r>
    </w:p>
    <w:p w14:paraId="5B613F77">
      <w:pPr>
        <w:autoSpaceDE w:val="0"/>
        <w:autoSpaceDN w:val="0"/>
        <w:spacing w:line="560" w:lineRule="exact"/>
        <w:ind w:firstLine="624" w:firstLineChars="200"/>
        <w:rPr>
          <w:rFonts w:ascii="仿宋_GB2312" w:eastAsia="仿宋_GB2312" w:cs="仿宋_GB2312"/>
          <w:sz w:val="32"/>
          <w:szCs w:val="32"/>
        </w:rPr>
      </w:pPr>
      <w:r>
        <w:rPr>
          <w:rFonts w:hint="eastAsia" w:ascii="楷体_GB2312" w:eastAsia="楷体_GB2312" w:cs="仿宋_GB2312"/>
          <w:bCs/>
          <w:sz w:val="32"/>
          <w:szCs w:val="32"/>
          <w:lang w:val="zh-CN"/>
        </w:rPr>
        <w:t>（二）救援装备及物资保障。</w:t>
      </w:r>
      <w:r>
        <w:rPr>
          <w:rFonts w:hint="eastAsia" w:ascii="仿宋_GB2312" w:eastAsia="仿宋_GB2312" w:cs="仿宋_GB2312"/>
          <w:sz w:val="32"/>
          <w:szCs w:val="32"/>
          <w:lang w:val="zh-CN"/>
        </w:rPr>
        <w:t>各成员单位、危险化学品从业单位应按照职责分工，配备足够的应急救援物资、救援器材并保持完好。消防救援大队负责落实</w:t>
      </w:r>
      <w:r>
        <w:rPr>
          <w:rFonts w:hint="eastAsia" w:ascii="仿宋_GB2312" w:eastAsia="仿宋_GB2312" w:cs="仿宋_GB2312"/>
          <w:sz w:val="32"/>
          <w:szCs w:val="32"/>
        </w:rPr>
        <w:t>事故扑救所需的各种特种车辆、工具、器材和物资。</w:t>
      </w:r>
    </w:p>
    <w:p w14:paraId="0D15B24D">
      <w:pPr>
        <w:autoSpaceDE w:val="0"/>
        <w:autoSpaceDN w:val="0"/>
        <w:spacing w:line="560" w:lineRule="exact"/>
        <w:ind w:firstLine="624" w:firstLineChars="200"/>
        <w:rPr>
          <w:rFonts w:ascii="仿宋_GB2312" w:eastAsia="仿宋_GB2312"/>
          <w:sz w:val="32"/>
          <w:szCs w:val="32"/>
          <w:lang w:val="zh-CN"/>
        </w:rPr>
      </w:pPr>
      <w:r>
        <w:rPr>
          <w:rFonts w:hint="eastAsia" w:ascii="楷体_GB2312" w:eastAsia="楷体_GB2312" w:cs="仿宋_GB2312"/>
          <w:bCs/>
          <w:sz w:val="32"/>
          <w:szCs w:val="32"/>
          <w:lang w:val="zh-CN"/>
        </w:rPr>
        <w:t>（三）应急救援资金保障。</w:t>
      </w:r>
      <w:r>
        <w:rPr>
          <w:rFonts w:hint="eastAsia" w:ascii="仿宋_GB2312" w:eastAsia="仿宋_GB2312" w:cs="仿宋_GB2312"/>
          <w:sz w:val="32"/>
          <w:szCs w:val="32"/>
          <w:lang w:val="zh-CN"/>
        </w:rPr>
        <w:t>危险化学品从业单位应做好必要的应急救援资金储备。应急救援资金由事故责任单位承担。</w:t>
      </w:r>
    </w:p>
    <w:p w14:paraId="0940E0B5">
      <w:pPr>
        <w:autoSpaceDE w:val="0"/>
        <w:autoSpaceDN w:val="0"/>
        <w:spacing w:line="560" w:lineRule="exact"/>
        <w:ind w:firstLine="624" w:firstLineChars="200"/>
        <w:rPr>
          <w:rFonts w:ascii="仿宋_GB2312" w:eastAsia="仿宋_GB2312"/>
          <w:sz w:val="32"/>
          <w:szCs w:val="32"/>
          <w:lang w:val="zh-CN"/>
        </w:rPr>
      </w:pPr>
      <w:r>
        <w:rPr>
          <w:rFonts w:hint="eastAsia" w:ascii="楷体_GB2312" w:eastAsia="楷体_GB2312" w:cs="仿宋_GB2312"/>
          <w:bCs/>
          <w:sz w:val="32"/>
          <w:szCs w:val="32"/>
          <w:lang w:val="zh-CN"/>
        </w:rPr>
        <w:t>（四）医疗卫生保障。</w:t>
      </w:r>
      <w:r>
        <w:rPr>
          <w:rFonts w:hint="eastAsia" w:ascii="仿宋_GB2312" w:eastAsia="仿宋_GB2312" w:cs="仿宋_GB2312"/>
          <w:sz w:val="32"/>
          <w:szCs w:val="32"/>
          <w:lang w:val="zh-CN"/>
        </w:rPr>
        <w:t>区卫生健康管理办公室负责突发事件紧急医学救援，一旦发生事故及时开展医疗救治和疾病防控工作。</w:t>
      </w:r>
    </w:p>
    <w:p w14:paraId="62B74A72">
      <w:pPr>
        <w:autoSpaceDE w:val="0"/>
        <w:autoSpaceDN w:val="0"/>
        <w:spacing w:line="560" w:lineRule="exact"/>
        <w:ind w:firstLine="624" w:firstLineChars="200"/>
        <w:rPr>
          <w:rFonts w:ascii="黑体" w:eastAsia="黑体" w:cs="黑体"/>
          <w:bCs/>
          <w:sz w:val="32"/>
          <w:szCs w:val="32"/>
          <w:lang w:val="zh-CN"/>
        </w:rPr>
      </w:pPr>
      <w:r>
        <w:rPr>
          <w:rFonts w:hint="eastAsia" w:ascii="黑体" w:eastAsia="黑体" w:cs="黑体"/>
          <w:bCs/>
          <w:sz w:val="32"/>
          <w:szCs w:val="32"/>
          <w:lang w:val="zh-CN"/>
        </w:rPr>
        <w:t>五、监督管理</w:t>
      </w:r>
    </w:p>
    <w:p w14:paraId="721B3275">
      <w:pPr>
        <w:autoSpaceDE w:val="0"/>
        <w:autoSpaceDN w:val="0"/>
        <w:spacing w:line="560" w:lineRule="exact"/>
        <w:ind w:firstLine="624" w:firstLineChars="200"/>
        <w:rPr>
          <w:rFonts w:ascii="仿宋_GB2312" w:eastAsia="仿宋_GB2312" w:cs="仿宋_GB2312"/>
          <w:sz w:val="32"/>
          <w:szCs w:val="32"/>
          <w:lang w:val="zh-CN"/>
        </w:rPr>
      </w:pPr>
      <w:r>
        <w:rPr>
          <w:rFonts w:hint="eastAsia" w:ascii="楷体_GB2312" w:eastAsia="楷体_GB2312" w:cs="仿宋_GB2312"/>
          <w:bCs/>
          <w:sz w:val="32"/>
          <w:szCs w:val="32"/>
          <w:lang w:val="zh-CN"/>
        </w:rPr>
        <w:t>（一）宣传。</w:t>
      </w:r>
      <w:r>
        <w:rPr>
          <w:rFonts w:hint="eastAsia" w:ascii="仿宋_GB2312" w:eastAsia="仿宋_GB2312" w:cs="仿宋_GB2312"/>
          <w:sz w:val="32"/>
          <w:szCs w:val="32"/>
          <w:lang w:val="zh-CN"/>
        </w:rPr>
        <w:t>街道办事处（管理处）、指挥部各成员单位、相关部门和危险化学品从业单位要加强应急救援工作宣传、教育力度，广泛宣传事故应急预案、应急救援常识，增强救援人员和从业人员应急救援意识，提高预防、避险、避灾、自救、互救的能力。</w:t>
      </w:r>
    </w:p>
    <w:p w14:paraId="0B03AB4C">
      <w:pPr>
        <w:autoSpaceDE w:val="0"/>
        <w:autoSpaceDN w:val="0"/>
        <w:spacing w:line="560" w:lineRule="exact"/>
        <w:ind w:firstLine="624" w:firstLineChars="200"/>
        <w:rPr>
          <w:rFonts w:ascii="仿宋_GB2312" w:eastAsia="仿宋_GB2312" w:cs="仿宋_GB2312"/>
          <w:sz w:val="32"/>
          <w:szCs w:val="32"/>
          <w:lang w:val="zh-CN"/>
        </w:rPr>
      </w:pPr>
      <w:r>
        <w:rPr>
          <w:rFonts w:hint="eastAsia" w:ascii="楷体_GB2312" w:eastAsia="楷体_GB2312" w:cs="仿宋_GB2312"/>
          <w:bCs/>
          <w:sz w:val="32"/>
          <w:szCs w:val="32"/>
          <w:lang w:val="zh-CN"/>
        </w:rPr>
        <w:t>（二）培训。</w:t>
      </w:r>
      <w:r>
        <w:rPr>
          <w:rFonts w:hint="eastAsia" w:ascii="仿宋_GB2312" w:eastAsia="仿宋_GB2312" w:cs="仿宋_GB2312"/>
          <w:sz w:val="32"/>
          <w:szCs w:val="32"/>
          <w:lang w:val="zh-CN"/>
        </w:rPr>
        <w:t>各成员单位、消防救援大队、危险化学品应急救援队伍、危险化学品从业单位等应按照有关规定参加岗前和常规性技能培训和战备训练，确保救援队伍的战斗力。</w:t>
      </w:r>
    </w:p>
    <w:p w14:paraId="0BC27AC7">
      <w:pPr>
        <w:autoSpaceDE w:val="0"/>
        <w:autoSpaceDN w:val="0"/>
        <w:spacing w:line="560" w:lineRule="exact"/>
        <w:ind w:firstLine="624" w:firstLineChars="200"/>
        <w:rPr>
          <w:rFonts w:ascii="仿宋_GB2312" w:eastAsia="仿宋_GB2312" w:cs="仿宋_GB2312"/>
          <w:sz w:val="32"/>
          <w:szCs w:val="32"/>
          <w:lang w:val="zh-CN"/>
        </w:rPr>
      </w:pPr>
      <w:r>
        <w:rPr>
          <w:rFonts w:hint="eastAsia" w:ascii="楷体_GB2312" w:eastAsia="楷体_GB2312" w:cs="仿宋_GB2312"/>
          <w:bCs/>
          <w:sz w:val="32"/>
          <w:szCs w:val="32"/>
          <w:lang w:val="zh-CN"/>
        </w:rPr>
        <w:t>（三）演练。</w:t>
      </w:r>
      <w:r>
        <w:rPr>
          <w:rFonts w:hint="eastAsia" w:ascii="仿宋_GB2312" w:eastAsia="仿宋_GB2312" w:cs="仿宋_GB2312"/>
          <w:sz w:val="32"/>
          <w:szCs w:val="32"/>
          <w:lang w:val="zh-CN"/>
        </w:rPr>
        <w:t>各成员单位、应急救援队伍等，每年至少组织一次危险化学品模拟事故应急救援演练。危险化学品从业单位应当根据本单位特点，每年至少组织一次综合应急预案演练或者专项应急预案演练，每半年至少组织一次现场处置方案演练。演</w:t>
      </w:r>
      <w:r>
        <w:rPr>
          <w:rFonts w:hint="eastAsia" w:ascii="仿宋_GB2312" w:eastAsia="仿宋_GB2312" w:cs="仿宋_GB2312"/>
          <w:sz w:val="32"/>
          <w:szCs w:val="32"/>
        </w:rPr>
        <w:t>练</w:t>
      </w:r>
      <w:r>
        <w:rPr>
          <w:rFonts w:hint="eastAsia" w:ascii="仿宋_GB2312" w:eastAsia="仿宋_GB2312" w:cs="仿宋_GB2312"/>
          <w:sz w:val="32"/>
          <w:szCs w:val="32"/>
          <w:lang w:val="zh-CN"/>
        </w:rPr>
        <w:t>结束后，应及时进行总结评估，评价演练效果，评</w:t>
      </w:r>
      <w:r>
        <w:rPr>
          <w:rFonts w:hint="eastAsia" w:ascii="仿宋_GB2312" w:eastAsia="仿宋_GB2312" w:cs="仿宋_GB2312"/>
          <w:sz w:val="32"/>
          <w:szCs w:val="32"/>
        </w:rPr>
        <w:t>估</w:t>
      </w:r>
      <w:r>
        <w:rPr>
          <w:rFonts w:hint="eastAsia" w:ascii="仿宋_GB2312" w:eastAsia="仿宋_GB2312" w:cs="仿宋_GB2312"/>
          <w:sz w:val="32"/>
          <w:szCs w:val="32"/>
          <w:lang w:val="zh-CN"/>
        </w:rPr>
        <w:t>应急预案的有效性、充分性和</w:t>
      </w:r>
      <w:r>
        <w:rPr>
          <w:rFonts w:hint="eastAsia" w:ascii="仿宋_GB2312" w:eastAsia="仿宋_GB2312" w:cs="仿宋_GB2312"/>
          <w:sz w:val="32"/>
          <w:szCs w:val="32"/>
        </w:rPr>
        <w:t>衔接性</w:t>
      </w:r>
      <w:r>
        <w:rPr>
          <w:rFonts w:hint="eastAsia" w:ascii="仿宋_GB2312" w:eastAsia="仿宋_GB2312" w:cs="仿宋_GB2312"/>
          <w:sz w:val="32"/>
          <w:szCs w:val="32"/>
          <w:lang w:val="zh-CN"/>
        </w:rPr>
        <w:t>，并把演练评审报告上报主管部门和当地</w:t>
      </w:r>
      <w:r>
        <w:rPr>
          <w:rFonts w:hint="eastAsia" w:ascii="仿宋_GB2312" w:eastAsia="仿宋_GB2312" w:cs="仿宋_GB2312"/>
          <w:sz w:val="32"/>
          <w:szCs w:val="32"/>
        </w:rPr>
        <w:t>应急</w:t>
      </w:r>
      <w:r>
        <w:rPr>
          <w:rFonts w:hint="eastAsia" w:ascii="仿宋_GB2312" w:eastAsia="仿宋_GB2312" w:cs="仿宋_GB2312"/>
          <w:sz w:val="32"/>
          <w:szCs w:val="32"/>
          <w:lang w:val="zh-CN"/>
        </w:rPr>
        <w:t>部门。</w:t>
      </w:r>
    </w:p>
    <w:p w14:paraId="34D5EBFF">
      <w:pPr>
        <w:autoSpaceDE w:val="0"/>
        <w:autoSpaceDN w:val="0"/>
        <w:spacing w:line="560" w:lineRule="exact"/>
        <w:ind w:firstLine="624" w:firstLineChars="200"/>
        <w:rPr>
          <w:rFonts w:ascii="楷体_GB2312" w:eastAsia="楷体_GB2312" w:cs="仿宋_GB2312"/>
          <w:bCs/>
          <w:sz w:val="32"/>
          <w:szCs w:val="32"/>
          <w:lang w:val="zh-CN"/>
        </w:rPr>
      </w:pPr>
      <w:r>
        <w:rPr>
          <w:rFonts w:hint="eastAsia" w:ascii="楷体_GB2312" w:eastAsia="楷体_GB2312" w:cs="仿宋_GB2312"/>
          <w:bCs/>
          <w:sz w:val="32"/>
          <w:szCs w:val="32"/>
          <w:lang w:val="zh-CN"/>
        </w:rPr>
        <w:t>（四）奖惩。</w:t>
      </w:r>
      <w:r>
        <w:rPr>
          <w:rFonts w:hint="eastAsia" w:ascii="仿宋_GB2312" w:eastAsia="仿宋_GB2312" w:cs="仿宋_GB2312"/>
          <w:sz w:val="32"/>
          <w:szCs w:val="32"/>
          <w:lang w:val="zh-CN"/>
        </w:rPr>
        <w:t>对在危险化学品事故应急处置中做出重大贡献的单位和个人予以表扬；对未按照预案要求履行职责，造成重大损失的，按照有关规定和干部管理权限给予行政处分；构成犯罪的，依法追究刑事责任。</w:t>
      </w:r>
    </w:p>
    <w:p w14:paraId="6BE07FC5">
      <w:pPr>
        <w:autoSpaceDE w:val="0"/>
        <w:autoSpaceDN w:val="0"/>
        <w:spacing w:line="560" w:lineRule="exact"/>
        <w:ind w:firstLine="624" w:firstLineChars="200"/>
        <w:rPr>
          <w:rFonts w:ascii="黑体" w:eastAsia="黑体" w:cs="黑体"/>
          <w:bCs/>
          <w:sz w:val="32"/>
          <w:szCs w:val="32"/>
          <w:lang w:val="zh-CN"/>
        </w:rPr>
      </w:pPr>
      <w:r>
        <w:rPr>
          <w:rFonts w:hint="eastAsia" w:ascii="黑体" w:eastAsia="黑体" w:cs="黑体"/>
          <w:bCs/>
          <w:sz w:val="32"/>
          <w:szCs w:val="32"/>
          <w:lang w:val="zh-CN"/>
        </w:rPr>
        <w:t>六、附则</w:t>
      </w:r>
    </w:p>
    <w:p w14:paraId="0CC0BC7B">
      <w:pPr>
        <w:autoSpaceDE w:val="0"/>
        <w:autoSpaceDN w:val="0"/>
        <w:spacing w:line="560" w:lineRule="exact"/>
        <w:ind w:firstLine="624" w:firstLineChars="200"/>
        <w:rPr>
          <w:rFonts w:ascii="仿宋_GB2312" w:eastAsia="仿宋_GB2312" w:cs="仿宋_GB2312"/>
          <w:bCs/>
          <w:sz w:val="32"/>
          <w:szCs w:val="32"/>
          <w:lang w:val="zh-CN"/>
        </w:rPr>
      </w:pPr>
      <w:r>
        <w:rPr>
          <w:rFonts w:hint="eastAsia" w:ascii="楷体_GB2312" w:eastAsia="楷体_GB2312" w:cs="仿宋_GB2312"/>
          <w:bCs/>
          <w:sz w:val="32"/>
          <w:szCs w:val="32"/>
          <w:lang w:val="zh-CN"/>
        </w:rPr>
        <w:t>（一）预案管理。</w:t>
      </w:r>
      <w:r>
        <w:rPr>
          <w:rFonts w:hint="eastAsia" w:ascii="仿宋_GB2312" w:eastAsia="仿宋_GB2312" w:cs="仿宋_GB2312"/>
          <w:sz w:val="32"/>
          <w:szCs w:val="32"/>
          <w:lang w:val="zh-CN"/>
        </w:rPr>
        <w:t>街道办事处（管理处）、各成员单位和相关部门、单位要根据本预案和职责分工，制定相应的应急预案。本预案所依据的法律法规、所涉及的机构和职能发生重大改变，或在执行中发现不足，由区应急管理分局组织修订。</w:t>
      </w:r>
    </w:p>
    <w:p w14:paraId="76979D61">
      <w:pPr>
        <w:autoSpaceDE w:val="0"/>
        <w:autoSpaceDN w:val="0"/>
        <w:spacing w:line="560" w:lineRule="exact"/>
        <w:ind w:firstLine="624" w:firstLineChars="200"/>
        <w:rPr>
          <w:rFonts w:ascii="仿宋_GB2312" w:eastAsia="仿宋_GB2312" w:cs="仿宋_GB2312"/>
          <w:sz w:val="32"/>
          <w:szCs w:val="32"/>
          <w:lang w:val="zh-CN"/>
        </w:rPr>
      </w:pPr>
      <w:r>
        <w:rPr>
          <w:rFonts w:hint="eastAsia" w:ascii="楷体_GB2312" w:eastAsia="楷体_GB2312" w:cs="仿宋_GB2312"/>
          <w:bCs/>
          <w:sz w:val="32"/>
          <w:szCs w:val="32"/>
          <w:lang w:val="zh-CN"/>
        </w:rPr>
        <w:t>（二）发布实施。</w:t>
      </w:r>
      <w:r>
        <w:rPr>
          <w:rFonts w:hint="eastAsia" w:ascii="仿宋_GB2312" w:eastAsia="仿宋_GB2312" w:cs="仿宋_GB2312"/>
          <w:sz w:val="32"/>
          <w:szCs w:val="32"/>
          <w:lang w:val="zh-CN"/>
        </w:rPr>
        <w:t>本预案由区应急管理分局负责解释，自发布之日起实施。</w:t>
      </w:r>
    </w:p>
    <w:p w14:paraId="45FF23B6">
      <w:pPr>
        <w:autoSpaceDE w:val="0"/>
        <w:autoSpaceDN w:val="0"/>
        <w:spacing w:line="560" w:lineRule="exact"/>
        <w:ind w:firstLine="624" w:firstLineChars="200"/>
        <w:rPr>
          <w:rFonts w:ascii="仿宋_GB2312" w:eastAsia="仿宋_GB2312" w:cs="仿宋_GB2312"/>
          <w:sz w:val="32"/>
          <w:szCs w:val="32"/>
          <w:lang w:val="zh-CN"/>
        </w:rPr>
      </w:pPr>
    </w:p>
    <w:p w14:paraId="7DD973C9">
      <w:pPr>
        <w:autoSpaceDE w:val="0"/>
        <w:autoSpaceDN w:val="0"/>
        <w:spacing w:line="560" w:lineRule="exact"/>
        <w:ind w:firstLine="624" w:firstLineChars="200"/>
        <w:rPr>
          <w:rFonts w:ascii="仿宋_GB2312" w:eastAsia="仿宋_GB2312" w:cs="仿宋_GB2312"/>
          <w:sz w:val="32"/>
          <w:szCs w:val="32"/>
          <w:lang w:val="zh-CN"/>
        </w:rPr>
      </w:pPr>
      <w:r>
        <w:rPr>
          <w:rFonts w:hint="eastAsia" w:ascii="仿宋_GB2312" w:eastAsia="仿宋_GB2312" w:cs="仿宋_GB2312"/>
          <w:sz w:val="32"/>
          <w:szCs w:val="32"/>
          <w:lang w:val="zh-CN"/>
        </w:rPr>
        <w:t>附件：</w:t>
      </w:r>
      <w:r>
        <w:rPr>
          <w:rFonts w:hint="eastAsia" w:ascii="仿宋_GB2312" w:eastAsia="仿宋_GB2312" w:cs="仿宋_GB2312"/>
          <w:sz w:val="32"/>
          <w:szCs w:val="32"/>
        </w:rPr>
        <w:t>1.</w:t>
      </w:r>
      <w:r>
        <w:rPr>
          <w:rFonts w:hint="eastAsia" w:ascii="仿宋_GB2312" w:eastAsia="仿宋_GB2312" w:cs="仿宋_GB2312"/>
          <w:sz w:val="32"/>
          <w:szCs w:val="32"/>
          <w:lang w:val="zh-CN"/>
        </w:rPr>
        <w:t>危险化学品事故分级</w:t>
      </w:r>
    </w:p>
    <w:p w14:paraId="198327AC">
      <w:pPr>
        <w:autoSpaceDE w:val="0"/>
        <w:autoSpaceDN w:val="0"/>
        <w:spacing w:line="560" w:lineRule="exact"/>
        <w:ind w:firstLine="1657" w:firstLineChars="531"/>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sz w:val="32"/>
          <w:szCs w:val="32"/>
          <w:lang w:val="zh-CN"/>
        </w:rPr>
        <w:t>事故风险评估</w:t>
      </w:r>
    </w:p>
    <w:p w14:paraId="0361FD33">
      <w:pPr>
        <w:autoSpaceDE w:val="0"/>
        <w:autoSpaceDN w:val="0"/>
        <w:spacing w:line="560" w:lineRule="exact"/>
        <w:ind w:firstLine="1657" w:firstLineChars="531"/>
        <w:rPr>
          <w:rFonts w:ascii="仿宋_GB2312" w:eastAsia="仿宋_GB2312" w:cs="仿宋_GB2312"/>
          <w:sz w:val="32"/>
          <w:szCs w:val="32"/>
        </w:rPr>
      </w:pPr>
      <w:r>
        <w:rPr>
          <w:rFonts w:hint="eastAsia" w:ascii="仿宋_GB2312" w:eastAsia="仿宋_GB2312" w:cs="仿宋_GB2312"/>
          <w:sz w:val="32"/>
          <w:szCs w:val="32"/>
        </w:rPr>
        <w:t>3.应急处置单位联系电话</w:t>
      </w:r>
    </w:p>
    <w:p w14:paraId="295421C6">
      <w:pPr>
        <w:autoSpaceDE w:val="0"/>
        <w:autoSpaceDN w:val="0"/>
        <w:spacing w:line="560" w:lineRule="exact"/>
        <w:ind w:firstLine="1657" w:firstLineChars="531"/>
        <w:rPr>
          <w:rFonts w:ascii="仿宋_GB2312" w:eastAsia="仿宋_GB2312" w:cs="仿宋_GB2312"/>
          <w:sz w:val="32"/>
          <w:szCs w:val="32"/>
          <w:lang w:val="zh-CN"/>
        </w:rPr>
      </w:pPr>
      <w:r>
        <w:rPr>
          <w:rFonts w:hint="eastAsia" w:ascii="仿宋_GB2312" w:eastAsia="仿宋_GB2312" w:cs="仿宋_GB2312"/>
          <w:sz w:val="32"/>
          <w:szCs w:val="32"/>
        </w:rPr>
        <w:t>4.应急资源调查</w:t>
      </w:r>
    </w:p>
    <w:p w14:paraId="70F2BECA">
      <w:pPr>
        <w:autoSpaceDE w:val="0"/>
        <w:autoSpaceDN w:val="0"/>
        <w:spacing w:line="560" w:lineRule="exact"/>
        <w:ind w:firstLine="1657" w:firstLineChars="531"/>
        <w:rPr>
          <w:rFonts w:ascii="仿宋_GB2312" w:eastAsia="仿宋_GB2312" w:cs="仿宋_GB2312"/>
          <w:sz w:val="32"/>
          <w:szCs w:val="32"/>
          <w:lang w:val="zh-CN"/>
        </w:rPr>
      </w:pPr>
      <w:r>
        <w:rPr>
          <w:rFonts w:hint="eastAsia" w:ascii="仿宋_GB2312" w:eastAsia="仿宋_GB2312" w:cs="仿宋_GB2312"/>
          <w:sz w:val="32"/>
          <w:szCs w:val="32"/>
          <w:lang w:val="zh-CN"/>
        </w:rPr>
        <w:t>5.应急专家</w:t>
      </w:r>
    </w:p>
    <w:p w14:paraId="256C80FD">
      <w:pPr>
        <w:autoSpaceDE w:val="0"/>
        <w:autoSpaceDN w:val="0"/>
        <w:spacing w:line="360" w:lineRule="auto"/>
        <w:rPr>
          <w:rFonts w:ascii="黑体" w:eastAsia="黑体" w:cs="仿宋_GB2312"/>
          <w:sz w:val="32"/>
          <w:szCs w:val="32"/>
          <w:lang w:val="zh-CN"/>
        </w:rPr>
      </w:pPr>
    </w:p>
    <w:p w14:paraId="13A8CCE0">
      <w:pPr>
        <w:autoSpaceDE w:val="0"/>
        <w:autoSpaceDN w:val="0"/>
        <w:spacing w:line="360" w:lineRule="auto"/>
        <w:rPr>
          <w:rFonts w:ascii="黑体" w:eastAsia="黑体" w:cs="仿宋_GB2312"/>
          <w:sz w:val="32"/>
          <w:szCs w:val="32"/>
          <w:lang w:val="zh-CN"/>
        </w:rPr>
      </w:pPr>
    </w:p>
    <w:p w14:paraId="31AA361C">
      <w:pPr>
        <w:autoSpaceDE w:val="0"/>
        <w:autoSpaceDN w:val="0"/>
        <w:spacing w:line="360" w:lineRule="auto"/>
        <w:rPr>
          <w:rFonts w:ascii="黑体" w:eastAsia="黑体" w:cs="仿宋_GB2312"/>
          <w:sz w:val="32"/>
          <w:szCs w:val="32"/>
          <w:lang w:val="zh-CN"/>
        </w:rPr>
      </w:pPr>
    </w:p>
    <w:p w14:paraId="34E0E286">
      <w:pPr>
        <w:autoSpaceDE w:val="0"/>
        <w:autoSpaceDN w:val="0"/>
        <w:spacing w:line="360" w:lineRule="auto"/>
        <w:rPr>
          <w:rFonts w:ascii="黑体" w:eastAsia="黑体" w:cs="仿宋_GB2312"/>
          <w:sz w:val="32"/>
          <w:szCs w:val="32"/>
          <w:lang w:val="zh-CN"/>
        </w:rPr>
      </w:pPr>
    </w:p>
    <w:p w14:paraId="5A700C2F">
      <w:pPr>
        <w:autoSpaceDE w:val="0"/>
        <w:autoSpaceDN w:val="0"/>
        <w:spacing w:line="360" w:lineRule="auto"/>
        <w:rPr>
          <w:rFonts w:ascii="黑体" w:eastAsia="黑体" w:cs="仿宋_GB2312"/>
          <w:sz w:val="32"/>
          <w:szCs w:val="32"/>
          <w:lang w:val="zh-CN"/>
        </w:rPr>
      </w:pPr>
    </w:p>
    <w:p w14:paraId="03EB2BD6">
      <w:pPr>
        <w:autoSpaceDE w:val="0"/>
        <w:autoSpaceDN w:val="0"/>
        <w:spacing w:line="360" w:lineRule="auto"/>
        <w:rPr>
          <w:rFonts w:ascii="黑体" w:eastAsia="黑体" w:cs="仿宋_GB2312"/>
          <w:sz w:val="32"/>
          <w:szCs w:val="32"/>
          <w:lang w:val="zh-CN"/>
        </w:rPr>
      </w:pPr>
    </w:p>
    <w:p w14:paraId="7C81CF77">
      <w:pPr>
        <w:autoSpaceDE w:val="0"/>
        <w:autoSpaceDN w:val="0"/>
        <w:spacing w:line="360" w:lineRule="auto"/>
        <w:rPr>
          <w:rFonts w:ascii="黑体" w:eastAsia="黑体" w:cs="仿宋_GB2312"/>
          <w:sz w:val="32"/>
          <w:szCs w:val="32"/>
          <w:lang w:val="zh-CN"/>
        </w:rPr>
      </w:pPr>
    </w:p>
    <w:p w14:paraId="6CD34113">
      <w:pPr>
        <w:autoSpaceDE w:val="0"/>
        <w:autoSpaceDN w:val="0"/>
        <w:spacing w:line="360" w:lineRule="auto"/>
        <w:rPr>
          <w:rFonts w:ascii="黑体" w:eastAsia="黑体" w:cs="仿宋_GB2312"/>
          <w:sz w:val="32"/>
          <w:szCs w:val="32"/>
        </w:rPr>
      </w:pPr>
      <w:r>
        <w:rPr>
          <w:rFonts w:hint="eastAsia" w:ascii="黑体" w:eastAsia="黑体" w:cs="仿宋_GB2312"/>
          <w:sz w:val="32"/>
          <w:szCs w:val="32"/>
          <w:lang w:val="zh-CN"/>
        </w:rPr>
        <w:t>附件</w:t>
      </w:r>
      <w:r>
        <w:rPr>
          <w:rFonts w:hint="eastAsia" w:ascii="黑体" w:eastAsia="黑体" w:cs="仿宋_GB2312"/>
          <w:sz w:val="32"/>
          <w:szCs w:val="32"/>
        </w:rPr>
        <w:t>1</w:t>
      </w:r>
    </w:p>
    <w:p w14:paraId="08F4EF19">
      <w:pPr>
        <w:autoSpaceDE w:val="0"/>
        <w:autoSpaceDN w:val="0"/>
        <w:spacing w:line="560" w:lineRule="exact"/>
        <w:jc w:val="center"/>
        <w:rPr>
          <w:rFonts w:ascii="方正小标宋简体" w:hAnsi="华文中宋" w:eastAsia="方正小标宋简体" w:cs="仿宋_GB2312"/>
          <w:bCs/>
          <w:sz w:val="44"/>
          <w:szCs w:val="44"/>
          <w:lang w:val="zh-CN"/>
        </w:rPr>
      </w:pPr>
      <w:r>
        <w:rPr>
          <w:rFonts w:hint="eastAsia" w:ascii="方正小标宋简体" w:hAnsi="华文中宋" w:eastAsia="方正小标宋简体" w:cs="仿宋_GB2312"/>
          <w:bCs/>
          <w:sz w:val="44"/>
          <w:szCs w:val="44"/>
          <w:lang w:val="zh-CN"/>
        </w:rPr>
        <w:t>危险化学品事故分级</w:t>
      </w:r>
    </w:p>
    <w:tbl>
      <w:tblPr>
        <w:tblStyle w:val="12"/>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7018"/>
      </w:tblGrid>
      <w:tr w14:paraId="4B0B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598" w:type="dxa"/>
            <w:vAlign w:val="center"/>
          </w:tcPr>
          <w:p w14:paraId="23443C06">
            <w:pPr>
              <w:autoSpaceDE w:val="0"/>
              <w:autoSpaceDN w:val="0"/>
              <w:spacing w:line="560" w:lineRule="exact"/>
              <w:jc w:val="center"/>
              <w:rPr>
                <w:rFonts w:ascii="方正小标宋简体" w:eastAsia="方正小标宋简体" w:cs="仿宋_GB2312"/>
                <w:sz w:val="32"/>
                <w:szCs w:val="32"/>
                <w:lang w:val="zh-CN"/>
              </w:rPr>
            </w:pPr>
            <w:r>
              <w:rPr>
                <w:rFonts w:hint="eastAsia" w:ascii="方正小标宋简体" w:eastAsia="方正小标宋简体" w:cs="仿宋_GB2312"/>
                <w:sz w:val="32"/>
                <w:szCs w:val="32"/>
                <w:lang w:val="zh-CN"/>
              </w:rPr>
              <w:t>等 级</w:t>
            </w:r>
          </w:p>
        </w:tc>
        <w:tc>
          <w:tcPr>
            <w:tcW w:w="7018" w:type="dxa"/>
            <w:vAlign w:val="center"/>
          </w:tcPr>
          <w:p w14:paraId="42E33FFE">
            <w:pPr>
              <w:autoSpaceDE w:val="0"/>
              <w:autoSpaceDN w:val="0"/>
              <w:spacing w:line="560" w:lineRule="exact"/>
              <w:jc w:val="center"/>
              <w:rPr>
                <w:rFonts w:ascii="方正小标宋简体" w:eastAsia="方正小标宋简体" w:cs="仿宋_GB2312"/>
                <w:sz w:val="32"/>
                <w:szCs w:val="32"/>
                <w:lang w:val="zh-CN"/>
              </w:rPr>
            </w:pPr>
            <w:r>
              <w:rPr>
                <w:rFonts w:hint="eastAsia" w:ascii="方正小标宋简体" w:eastAsia="方正小标宋简体" w:cs="仿宋_GB2312"/>
                <w:sz w:val="32"/>
                <w:szCs w:val="32"/>
                <w:lang w:val="zh-CN"/>
              </w:rPr>
              <w:t>分级标准</w:t>
            </w:r>
          </w:p>
        </w:tc>
      </w:tr>
      <w:tr w14:paraId="70BC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vAlign w:val="center"/>
          </w:tcPr>
          <w:p w14:paraId="0BB2D620">
            <w:pPr>
              <w:autoSpaceDE w:val="0"/>
              <w:autoSpaceDN w:val="0"/>
              <w:spacing w:line="560" w:lineRule="exact"/>
              <w:jc w:val="center"/>
              <w:rPr>
                <w:rFonts w:ascii="仿宋_GB2312" w:eastAsia="仿宋_GB2312" w:cs="仿宋_GB2312"/>
                <w:sz w:val="32"/>
                <w:szCs w:val="32"/>
                <w:lang w:val="zh-CN"/>
              </w:rPr>
            </w:pPr>
            <w:r>
              <w:rPr>
                <w:rFonts w:hint="eastAsia" w:ascii="仿宋_GB2312" w:eastAsia="仿宋_GB2312" w:cs="仿宋_GB2312"/>
                <w:sz w:val="32"/>
                <w:szCs w:val="32"/>
                <w:lang w:val="zh-CN"/>
              </w:rPr>
              <w:t>特别重大事故</w:t>
            </w:r>
          </w:p>
        </w:tc>
        <w:tc>
          <w:tcPr>
            <w:tcW w:w="7018" w:type="dxa"/>
          </w:tcPr>
          <w:p w14:paraId="35BD60FF">
            <w:pPr>
              <w:autoSpaceDE w:val="0"/>
              <w:autoSpaceDN w:val="0"/>
              <w:spacing w:line="560" w:lineRule="exact"/>
              <w:rPr>
                <w:rFonts w:ascii="仿宋_GB2312" w:eastAsia="仿宋_GB2312"/>
                <w:sz w:val="32"/>
                <w:szCs w:val="32"/>
                <w:lang w:val="zh-CN"/>
              </w:rPr>
            </w:pPr>
            <w:r>
              <w:rPr>
                <w:rFonts w:hint="eastAsia" w:ascii="仿宋_GB2312" w:eastAsia="仿宋_GB2312" w:cs="仿宋_GB2312"/>
                <w:sz w:val="32"/>
                <w:szCs w:val="32"/>
                <w:lang w:val="zh-CN"/>
              </w:rPr>
              <w:t>（1）造成或可能造成30人以上（含，下同）死亡（含失踪）的事故；</w:t>
            </w:r>
          </w:p>
          <w:p w14:paraId="5D27AE60">
            <w:pPr>
              <w:autoSpaceDE w:val="0"/>
              <w:autoSpaceDN w:val="0"/>
              <w:spacing w:line="560" w:lineRule="exact"/>
              <w:rPr>
                <w:rFonts w:ascii="仿宋_GB2312" w:eastAsia="仿宋_GB2312"/>
                <w:sz w:val="32"/>
                <w:szCs w:val="32"/>
                <w:lang w:val="zh-CN"/>
              </w:rPr>
            </w:pPr>
            <w:r>
              <w:rPr>
                <w:rFonts w:hint="eastAsia" w:ascii="仿宋_GB2312" w:eastAsia="仿宋_GB2312" w:cs="仿宋_GB2312"/>
                <w:sz w:val="32"/>
                <w:szCs w:val="32"/>
                <w:lang w:val="zh-CN"/>
              </w:rPr>
              <w:t>（2）造成100人以上重伤（包括急性工业中毒）事故；</w:t>
            </w:r>
          </w:p>
          <w:p w14:paraId="1F18CF97">
            <w:pPr>
              <w:autoSpaceDE w:val="0"/>
              <w:autoSpaceDN w:val="0"/>
              <w:spacing w:line="560" w:lineRule="exact"/>
              <w:rPr>
                <w:rFonts w:ascii="仿宋_GB2312" w:eastAsia="仿宋_GB2312"/>
                <w:sz w:val="32"/>
                <w:szCs w:val="32"/>
                <w:lang w:val="zh-CN"/>
              </w:rPr>
            </w:pPr>
            <w:r>
              <w:rPr>
                <w:rFonts w:hint="eastAsia" w:ascii="仿宋_GB2312" w:eastAsia="仿宋_GB2312" w:cs="仿宋_GB2312"/>
                <w:sz w:val="32"/>
                <w:szCs w:val="32"/>
                <w:lang w:val="zh-CN"/>
              </w:rPr>
              <w:t>（3）造成直接经济损失1亿元以上或特别重大社会影响等事故。</w:t>
            </w:r>
          </w:p>
        </w:tc>
      </w:tr>
      <w:tr w14:paraId="367F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vAlign w:val="center"/>
          </w:tcPr>
          <w:p w14:paraId="4A4014B8">
            <w:pPr>
              <w:autoSpaceDE w:val="0"/>
              <w:autoSpaceDN w:val="0"/>
              <w:spacing w:line="560" w:lineRule="exact"/>
              <w:jc w:val="center"/>
              <w:rPr>
                <w:rFonts w:ascii="仿宋_GB2312" w:eastAsia="仿宋_GB2312" w:cs="仿宋_GB2312"/>
                <w:sz w:val="32"/>
                <w:szCs w:val="32"/>
                <w:lang w:val="zh-CN"/>
              </w:rPr>
            </w:pPr>
            <w:r>
              <w:rPr>
                <w:rFonts w:hint="eastAsia" w:ascii="仿宋_GB2312" w:eastAsia="仿宋_GB2312" w:cs="仿宋_GB2312"/>
                <w:sz w:val="32"/>
                <w:szCs w:val="32"/>
                <w:lang w:val="zh-CN"/>
              </w:rPr>
              <w:t>重大</w:t>
            </w:r>
          </w:p>
          <w:p w14:paraId="78E0DA7D">
            <w:pPr>
              <w:autoSpaceDE w:val="0"/>
              <w:autoSpaceDN w:val="0"/>
              <w:spacing w:line="560" w:lineRule="exact"/>
              <w:jc w:val="center"/>
              <w:rPr>
                <w:rFonts w:ascii="仿宋_GB2312" w:eastAsia="仿宋_GB2312" w:cs="仿宋_GB2312"/>
                <w:sz w:val="32"/>
                <w:szCs w:val="32"/>
                <w:lang w:val="zh-CN"/>
              </w:rPr>
            </w:pPr>
            <w:r>
              <w:rPr>
                <w:rFonts w:hint="eastAsia" w:ascii="仿宋_GB2312" w:eastAsia="仿宋_GB2312" w:cs="仿宋_GB2312"/>
                <w:sz w:val="32"/>
                <w:szCs w:val="32"/>
                <w:lang w:val="zh-CN"/>
              </w:rPr>
              <w:t>事故</w:t>
            </w:r>
          </w:p>
        </w:tc>
        <w:tc>
          <w:tcPr>
            <w:tcW w:w="7018" w:type="dxa"/>
          </w:tcPr>
          <w:p w14:paraId="26EB279B">
            <w:pPr>
              <w:autoSpaceDE w:val="0"/>
              <w:autoSpaceDN w:val="0"/>
              <w:spacing w:line="560" w:lineRule="exact"/>
              <w:rPr>
                <w:rFonts w:ascii="仿宋_GB2312" w:eastAsia="仿宋_GB2312"/>
                <w:sz w:val="32"/>
                <w:szCs w:val="32"/>
                <w:lang w:val="zh-CN"/>
              </w:rPr>
            </w:pPr>
            <w:r>
              <w:rPr>
                <w:rFonts w:hint="eastAsia" w:ascii="仿宋_GB2312" w:eastAsia="仿宋_GB2312" w:cs="仿宋_GB2312"/>
                <w:sz w:val="32"/>
                <w:szCs w:val="32"/>
                <w:lang w:val="zh-CN"/>
              </w:rPr>
              <w:t>（1）造成</w:t>
            </w:r>
            <w:r>
              <w:rPr>
                <w:rFonts w:hint="eastAsia" w:ascii="仿宋_GB2312" w:eastAsia="仿宋_GB2312"/>
                <w:sz w:val="32"/>
                <w:szCs w:val="32"/>
              </w:rPr>
              <w:t>10</w:t>
            </w:r>
            <w:r>
              <w:rPr>
                <w:rFonts w:hint="eastAsia" w:ascii="仿宋_GB2312" w:eastAsia="仿宋_GB2312" w:cs="仿宋_GB2312"/>
                <w:sz w:val="32"/>
                <w:szCs w:val="32"/>
              </w:rPr>
              <w:t>人以上</w:t>
            </w:r>
            <w:r>
              <w:rPr>
                <w:rFonts w:hint="eastAsia" w:ascii="仿宋_GB2312" w:eastAsia="仿宋_GB2312"/>
                <w:sz w:val="32"/>
                <w:szCs w:val="32"/>
              </w:rPr>
              <w:t>30</w:t>
            </w:r>
            <w:r>
              <w:rPr>
                <w:rFonts w:hint="eastAsia" w:ascii="仿宋_GB2312" w:eastAsia="仿宋_GB2312" w:cs="仿宋_GB2312"/>
                <w:sz w:val="32"/>
                <w:szCs w:val="32"/>
              </w:rPr>
              <w:t>人以下（不含，下同）死亡</w:t>
            </w:r>
            <w:r>
              <w:rPr>
                <w:rFonts w:hint="eastAsia" w:ascii="仿宋_GB2312" w:eastAsia="仿宋_GB2312" w:cs="仿宋_GB2312"/>
                <w:sz w:val="32"/>
                <w:szCs w:val="32"/>
                <w:lang w:val="zh-CN"/>
              </w:rPr>
              <w:t>的事故；</w:t>
            </w:r>
          </w:p>
          <w:p w14:paraId="4BFC3462">
            <w:pPr>
              <w:autoSpaceDE w:val="0"/>
              <w:autoSpaceDN w:val="0"/>
              <w:spacing w:line="560" w:lineRule="exact"/>
              <w:rPr>
                <w:rFonts w:ascii="仿宋_GB2312" w:eastAsia="仿宋_GB2312"/>
                <w:sz w:val="32"/>
                <w:szCs w:val="32"/>
                <w:lang w:val="zh-CN"/>
              </w:rPr>
            </w:pPr>
            <w:r>
              <w:rPr>
                <w:rFonts w:hint="eastAsia" w:ascii="仿宋_GB2312" w:eastAsia="仿宋_GB2312" w:cs="仿宋_GB2312"/>
                <w:sz w:val="32"/>
                <w:szCs w:val="32"/>
                <w:lang w:val="zh-CN"/>
              </w:rPr>
              <w:t>（2）造成</w:t>
            </w:r>
            <w:r>
              <w:rPr>
                <w:rFonts w:hint="eastAsia" w:ascii="仿宋_GB2312" w:eastAsia="仿宋_GB2312"/>
                <w:sz w:val="32"/>
                <w:szCs w:val="32"/>
              </w:rPr>
              <w:t>50</w:t>
            </w:r>
            <w:r>
              <w:rPr>
                <w:rFonts w:hint="eastAsia" w:ascii="仿宋_GB2312" w:eastAsia="仿宋_GB2312" w:cs="仿宋_GB2312"/>
                <w:sz w:val="32"/>
                <w:szCs w:val="32"/>
              </w:rPr>
              <w:t>人以上</w:t>
            </w:r>
            <w:r>
              <w:rPr>
                <w:rFonts w:hint="eastAsia" w:ascii="仿宋_GB2312" w:eastAsia="仿宋_GB2312"/>
                <w:sz w:val="32"/>
                <w:szCs w:val="32"/>
              </w:rPr>
              <w:t>100</w:t>
            </w:r>
            <w:r>
              <w:rPr>
                <w:rFonts w:hint="eastAsia" w:ascii="仿宋_GB2312" w:eastAsia="仿宋_GB2312" w:cs="仿宋_GB2312"/>
                <w:sz w:val="32"/>
                <w:szCs w:val="32"/>
              </w:rPr>
              <w:t>人以下重伤</w:t>
            </w:r>
            <w:r>
              <w:rPr>
                <w:rFonts w:hint="eastAsia" w:ascii="仿宋_GB2312" w:eastAsia="仿宋_GB2312" w:cs="仿宋_GB2312"/>
                <w:sz w:val="32"/>
                <w:szCs w:val="32"/>
                <w:lang w:val="zh-CN"/>
              </w:rPr>
              <w:t>的事故；</w:t>
            </w:r>
          </w:p>
          <w:p w14:paraId="6BA07444">
            <w:pPr>
              <w:autoSpaceDE w:val="0"/>
              <w:autoSpaceDN w:val="0"/>
              <w:spacing w:line="560" w:lineRule="exact"/>
              <w:rPr>
                <w:rFonts w:ascii="仿宋_GB2312" w:eastAsia="仿宋_GB2312"/>
                <w:sz w:val="32"/>
                <w:szCs w:val="32"/>
              </w:rPr>
            </w:pPr>
            <w:r>
              <w:rPr>
                <w:rFonts w:hint="eastAsia" w:ascii="仿宋_GB2312" w:eastAsia="仿宋_GB2312" w:cs="仿宋_GB2312"/>
                <w:sz w:val="32"/>
                <w:szCs w:val="32"/>
                <w:lang w:val="zh-CN"/>
              </w:rPr>
              <w:t>（3）造成</w:t>
            </w:r>
            <w:r>
              <w:rPr>
                <w:rFonts w:hint="eastAsia" w:ascii="仿宋_GB2312" w:eastAsia="仿宋_GB2312"/>
                <w:sz w:val="32"/>
                <w:szCs w:val="32"/>
              </w:rPr>
              <w:t>5000</w:t>
            </w:r>
            <w:r>
              <w:rPr>
                <w:rFonts w:hint="eastAsia" w:ascii="仿宋_GB2312" w:eastAsia="仿宋_GB2312" w:cs="仿宋_GB2312"/>
                <w:sz w:val="32"/>
                <w:szCs w:val="32"/>
              </w:rPr>
              <w:t>万元以上</w:t>
            </w:r>
            <w:r>
              <w:rPr>
                <w:rFonts w:hint="eastAsia" w:ascii="仿宋_GB2312" w:eastAsia="仿宋_GB2312"/>
                <w:sz w:val="32"/>
                <w:szCs w:val="32"/>
              </w:rPr>
              <w:t>1</w:t>
            </w:r>
            <w:r>
              <w:rPr>
                <w:rFonts w:hint="eastAsia" w:ascii="仿宋_GB2312" w:eastAsia="仿宋_GB2312" w:cs="仿宋_GB2312"/>
                <w:sz w:val="32"/>
                <w:szCs w:val="32"/>
              </w:rPr>
              <w:t>亿元以下直接经济损失的事故。</w:t>
            </w:r>
          </w:p>
        </w:tc>
      </w:tr>
      <w:tr w14:paraId="3D58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vAlign w:val="center"/>
          </w:tcPr>
          <w:p w14:paraId="6616CA90">
            <w:pPr>
              <w:autoSpaceDE w:val="0"/>
              <w:autoSpaceDN w:val="0"/>
              <w:spacing w:line="560" w:lineRule="exact"/>
              <w:jc w:val="center"/>
              <w:rPr>
                <w:rFonts w:ascii="仿宋_GB2312" w:eastAsia="仿宋_GB2312" w:cs="仿宋_GB2312"/>
                <w:sz w:val="32"/>
                <w:szCs w:val="32"/>
                <w:lang w:val="zh-CN"/>
              </w:rPr>
            </w:pPr>
            <w:r>
              <w:rPr>
                <w:rFonts w:hint="eastAsia" w:ascii="仿宋_GB2312" w:eastAsia="仿宋_GB2312" w:cs="仿宋_GB2312"/>
                <w:sz w:val="32"/>
                <w:szCs w:val="32"/>
                <w:lang w:val="zh-CN"/>
              </w:rPr>
              <w:t>较大</w:t>
            </w:r>
          </w:p>
          <w:p w14:paraId="25B56937">
            <w:pPr>
              <w:autoSpaceDE w:val="0"/>
              <w:autoSpaceDN w:val="0"/>
              <w:spacing w:line="560" w:lineRule="exact"/>
              <w:jc w:val="center"/>
              <w:rPr>
                <w:rFonts w:ascii="仿宋_GB2312" w:eastAsia="仿宋_GB2312" w:cs="仿宋_GB2312"/>
                <w:sz w:val="32"/>
                <w:szCs w:val="32"/>
                <w:lang w:val="zh-CN"/>
              </w:rPr>
            </w:pPr>
            <w:r>
              <w:rPr>
                <w:rFonts w:hint="eastAsia" w:ascii="仿宋_GB2312" w:eastAsia="仿宋_GB2312" w:cs="仿宋_GB2312"/>
                <w:sz w:val="32"/>
                <w:szCs w:val="32"/>
                <w:lang w:val="zh-CN"/>
              </w:rPr>
              <w:t>事故</w:t>
            </w:r>
          </w:p>
        </w:tc>
        <w:tc>
          <w:tcPr>
            <w:tcW w:w="7018" w:type="dxa"/>
          </w:tcPr>
          <w:p w14:paraId="03D666B2">
            <w:pPr>
              <w:autoSpaceDE w:val="0"/>
              <w:autoSpaceDN w:val="0"/>
              <w:spacing w:line="560" w:lineRule="exact"/>
              <w:rPr>
                <w:rFonts w:ascii="仿宋_GB2312" w:eastAsia="仿宋_GB2312"/>
                <w:sz w:val="32"/>
                <w:szCs w:val="32"/>
                <w:lang w:val="zh-CN"/>
              </w:rPr>
            </w:pPr>
            <w:r>
              <w:rPr>
                <w:rFonts w:hint="eastAsia" w:ascii="仿宋_GB2312" w:eastAsia="仿宋_GB2312" w:cs="仿宋_GB2312"/>
                <w:sz w:val="32"/>
                <w:szCs w:val="32"/>
                <w:lang w:val="zh-CN"/>
              </w:rPr>
              <w:t>（1）造成</w:t>
            </w:r>
            <w:r>
              <w:rPr>
                <w:rFonts w:hint="eastAsia" w:ascii="仿宋_GB2312" w:eastAsia="仿宋_GB2312"/>
                <w:sz w:val="32"/>
                <w:szCs w:val="32"/>
              </w:rPr>
              <w:t>3</w:t>
            </w:r>
            <w:r>
              <w:rPr>
                <w:rFonts w:hint="eastAsia" w:ascii="仿宋_GB2312" w:eastAsia="仿宋_GB2312" w:cs="仿宋_GB2312"/>
                <w:sz w:val="32"/>
                <w:szCs w:val="32"/>
              </w:rPr>
              <w:t>人以上</w:t>
            </w:r>
            <w:r>
              <w:rPr>
                <w:rFonts w:hint="eastAsia" w:ascii="仿宋_GB2312" w:eastAsia="仿宋_GB2312"/>
                <w:sz w:val="32"/>
                <w:szCs w:val="32"/>
              </w:rPr>
              <w:t>10</w:t>
            </w:r>
            <w:r>
              <w:rPr>
                <w:rFonts w:hint="eastAsia" w:ascii="仿宋_GB2312" w:eastAsia="仿宋_GB2312" w:cs="仿宋_GB2312"/>
                <w:sz w:val="32"/>
                <w:szCs w:val="32"/>
              </w:rPr>
              <w:t>人以下死亡</w:t>
            </w:r>
            <w:r>
              <w:rPr>
                <w:rFonts w:hint="eastAsia" w:ascii="仿宋_GB2312" w:eastAsia="仿宋_GB2312" w:cs="仿宋_GB2312"/>
                <w:sz w:val="32"/>
                <w:szCs w:val="32"/>
                <w:lang w:val="zh-CN"/>
              </w:rPr>
              <w:t>的事故；</w:t>
            </w:r>
          </w:p>
          <w:p w14:paraId="15F7A489">
            <w:pPr>
              <w:autoSpaceDE w:val="0"/>
              <w:autoSpaceDN w:val="0"/>
              <w:spacing w:line="560" w:lineRule="exact"/>
              <w:rPr>
                <w:rFonts w:ascii="仿宋_GB2312" w:eastAsia="仿宋_GB2312"/>
                <w:sz w:val="32"/>
                <w:szCs w:val="32"/>
                <w:lang w:val="zh-CN"/>
              </w:rPr>
            </w:pPr>
            <w:r>
              <w:rPr>
                <w:rFonts w:hint="eastAsia" w:ascii="仿宋_GB2312" w:eastAsia="仿宋_GB2312" w:cs="仿宋_GB2312"/>
                <w:sz w:val="32"/>
                <w:szCs w:val="32"/>
                <w:lang w:val="zh-CN"/>
              </w:rPr>
              <w:t>（2）造成</w:t>
            </w:r>
            <w:r>
              <w:rPr>
                <w:rFonts w:hint="eastAsia" w:ascii="仿宋_GB2312" w:eastAsia="仿宋_GB2312"/>
                <w:sz w:val="32"/>
                <w:szCs w:val="32"/>
              </w:rPr>
              <w:t>10</w:t>
            </w:r>
            <w:r>
              <w:rPr>
                <w:rFonts w:hint="eastAsia" w:ascii="仿宋_GB2312" w:eastAsia="仿宋_GB2312" w:cs="仿宋_GB2312"/>
                <w:sz w:val="32"/>
                <w:szCs w:val="32"/>
              </w:rPr>
              <w:t>人以上</w:t>
            </w:r>
            <w:r>
              <w:rPr>
                <w:rFonts w:hint="eastAsia" w:ascii="仿宋_GB2312" w:eastAsia="仿宋_GB2312"/>
                <w:sz w:val="32"/>
                <w:szCs w:val="32"/>
              </w:rPr>
              <w:t>50</w:t>
            </w:r>
            <w:r>
              <w:rPr>
                <w:rFonts w:hint="eastAsia" w:ascii="仿宋_GB2312" w:eastAsia="仿宋_GB2312" w:cs="仿宋_GB2312"/>
                <w:sz w:val="32"/>
                <w:szCs w:val="32"/>
              </w:rPr>
              <w:t>人以下重伤</w:t>
            </w:r>
            <w:r>
              <w:rPr>
                <w:rFonts w:hint="eastAsia" w:ascii="仿宋_GB2312" w:eastAsia="仿宋_GB2312" w:cs="仿宋_GB2312"/>
                <w:sz w:val="32"/>
                <w:szCs w:val="32"/>
                <w:lang w:val="zh-CN"/>
              </w:rPr>
              <w:t>的事故；</w:t>
            </w:r>
          </w:p>
          <w:p w14:paraId="59C8C5F5">
            <w:pPr>
              <w:autoSpaceDE w:val="0"/>
              <w:autoSpaceDN w:val="0"/>
              <w:spacing w:line="560" w:lineRule="exact"/>
              <w:rPr>
                <w:rFonts w:ascii="仿宋_GB2312" w:eastAsia="仿宋_GB2312"/>
                <w:sz w:val="32"/>
                <w:szCs w:val="32"/>
                <w:lang w:val="zh-CN"/>
              </w:rPr>
            </w:pPr>
            <w:r>
              <w:rPr>
                <w:rFonts w:hint="eastAsia" w:ascii="仿宋_GB2312" w:eastAsia="仿宋_GB2312" w:cs="仿宋_GB2312"/>
                <w:sz w:val="32"/>
                <w:szCs w:val="32"/>
                <w:lang w:val="zh-CN"/>
              </w:rPr>
              <w:t>（3）造成</w:t>
            </w:r>
            <w:r>
              <w:rPr>
                <w:rFonts w:hint="eastAsia" w:ascii="仿宋_GB2312" w:eastAsia="仿宋_GB2312"/>
                <w:sz w:val="32"/>
                <w:szCs w:val="32"/>
              </w:rPr>
              <w:t>1000</w:t>
            </w:r>
            <w:r>
              <w:rPr>
                <w:rFonts w:hint="eastAsia" w:ascii="仿宋_GB2312" w:eastAsia="仿宋_GB2312" w:cs="仿宋_GB2312"/>
                <w:sz w:val="32"/>
                <w:szCs w:val="32"/>
              </w:rPr>
              <w:t>万元以上</w:t>
            </w:r>
            <w:r>
              <w:rPr>
                <w:rFonts w:hint="eastAsia" w:ascii="仿宋_GB2312" w:eastAsia="仿宋_GB2312"/>
                <w:sz w:val="32"/>
                <w:szCs w:val="32"/>
              </w:rPr>
              <w:t>5000</w:t>
            </w:r>
            <w:r>
              <w:rPr>
                <w:rFonts w:hint="eastAsia" w:ascii="仿宋_GB2312" w:eastAsia="仿宋_GB2312" w:cs="仿宋_GB2312"/>
                <w:sz w:val="32"/>
                <w:szCs w:val="32"/>
              </w:rPr>
              <w:t>万元以下直接经济损失的事故</w:t>
            </w:r>
            <w:r>
              <w:rPr>
                <w:rFonts w:hint="eastAsia" w:ascii="仿宋_GB2312" w:eastAsia="仿宋_GB2312" w:cs="仿宋_GB2312"/>
                <w:sz w:val="32"/>
                <w:szCs w:val="32"/>
                <w:lang w:val="zh-CN"/>
              </w:rPr>
              <w:t>。</w:t>
            </w:r>
          </w:p>
        </w:tc>
      </w:tr>
      <w:tr w14:paraId="5AD8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vAlign w:val="center"/>
          </w:tcPr>
          <w:p w14:paraId="2DFBB241">
            <w:pPr>
              <w:autoSpaceDE w:val="0"/>
              <w:autoSpaceDN w:val="0"/>
              <w:spacing w:line="560" w:lineRule="exact"/>
              <w:jc w:val="center"/>
              <w:rPr>
                <w:rFonts w:ascii="仿宋_GB2312" w:eastAsia="仿宋_GB2312" w:cs="仿宋_GB2312"/>
                <w:sz w:val="32"/>
                <w:szCs w:val="32"/>
                <w:lang w:val="zh-CN"/>
              </w:rPr>
            </w:pPr>
            <w:r>
              <w:rPr>
                <w:rFonts w:hint="eastAsia" w:ascii="仿宋_GB2312" w:eastAsia="仿宋_GB2312" w:cs="仿宋_GB2312"/>
                <w:sz w:val="32"/>
                <w:szCs w:val="32"/>
                <w:lang w:val="zh-CN"/>
              </w:rPr>
              <w:t>一般</w:t>
            </w:r>
          </w:p>
          <w:p w14:paraId="084C1035">
            <w:pPr>
              <w:autoSpaceDE w:val="0"/>
              <w:autoSpaceDN w:val="0"/>
              <w:spacing w:line="560" w:lineRule="exact"/>
              <w:jc w:val="center"/>
              <w:rPr>
                <w:rFonts w:ascii="仿宋_GB2312" w:eastAsia="仿宋_GB2312" w:cs="仿宋_GB2312"/>
                <w:sz w:val="32"/>
                <w:szCs w:val="32"/>
                <w:lang w:val="zh-CN"/>
              </w:rPr>
            </w:pPr>
            <w:r>
              <w:rPr>
                <w:rFonts w:hint="eastAsia" w:ascii="仿宋_GB2312" w:eastAsia="仿宋_GB2312" w:cs="仿宋_GB2312"/>
                <w:sz w:val="32"/>
                <w:szCs w:val="32"/>
                <w:lang w:val="zh-CN"/>
              </w:rPr>
              <w:t>事故</w:t>
            </w:r>
          </w:p>
        </w:tc>
        <w:tc>
          <w:tcPr>
            <w:tcW w:w="7018" w:type="dxa"/>
          </w:tcPr>
          <w:p w14:paraId="5DE3C733">
            <w:pPr>
              <w:autoSpaceDE w:val="0"/>
              <w:autoSpaceDN w:val="0"/>
              <w:spacing w:line="560" w:lineRule="exact"/>
              <w:rPr>
                <w:rFonts w:ascii="仿宋_GB2312" w:eastAsia="仿宋_GB2312"/>
                <w:sz w:val="32"/>
                <w:szCs w:val="32"/>
                <w:lang w:val="zh-CN"/>
              </w:rPr>
            </w:pPr>
            <w:r>
              <w:rPr>
                <w:rFonts w:hint="eastAsia" w:ascii="仿宋_GB2312" w:eastAsia="仿宋_GB2312" w:cs="仿宋_GB2312"/>
                <w:sz w:val="32"/>
                <w:szCs w:val="32"/>
                <w:lang w:val="zh-CN"/>
              </w:rPr>
              <w:t>（1）造成</w:t>
            </w:r>
            <w:r>
              <w:rPr>
                <w:rFonts w:hint="eastAsia" w:ascii="仿宋_GB2312" w:eastAsia="仿宋_GB2312"/>
                <w:sz w:val="32"/>
                <w:szCs w:val="32"/>
              </w:rPr>
              <w:t>3</w:t>
            </w:r>
            <w:r>
              <w:rPr>
                <w:rFonts w:hint="eastAsia" w:ascii="仿宋_GB2312" w:eastAsia="仿宋_GB2312" w:cs="仿宋_GB2312"/>
                <w:sz w:val="32"/>
                <w:szCs w:val="32"/>
              </w:rPr>
              <w:t>人以下死亡</w:t>
            </w:r>
            <w:r>
              <w:rPr>
                <w:rFonts w:hint="eastAsia" w:ascii="仿宋_GB2312" w:eastAsia="仿宋_GB2312" w:cs="仿宋_GB2312"/>
                <w:sz w:val="32"/>
                <w:szCs w:val="32"/>
                <w:lang w:val="zh-CN"/>
              </w:rPr>
              <w:t>的事故；</w:t>
            </w:r>
          </w:p>
          <w:p w14:paraId="4ACF9035">
            <w:pPr>
              <w:autoSpaceDE w:val="0"/>
              <w:autoSpaceDN w:val="0"/>
              <w:spacing w:line="560" w:lineRule="exact"/>
              <w:rPr>
                <w:rFonts w:ascii="仿宋_GB2312" w:eastAsia="仿宋_GB2312"/>
                <w:sz w:val="32"/>
                <w:szCs w:val="32"/>
                <w:lang w:val="zh-CN"/>
              </w:rPr>
            </w:pPr>
            <w:r>
              <w:rPr>
                <w:rFonts w:hint="eastAsia" w:ascii="仿宋_GB2312" w:eastAsia="仿宋_GB2312" w:cs="仿宋_GB2312"/>
                <w:sz w:val="32"/>
                <w:szCs w:val="32"/>
                <w:lang w:val="zh-CN"/>
              </w:rPr>
              <w:t>（2）造成</w:t>
            </w:r>
            <w:r>
              <w:rPr>
                <w:rFonts w:hint="eastAsia" w:ascii="仿宋_GB2312" w:eastAsia="仿宋_GB2312"/>
                <w:sz w:val="32"/>
                <w:szCs w:val="32"/>
              </w:rPr>
              <w:t>10</w:t>
            </w:r>
            <w:r>
              <w:rPr>
                <w:rFonts w:hint="eastAsia" w:ascii="仿宋_GB2312" w:eastAsia="仿宋_GB2312" w:cs="仿宋_GB2312"/>
                <w:sz w:val="32"/>
                <w:szCs w:val="32"/>
              </w:rPr>
              <w:t>人以下重伤</w:t>
            </w:r>
            <w:r>
              <w:rPr>
                <w:rFonts w:hint="eastAsia" w:ascii="仿宋_GB2312" w:eastAsia="仿宋_GB2312" w:cs="仿宋_GB2312"/>
                <w:sz w:val="32"/>
                <w:szCs w:val="32"/>
                <w:lang w:val="zh-CN"/>
              </w:rPr>
              <w:t>的事故；</w:t>
            </w:r>
          </w:p>
          <w:p w14:paraId="71007C65">
            <w:pPr>
              <w:autoSpaceDE w:val="0"/>
              <w:autoSpaceDN w:val="0"/>
              <w:spacing w:line="560" w:lineRule="exact"/>
              <w:rPr>
                <w:rFonts w:ascii="仿宋_GB2312" w:eastAsia="仿宋_GB2312" w:cs="仿宋_GB2312"/>
                <w:sz w:val="32"/>
                <w:szCs w:val="32"/>
                <w:lang w:val="zh-CN"/>
              </w:rPr>
            </w:pPr>
            <w:r>
              <w:rPr>
                <w:rFonts w:hint="eastAsia" w:ascii="仿宋_GB2312" w:eastAsia="仿宋_GB2312" w:cs="仿宋_GB2312"/>
                <w:sz w:val="32"/>
                <w:szCs w:val="32"/>
                <w:lang w:val="zh-CN"/>
              </w:rPr>
              <w:t>（3）造成</w:t>
            </w:r>
            <w:r>
              <w:rPr>
                <w:rFonts w:hint="eastAsia" w:ascii="仿宋_GB2312" w:eastAsia="仿宋_GB2312"/>
                <w:sz w:val="32"/>
                <w:szCs w:val="32"/>
              </w:rPr>
              <w:t>1000</w:t>
            </w:r>
            <w:r>
              <w:rPr>
                <w:rFonts w:hint="eastAsia" w:ascii="仿宋_GB2312" w:eastAsia="仿宋_GB2312" w:cs="仿宋_GB2312"/>
                <w:sz w:val="32"/>
                <w:szCs w:val="32"/>
              </w:rPr>
              <w:t>万元以下直接经济损失的事故。</w:t>
            </w:r>
          </w:p>
        </w:tc>
      </w:tr>
    </w:tbl>
    <w:p w14:paraId="1A64DC7A">
      <w:pPr>
        <w:spacing w:line="360" w:lineRule="auto"/>
        <w:rPr>
          <w:rFonts w:ascii="黑体" w:hAnsi="黑体" w:eastAsia="黑体" w:cs="仿宋_GB2312"/>
          <w:bCs/>
          <w:sz w:val="32"/>
          <w:szCs w:val="32"/>
        </w:rPr>
      </w:pPr>
      <w:r>
        <w:rPr>
          <w:rFonts w:hint="eastAsia" w:ascii="黑体" w:hAnsi="黑体" w:eastAsia="黑体" w:cs="仿宋_GB2312"/>
          <w:bCs/>
          <w:sz w:val="32"/>
          <w:szCs w:val="32"/>
        </w:rPr>
        <w:t>附件2</w:t>
      </w:r>
    </w:p>
    <w:p w14:paraId="7AAEEC93">
      <w:pPr>
        <w:spacing w:beforeLines="50" w:afterLines="50" w:line="600" w:lineRule="exact"/>
        <w:jc w:val="center"/>
        <w:rPr>
          <w:rFonts w:ascii="方正小标宋简体" w:hAnsi="宋体" w:eastAsia="方正小标宋简体" w:cs="仿宋_GB2312"/>
          <w:sz w:val="44"/>
          <w:szCs w:val="44"/>
          <w:lang w:val="zh-CN"/>
        </w:rPr>
      </w:pPr>
      <w:r>
        <w:rPr>
          <w:rFonts w:hint="eastAsia" w:ascii="方正小标宋简体" w:hAnsi="宋体" w:eastAsia="方正小标宋简体" w:cs="仿宋_GB2312"/>
          <w:sz w:val="44"/>
          <w:szCs w:val="44"/>
          <w:lang w:val="zh-CN"/>
        </w:rPr>
        <w:t>事故风险评估</w:t>
      </w:r>
    </w:p>
    <w:p w14:paraId="56E75F89">
      <w:pPr>
        <w:numPr>
          <w:ilvl w:val="0"/>
          <w:numId w:val="2"/>
        </w:numPr>
        <w:spacing w:line="560" w:lineRule="exact"/>
        <w:ind w:firstLine="624" w:firstLineChars="200"/>
        <w:rPr>
          <w:rFonts w:ascii="黑体" w:hAnsi="黑体" w:eastAsia="黑体"/>
          <w:sz w:val="32"/>
          <w:szCs w:val="32"/>
        </w:rPr>
      </w:pPr>
      <w:r>
        <w:rPr>
          <w:rFonts w:hint="eastAsia" w:ascii="黑体" w:hAnsi="黑体" w:eastAsia="黑体"/>
          <w:sz w:val="32"/>
          <w:szCs w:val="32"/>
        </w:rPr>
        <w:t>全区危险化学品企业现状</w:t>
      </w:r>
    </w:p>
    <w:p w14:paraId="17302B51">
      <w:pPr>
        <w:spacing w:line="560" w:lineRule="exact"/>
        <w:ind w:firstLine="624" w:firstLineChars="200"/>
        <w:rPr>
          <w:rFonts w:ascii="仿宋_GB2312" w:eastAsia="仿宋_GB2312"/>
          <w:sz w:val="32"/>
          <w:szCs w:val="32"/>
        </w:rPr>
      </w:pPr>
      <w:r>
        <w:rPr>
          <w:rFonts w:hint="eastAsia" w:ascii="仿宋_GB2312" w:eastAsia="仿宋_GB2312"/>
          <w:sz w:val="32"/>
          <w:szCs w:val="32"/>
        </w:rPr>
        <w:t>高新区现有危险化学品生产企业2家、带储存的经营企业5家；涉及重大危险源1处，涉及危险化学品门类、种类繁多，主要存在易燃易爆、有毒有害等安全风险。</w:t>
      </w:r>
    </w:p>
    <w:p w14:paraId="0AB18A71">
      <w:pPr>
        <w:numPr>
          <w:ilvl w:val="0"/>
          <w:numId w:val="2"/>
        </w:numPr>
        <w:spacing w:line="560" w:lineRule="exact"/>
        <w:ind w:firstLine="624" w:firstLineChars="200"/>
        <w:rPr>
          <w:rFonts w:ascii="黑体" w:hAnsi="黑体" w:eastAsia="黑体"/>
          <w:sz w:val="32"/>
          <w:szCs w:val="32"/>
        </w:rPr>
      </w:pPr>
      <w:r>
        <w:rPr>
          <w:rFonts w:hint="eastAsia" w:ascii="黑体" w:hAnsi="黑体" w:eastAsia="黑体"/>
          <w:sz w:val="32"/>
          <w:szCs w:val="32"/>
        </w:rPr>
        <w:t>危险化学品事故分析</w:t>
      </w:r>
    </w:p>
    <w:p w14:paraId="6A2972D9">
      <w:pPr>
        <w:spacing w:line="560" w:lineRule="exact"/>
        <w:ind w:firstLine="624" w:firstLineChars="200"/>
        <w:rPr>
          <w:rFonts w:ascii="仿宋_GB2312" w:eastAsia="仿宋_GB2312"/>
          <w:sz w:val="32"/>
          <w:szCs w:val="32"/>
        </w:rPr>
      </w:pPr>
      <w:r>
        <w:rPr>
          <w:rFonts w:hint="eastAsia" w:ascii="仿宋_GB2312" w:eastAsia="仿宋_GB2312"/>
          <w:sz w:val="32"/>
          <w:szCs w:val="32"/>
        </w:rPr>
        <w:t>危险化学品事故是指一种或数种危险化学品或其他能量意外释放造成人身伤亡、财产损失或环境污染事故。本预案所指的危险化学品生产安全事故主要划分为6类。</w:t>
      </w:r>
    </w:p>
    <w:p w14:paraId="1D9F5E21">
      <w:pPr>
        <w:spacing w:line="560" w:lineRule="exact"/>
        <w:ind w:firstLine="624" w:firstLineChars="200"/>
        <w:rPr>
          <w:rFonts w:ascii="仿宋_GB2312" w:eastAsia="仿宋_GB2312"/>
          <w:b/>
          <w:sz w:val="32"/>
          <w:szCs w:val="32"/>
        </w:rPr>
      </w:pPr>
      <w:r>
        <w:rPr>
          <w:rFonts w:hint="eastAsia" w:ascii="仿宋_GB2312" w:eastAsia="仿宋_GB2312"/>
          <w:b/>
          <w:sz w:val="32"/>
          <w:szCs w:val="32"/>
        </w:rPr>
        <w:t>1、危险化学品火灾事故</w:t>
      </w:r>
    </w:p>
    <w:p w14:paraId="02028028">
      <w:pPr>
        <w:spacing w:line="560" w:lineRule="exact"/>
        <w:ind w:firstLine="624" w:firstLineChars="200"/>
        <w:rPr>
          <w:rFonts w:ascii="仿宋_GB2312" w:eastAsia="仿宋_GB2312"/>
          <w:sz w:val="32"/>
          <w:szCs w:val="32"/>
        </w:rPr>
      </w:pPr>
      <w:r>
        <w:rPr>
          <w:rFonts w:hint="eastAsia" w:ascii="仿宋_GB2312" w:eastAsia="仿宋_GB2312"/>
          <w:sz w:val="32"/>
          <w:szCs w:val="32"/>
        </w:rPr>
        <w:t>危险化学品具有易燃性、易爆性、易挥发性、易泄漏，遇热源、高温、明火等，会出现失去控制的燃烧，同时电气故障、雷电、静电等也可能导致危险化学品火灾事故的发生。</w:t>
      </w:r>
    </w:p>
    <w:p w14:paraId="0E832269">
      <w:pPr>
        <w:spacing w:line="560" w:lineRule="exact"/>
        <w:ind w:firstLine="624" w:firstLineChars="200"/>
        <w:rPr>
          <w:rFonts w:ascii="仿宋_GB2312" w:eastAsia="仿宋_GB2312"/>
          <w:sz w:val="32"/>
          <w:szCs w:val="32"/>
        </w:rPr>
      </w:pPr>
      <w:r>
        <w:rPr>
          <w:rFonts w:hint="eastAsia" w:ascii="仿宋_GB2312" w:eastAsia="仿宋_GB2312"/>
          <w:sz w:val="32"/>
          <w:szCs w:val="32"/>
        </w:rPr>
        <w:t>根据危险化学品特性，危险化学品火灾事故主要包括易燃液体火灾、易燃固体火灾、自燃物品火灾、遇湿易燃物品火灾和其他危险化学品火灾。易燃气体、液体火灾往往以引起爆炸事故，易造成重大人员伤亡。由于大多数危险化学品在燃烧时会放出有毒有害气体或烟雾，因此危险化学品火灾事故中，也会伴随发生人员中毒和窒息事故。</w:t>
      </w:r>
    </w:p>
    <w:p w14:paraId="75871DBF">
      <w:pPr>
        <w:spacing w:line="560" w:lineRule="exact"/>
        <w:ind w:firstLine="624" w:firstLineChars="200"/>
        <w:rPr>
          <w:rFonts w:ascii="Arial" w:hAnsi="Arial" w:cs="Arial"/>
          <w:sz w:val="32"/>
          <w:szCs w:val="32"/>
          <w:shd w:val="clear" w:color="auto" w:fill="FFFFFF"/>
        </w:rPr>
      </w:pPr>
      <w:r>
        <w:rPr>
          <w:rFonts w:hint="eastAsia" w:ascii="仿宋_GB2312" w:eastAsia="仿宋_GB2312"/>
          <w:sz w:val="32"/>
          <w:szCs w:val="32"/>
        </w:rPr>
        <w:t>危险化学品火灾具有火焰传播速度快、辐射热强、复燃复爆的可能性大等特点，发生危险化学品火灾还能产生蒸汽云和火球效应，难于扑救、波及面积大、影响范围广。</w:t>
      </w:r>
    </w:p>
    <w:p w14:paraId="083A47C2">
      <w:pPr>
        <w:spacing w:line="560" w:lineRule="exact"/>
        <w:ind w:firstLine="624" w:firstLineChars="200"/>
        <w:rPr>
          <w:rFonts w:ascii="仿宋_GB2312" w:eastAsia="仿宋_GB2312"/>
          <w:b/>
          <w:sz w:val="32"/>
          <w:szCs w:val="32"/>
        </w:rPr>
      </w:pPr>
      <w:r>
        <w:rPr>
          <w:rFonts w:hint="eastAsia" w:ascii="仿宋_GB2312" w:eastAsia="仿宋_GB2312"/>
          <w:b/>
          <w:sz w:val="32"/>
          <w:szCs w:val="32"/>
        </w:rPr>
        <w:t>2、危险化学品爆炸事故</w:t>
      </w:r>
    </w:p>
    <w:p w14:paraId="616239D2">
      <w:pPr>
        <w:spacing w:line="560" w:lineRule="exact"/>
        <w:ind w:firstLine="624" w:firstLineChars="200"/>
        <w:rPr>
          <w:rFonts w:ascii="仿宋_GB2312" w:eastAsia="仿宋_GB2312"/>
          <w:sz w:val="32"/>
          <w:szCs w:val="32"/>
        </w:rPr>
      </w:pPr>
      <w:r>
        <w:rPr>
          <w:rFonts w:hint="eastAsia" w:ascii="仿宋_GB2312" w:eastAsia="仿宋_GB2312"/>
          <w:sz w:val="32"/>
          <w:szCs w:val="32"/>
        </w:rPr>
        <w:t>危险化学品生产、使用、储存、运输等过程中可能由于发生火灾、储存、运输、使用不当、压力急速增加等原因发生急剧的物理或化学变化而引发危险化学品爆炸事故，同时检修动火作业、电气设施不防爆或防爆等级不够、雷电、静电等也可能导致危险化学品爆炸事故的发生。</w:t>
      </w:r>
    </w:p>
    <w:p w14:paraId="6A5AFC6C">
      <w:pPr>
        <w:snapToGrid w:val="0"/>
        <w:spacing w:line="560" w:lineRule="exact"/>
        <w:ind w:firstLine="624" w:firstLineChars="200"/>
        <w:rPr>
          <w:rFonts w:ascii="仿宋_GB2312" w:eastAsia="仿宋_GB2312"/>
          <w:sz w:val="32"/>
          <w:szCs w:val="32"/>
        </w:rPr>
      </w:pPr>
      <w:r>
        <w:rPr>
          <w:rFonts w:hint="eastAsia" w:ascii="仿宋_GB2312" w:eastAsia="仿宋_GB2312"/>
          <w:sz w:val="32"/>
          <w:szCs w:val="32"/>
        </w:rPr>
        <w:t>危险化学品爆炸事故主要包括易燃液体、易燃气体易燃固体、自燃物品、遇湿易燃物品的火灾爆炸，危险化学品产生的粉尘、气体、挥发物爆炸，液化气体和压缩气体的爆炸。</w:t>
      </w:r>
    </w:p>
    <w:p w14:paraId="2AF715E0">
      <w:pPr>
        <w:snapToGrid w:val="0"/>
        <w:spacing w:line="560" w:lineRule="exact"/>
        <w:ind w:firstLine="624" w:firstLineChars="200"/>
        <w:rPr>
          <w:rFonts w:ascii="仿宋_GB2312" w:eastAsia="仿宋_GB2312"/>
          <w:sz w:val="32"/>
          <w:szCs w:val="32"/>
        </w:rPr>
      </w:pPr>
      <w:r>
        <w:rPr>
          <w:rFonts w:hint="eastAsia" w:ascii="仿宋_GB2312" w:eastAsia="仿宋_GB2312"/>
          <w:sz w:val="32"/>
          <w:szCs w:val="32"/>
        </w:rPr>
        <w:t>危险化学品爆炸事故具有反应及传播速度快，爆炸点附近压强急剧上升、温度升高、伴有响声，破坏能量大能造成邻近物质遭到破坏。</w:t>
      </w:r>
    </w:p>
    <w:p w14:paraId="4C348F1D">
      <w:pPr>
        <w:spacing w:line="560" w:lineRule="exact"/>
        <w:ind w:firstLine="624" w:firstLineChars="200"/>
        <w:rPr>
          <w:rFonts w:ascii="仿宋_GB2312" w:eastAsia="仿宋_GB2312"/>
          <w:b/>
          <w:sz w:val="32"/>
          <w:szCs w:val="32"/>
        </w:rPr>
      </w:pPr>
      <w:r>
        <w:rPr>
          <w:rFonts w:hint="eastAsia" w:ascii="仿宋_GB2312" w:eastAsia="仿宋_GB2312"/>
          <w:b/>
          <w:sz w:val="32"/>
          <w:szCs w:val="32"/>
        </w:rPr>
        <w:t>3、危险化学品中毒窒息事故</w:t>
      </w:r>
    </w:p>
    <w:p w14:paraId="6747276A">
      <w:pPr>
        <w:snapToGrid w:val="0"/>
        <w:spacing w:line="560" w:lineRule="exact"/>
        <w:ind w:firstLine="624" w:firstLineChars="200"/>
        <w:rPr>
          <w:rFonts w:ascii="仿宋_GB2312" w:eastAsia="仿宋_GB2312"/>
          <w:sz w:val="32"/>
          <w:szCs w:val="32"/>
        </w:rPr>
      </w:pPr>
      <w:r>
        <w:rPr>
          <w:rFonts w:hint="eastAsia" w:ascii="仿宋_GB2312" w:eastAsia="仿宋_GB2312"/>
          <w:sz w:val="32"/>
          <w:szCs w:val="32"/>
        </w:rPr>
        <w:t>危险化学品易挥发、遇热分解释出有毒的气、烟、雾，在特定条件下接触、吸入数量足够，会对人体产生危害作用，从而引发危险化学品中毒窒息事故。</w:t>
      </w:r>
    </w:p>
    <w:p w14:paraId="7B1C1CF8">
      <w:pPr>
        <w:snapToGrid w:val="0"/>
        <w:spacing w:line="560" w:lineRule="exact"/>
        <w:ind w:firstLine="624" w:firstLineChars="200"/>
        <w:rPr>
          <w:rFonts w:ascii="仿宋_GB2312" w:eastAsia="仿宋_GB2312"/>
          <w:sz w:val="32"/>
          <w:szCs w:val="32"/>
        </w:rPr>
      </w:pPr>
      <w:r>
        <w:rPr>
          <w:rFonts w:hint="eastAsia" w:ascii="仿宋_GB2312" w:eastAsia="仿宋_GB2312"/>
          <w:sz w:val="32"/>
          <w:szCs w:val="32"/>
        </w:rPr>
        <w:t>危险化学品中毒窒息事故主要包括吸入中毒事故，接触中毒事故、误食中毒事故和其他中毒窒息事故。中毒窒息事故还会由于防护不到位，盲目施救，造成次生事故，导致事故损失扩大。</w:t>
      </w:r>
    </w:p>
    <w:p w14:paraId="0598938E">
      <w:pPr>
        <w:snapToGrid w:val="0"/>
        <w:spacing w:line="560" w:lineRule="exact"/>
        <w:ind w:firstLine="624" w:firstLineChars="200"/>
        <w:rPr>
          <w:rFonts w:ascii="仿宋_GB2312" w:eastAsia="仿宋_GB2312"/>
          <w:sz w:val="32"/>
          <w:szCs w:val="32"/>
        </w:rPr>
      </w:pPr>
      <w:r>
        <w:rPr>
          <w:rFonts w:hint="eastAsia" w:ascii="仿宋_GB2312" w:eastAsia="仿宋_GB2312"/>
          <w:sz w:val="32"/>
          <w:szCs w:val="32"/>
        </w:rPr>
        <w:t>造成危险化学品中毒窒息事故的主要原因是危险化学品作业场所设备设施密封不严，生产场所通风不良，有毒报警设施不足、失灵或未联锁，检修或受限空间内作业不符合要求或一旦发生火灾事故，易燃物质燃烧产生的有毒烟尘，容易导致人员中毒窒息。</w:t>
      </w:r>
    </w:p>
    <w:p w14:paraId="34ED4775">
      <w:pPr>
        <w:numPr>
          <w:ilvl w:val="0"/>
          <w:numId w:val="3"/>
        </w:numPr>
        <w:snapToGrid w:val="0"/>
        <w:spacing w:line="560" w:lineRule="exact"/>
        <w:ind w:firstLine="624" w:firstLineChars="200"/>
        <w:rPr>
          <w:rFonts w:ascii="仿宋_GB2312" w:eastAsia="仿宋_GB2312"/>
          <w:b/>
          <w:sz w:val="32"/>
          <w:szCs w:val="32"/>
        </w:rPr>
      </w:pPr>
      <w:r>
        <w:rPr>
          <w:rFonts w:hint="eastAsia" w:ascii="仿宋_GB2312" w:eastAsia="仿宋_GB2312"/>
          <w:b/>
          <w:sz w:val="32"/>
          <w:szCs w:val="32"/>
        </w:rPr>
        <w:t>危险化学品灼伤事故</w:t>
      </w:r>
    </w:p>
    <w:p w14:paraId="067DB741">
      <w:pPr>
        <w:snapToGrid w:val="0"/>
        <w:spacing w:line="560" w:lineRule="exact"/>
        <w:ind w:firstLine="624" w:firstLineChars="200"/>
        <w:rPr>
          <w:rFonts w:ascii="仿宋_GB2312" w:eastAsia="仿宋_GB2312"/>
          <w:sz w:val="32"/>
          <w:szCs w:val="32"/>
        </w:rPr>
      </w:pPr>
      <w:r>
        <w:rPr>
          <w:rFonts w:hint="eastAsia" w:ascii="仿宋_GB2312" w:eastAsia="仿宋_GB2312"/>
          <w:sz w:val="32"/>
          <w:szCs w:val="32"/>
        </w:rPr>
        <w:t>个体防护用品配发未严格执行国家标准，员工个人在进行危险化学品作业时不按规定穿戴防护用品，导致化学品刺激、腐蚀和化学反应直接作用于皮肤而引发危险化学品灼伤事故。</w:t>
      </w:r>
    </w:p>
    <w:p w14:paraId="56B05E99">
      <w:pPr>
        <w:snapToGrid w:val="0"/>
        <w:spacing w:line="560" w:lineRule="exact"/>
        <w:ind w:firstLine="624" w:firstLineChars="200"/>
        <w:rPr>
          <w:rFonts w:ascii="仿宋_GB2312" w:eastAsia="仿宋_GB2312"/>
          <w:sz w:val="32"/>
          <w:szCs w:val="32"/>
        </w:rPr>
      </w:pPr>
      <w:r>
        <w:rPr>
          <w:rFonts w:hint="eastAsia" w:ascii="仿宋_GB2312" w:eastAsia="仿宋_GB2312"/>
          <w:sz w:val="32"/>
          <w:szCs w:val="32"/>
        </w:rPr>
        <w:t>危险化学品灼伤事故是指腐蚀性危险化学品意外与人体接触，在短时间即在人体被接触表面发生化学反应，造成明显损伤的事故。</w:t>
      </w:r>
    </w:p>
    <w:p w14:paraId="6F1243E7">
      <w:pPr>
        <w:snapToGrid w:val="0"/>
        <w:spacing w:line="560" w:lineRule="exact"/>
        <w:ind w:firstLine="624" w:firstLineChars="200"/>
        <w:rPr>
          <w:rFonts w:ascii="仿宋_GB2312" w:eastAsia="仿宋_GB2312"/>
          <w:sz w:val="32"/>
          <w:szCs w:val="32"/>
        </w:rPr>
      </w:pPr>
      <w:r>
        <w:rPr>
          <w:rFonts w:hint="eastAsia" w:ascii="仿宋_GB2312" w:eastAsia="仿宋_GB2312"/>
          <w:sz w:val="32"/>
          <w:szCs w:val="32"/>
        </w:rPr>
        <w:t>危险化学品灼伤事故的腐蚀品包括酸性腐蚀品、碱性腐蚀品和其他不显酸碱性腐蚀品如高温有毒气体、脱水灼伤、磷灼伤和酚类灼伤等。</w:t>
      </w:r>
    </w:p>
    <w:p w14:paraId="22677E55">
      <w:pPr>
        <w:numPr>
          <w:ilvl w:val="0"/>
          <w:numId w:val="3"/>
        </w:numPr>
        <w:snapToGrid w:val="0"/>
        <w:spacing w:line="560" w:lineRule="exact"/>
        <w:ind w:firstLine="624" w:firstLineChars="200"/>
        <w:rPr>
          <w:rFonts w:ascii="仿宋_GB2312" w:eastAsia="仿宋_GB2312"/>
          <w:b/>
          <w:sz w:val="32"/>
          <w:szCs w:val="32"/>
        </w:rPr>
      </w:pPr>
      <w:r>
        <w:rPr>
          <w:rFonts w:hint="eastAsia" w:ascii="仿宋_GB2312" w:eastAsia="仿宋_GB2312"/>
          <w:b/>
          <w:sz w:val="32"/>
          <w:szCs w:val="32"/>
        </w:rPr>
        <w:t>危险化学品泄漏事故</w:t>
      </w:r>
    </w:p>
    <w:p w14:paraId="74F26054">
      <w:pPr>
        <w:snapToGrid w:val="0"/>
        <w:spacing w:line="560" w:lineRule="exact"/>
        <w:ind w:firstLine="624" w:firstLineChars="200"/>
        <w:rPr>
          <w:rFonts w:ascii="仿宋_GB2312" w:eastAsia="仿宋_GB2312"/>
          <w:sz w:val="32"/>
          <w:szCs w:val="32"/>
        </w:rPr>
      </w:pPr>
      <w:r>
        <w:rPr>
          <w:rFonts w:hint="eastAsia" w:ascii="仿宋_GB2312" w:eastAsia="仿宋_GB2312"/>
          <w:sz w:val="32"/>
          <w:szCs w:val="32"/>
        </w:rPr>
        <w:t>危险化学品泄漏事故是指气体或液体危险品发生一定规模的泄漏，造成了严重的财产损失或环境污染后果的危险化学品事故，危险化学品泄漏事故一旦失控，会造成火灾、爆炸或中毒窒息事故。</w:t>
      </w:r>
    </w:p>
    <w:p w14:paraId="54CEF557">
      <w:pPr>
        <w:snapToGrid w:val="0"/>
        <w:spacing w:line="560" w:lineRule="exact"/>
        <w:ind w:firstLine="624" w:firstLineChars="200"/>
        <w:rPr>
          <w:rFonts w:ascii="仿宋_GB2312" w:eastAsia="仿宋_GB2312"/>
          <w:sz w:val="32"/>
          <w:szCs w:val="32"/>
        </w:rPr>
      </w:pPr>
      <w:r>
        <w:rPr>
          <w:rFonts w:hint="eastAsia" w:ascii="仿宋_GB2312" w:eastAsia="仿宋_GB2312"/>
          <w:sz w:val="32"/>
          <w:szCs w:val="32"/>
        </w:rPr>
        <w:t>造成危险化学品泄漏事故的主要原因是由于因危险化学品作业场所，设备设施本质水平低或维护保养不到位，危险化学品跑、冒、滴、漏，检测报警设施不足或失灵没有起到预警效果等。</w:t>
      </w:r>
    </w:p>
    <w:p w14:paraId="16559A17">
      <w:pPr>
        <w:snapToGrid w:val="0"/>
        <w:spacing w:line="560" w:lineRule="exact"/>
        <w:ind w:firstLine="624" w:firstLineChars="200"/>
        <w:rPr>
          <w:rFonts w:ascii="仿宋_GB2312" w:eastAsia="仿宋_GB2312"/>
          <w:b/>
          <w:sz w:val="32"/>
          <w:szCs w:val="32"/>
        </w:rPr>
      </w:pPr>
      <w:r>
        <w:rPr>
          <w:rFonts w:hint="eastAsia" w:ascii="仿宋_GB2312" w:eastAsia="仿宋_GB2312"/>
          <w:b/>
          <w:sz w:val="32"/>
          <w:szCs w:val="32"/>
        </w:rPr>
        <w:t>6、危险化学品运输事故</w:t>
      </w:r>
    </w:p>
    <w:p w14:paraId="5AC2C94C">
      <w:pPr>
        <w:snapToGrid w:val="0"/>
        <w:spacing w:line="560" w:lineRule="exact"/>
        <w:ind w:firstLine="624" w:firstLineChars="200"/>
        <w:rPr>
          <w:rFonts w:ascii="仿宋_GB2312" w:eastAsia="仿宋_GB2312"/>
          <w:sz w:val="32"/>
          <w:szCs w:val="32"/>
        </w:rPr>
      </w:pPr>
      <w:r>
        <w:rPr>
          <w:rFonts w:hint="eastAsia" w:ascii="仿宋_GB2312" w:eastAsia="仿宋_GB2312"/>
          <w:sz w:val="32"/>
          <w:szCs w:val="32"/>
        </w:rPr>
        <w:t>危险化学品运输事故是由于运输车辆本身不符合安全技术条件，运输的槽罐车封口不严，在运输过程中因温度、湿度或压力的变化发生渗漏、洒漏，驾驶人员违章或疲劳驾驶，危险化学品运输车辆在运输危险化学品过程中发生交通事故，有可能造成危险化学品火灾、爆炸、泄漏、中毒、环境污染事故。</w:t>
      </w:r>
    </w:p>
    <w:p w14:paraId="60E06889">
      <w:pPr>
        <w:snapToGrid w:val="0"/>
        <w:spacing w:line="560" w:lineRule="exact"/>
        <w:ind w:firstLine="624" w:firstLineChars="200"/>
        <w:rPr>
          <w:rFonts w:ascii="仿宋_GB2312" w:eastAsia="仿宋_GB2312"/>
          <w:sz w:val="32"/>
          <w:szCs w:val="32"/>
        </w:rPr>
      </w:pPr>
      <w:r>
        <w:rPr>
          <w:rFonts w:hint="eastAsia" w:ascii="仿宋_GB2312" w:eastAsia="仿宋_GB2312"/>
          <w:sz w:val="32"/>
          <w:szCs w:val="32"/>
        </w:rPr>
        <w:t>危险化学品运输事故救援难度大，警戒、疏散难度大，造成的社会影响大、后果严重。</w:t>
      </w:r>
    </w:p>
    <w:p w14:paraId="09B9156B">
      <w:pPr>
        <w:snapToGrid w:val="0"/>
        <w:spacing w:line="560" w:lineRule="exact"/>
        <w:ind w:firstLine="624" w:firstLineChars="200"/>
        <w:rPr>
          <w:rFonts w:ascii="黑体" w:hAnsi="黑体" w:eastAsia="黑体"/>
          <w:sz w:val="32"/>
          <w:szCs w:val="32"/>
        </w:rPr>
      </w:pPr>
      <w:r>
        <w:rPr>
          <w:rFonts w:hint="eastAsia" w:ascii="黑体" w:hAnsi="黑体" w:eastAsia="黑体"/>
          <w:sz w:val="32"/>
          <w:szCs w:val="32"/>
        </w:rPr>
        <w:t>三、防范事故措施</w:t>
      </w:r>
    </w:p>
    <w:p w14:paraId="3FB0FED8">
      <w:pPr>
        <w:snapToGrid w:val="0"/>
        <w:spacing w:line="560" w:lineRule="exact"/>
        <w:ind w:firstLine="624" w:firstLineChars="200"/>
        <w:rPr>
          <w:rFonts w:ascii="仿宋_GB2312" w:eastAsia="仿宋_GB2312"/>
          <w:sz w:val="32"/>
          <w:szCs w:val="32"/>
        </w:rPr>
      </w:pPr>
      <w:r>
        <w:rPr>
          <w:rFonts w:hint="eastAsia" w:ascii="仿宋_GB2312" w:eastAsia="仿宋_GB2312"/>
          <w:b/>
          <w:sz w:val="32"/>
          <w:szCs w:val="32"/>
        </w:rPr>
        <w:t>1、加强危险化学品安全生产管理。</w:t>
      </w:r>
      <w:r>
        <w:rPr>
          <w:rFonts w:hint="eastAsia" w:ascii="仿宋_GB2312" w:eastAsia="仿宋_GB2312"/>
          <w:sz w:val="32"/>
          <w:szCs w:val="32"/>
        </w:rPr>
        <w:t>建立、完善并认真落实安全生产责任制和各项安全管理制度，加大安全投入，实现危险化学品生产、使用、储存、运输等作业过程的工艺、设备设施、管控和监控措施的先进性。</w:t>
      </w:r>
    </w:p>
    <w:p w14:paraId="1332AF23">
      <w:pPr>
        <w:snapToGrid w:val="0"/>
        <w:spacing w:line="560" w:lineRule="exact"/>
        <w:ind w:firstLine="624" w:firstLineChars="200"/>
        <w:rPr>
          <w:rFonts w:ascii="仿宋_GB2312" w:eastAsia="仿宋_GB2312"/>
          <w:sz w:val="32"/>
          <w:szCs w:val="32"/>
        </w:rPr>
      </w:pPr>
      <w:r>
        <w:rPr>
          <w:rFonts w:hint="eastAsia" w:ascii="仿宋_GB2312" w:eastAsia="仿宋_GB2312"/>
          <w:b/>
          <w:sz w:val="32"/>
          <w:szCs w:val="32"/>
        </w:rPr>
        <w:t>2、加强安全教育和培训。</w:t>
      </w:r>
      <w:r>
        <w:rPr>
          <w:rFonts w:hint="eastAsia" w:ascii="仿宋_GB2312" w:eastAsia="仿宋_GB2312"/>
          <w:sz w:val="32"/>
          <w:szCs w:val="32"/>
        </w:rPr>
        <w:t>增强作业人员的安全意识、安全知识和操作技能，了解作业场所可能存在危害和危险，提高事故前期预防和遇险时的自救和互救能力，遇险时科学施救，减少伤亡事故的发生。</w:t>
      </w:r>
    </w:p>
    <w:p w14:paraId="745098B4">
      <w:pPr>
        <w:snapToGrid w:val="0"/>
        <w:spacing w:line="560" w:lineRule="exact"/>
        <w:ind w:firstLine="624" w:firstLineChars="200"/>
        <w:rPr>
          <w:rFonts w:ascii="仿宋_GB2312" w:eastAsia="仿宋_GB2312"/>
          <w:sz w:val="32"/>
          <w:szCs w:val="32"/>
        </w:rPr>
      </w:pPr>
      <w:r>
        <w:rPr>
          <w:rFonts w:hint="eastAsia" w:ascii="仿宋_GB2312" w:eastAsia="仿宋_GB2312"/>
          <w:b/>
          <w:sz w:val="32"/>
          <w:szCs w:val="32"/>
        </w:rPr>
        <w:t>3、建立健全应急体系。</w:t>
      </w:r>
      <w:r>
        <w:rPr>
          <w:rFonts w:hint="eastAsia" w:ascii="仿宋_GB2312" w:eastAsia="仿宋_GB2312"/>
          <w:sz w:val="32"/>
          <w:szCs w:val="32"/>
        </w:rPr>
        <w:t>制定应急救援预案并进行演练，组建应急救援队伍，配备必要的应急器材和装备。</w:t>
      </w:r>
    </w:p>
    <w:p w14:paraId="7D743435">
      <w:pPr>
        <w:snapToGrid w:val="0"/>
        <w:spacing w:line="560" w:lineRule="exact"/>
        <w:ind w:firstLine="624" w:firstLineChars="200"/>
        <w:rPr>
          <w:rFonts w:ascii="仿宋_GB2312" w:eastAsia="仿宋_GB2312"/>
          <w:sz w:val="32"/>
          <w:szCs w:val="32"/>
        </w:rPr>
      </w:pPr>
    </w:p>
    <w:p w14:paraId="009A5538">
      <w:pPr>
        <w:snapToGrid w:val="0"/>
        <w:spacing w:line="360" w:lineRule="auto"/>
        <w:rPr>
          <w:rFonts w:ascii="黑体" w:hAnsi="黑体" w:eastAsia="黑体" w:cs="仿宋_GB2312"/>
          <w:bCs/>
          <w:sz w:val="32"/>
          <w:szCs w:val="32"/>
        </w:rPr>
      </w:pPr>
      <w:r>
        <w:rPr>
          <w:rFonts w:ascii="仿宋_GB2312" w:eastAsia="仿宋_GB2312"/>
          <w:sz w:val="32"/>
          <w:szCs w:val="32"/>
        </w:rPr>
        <w:br w:type="page"/>
      </w:r>
      <w:r>
        <w:rPr>
          <w:rFonts w:hint="eastAsia" w:ascii="黑体" w:hAnsi="黑体" w:eastAsia="黑体" w:cs="仿宋_GB2312"/>
          <w:bCs/>
          <w:sz w:val="32"/>
          <w:szCs w:val="32"/>
          <w:lang w:val="zh-CN"/>
        </w:rPr>
        <w:t>附件</w:t>
      </w:r>
      <w:r>
        <w:rPr>
          <w:rFonts w:hint="eastAsia" w:ascii="黑体" w:hAnsi="黑体" w:eastAsia="黑体" w:cs="仿宋_GB2312"/>
          <w:bCs/>
          <w:sz w:val="32"/>
          <w:szCs w:val="32"/>
        </w:rPr>
        <w:t>3</w:t>
      </w:r>
    </w:p>
    <w:p w14:paraId="4F818D79">
      <w:pPr>
        <w:spacing w:afterLines="100" w:line="560" w:lineRule="exact"/>
        <w:jc w:val="center"/>
        <w:rPr>
          <w:rFonts w:ascii="方正小标宋简体" w:eastAsia="方正小标宋简体"/>
          <w:sz w:val="44"/>
          <w:szCs w:val="44"/>
        </w:rPr>
      </w:pPr>
      <w:r>
        <w:rPr>
          <w:rFonts w:hint="eastAsia" w:ascii="方正小标宋简体" w:eastAsia="方正小标宋简体"/>
          <w:sz w:val="44"/>
          <w:szCs w:val="44"/>
        </w:rPr>
        <w:t>事故应急处置成员单位联系电话</w:t>
      </w:r>
    </w:p>
    <w:tbl>
      <w:tblPr>
        <w:tblStyle w:val="12"/>
        <w:tblpPr w:leftFromText="180" w:rightFromText="180" w:vertAnchor="text" w:horzAnchor="margin" w:tblpXSpec="center" w:tblpY="1"/>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5"/>
        <w:gridCol w:w="2353"/>
        <w:gridCol w:w="2160"/>
      </w:tblGrid>
      <w:tr w14:paraId="46E4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5" w:type="dxa"/>
            <w:vAlign w:val="center"/>
          </w:tcPr>
          <w:p w14:paraId="27127E58">
            <w:pPr>
              <w:spacing w:line="400" w:lineRule="exact"/>
              <w:jc w:val="center"/>
              <w:rPr>
                <w:rFonts w:ascii="仿宋_GB2312" w:eastAsia="仿宋_GB2312"/>
                <w:sz w:val="32"/>
                <w:szCs w:val="32"/>
              </w:rPr>
            </w:pPr>
            <w:r>
              <w:rPr>
                <w:rFonts w:ascii="仿宋_GB2312" w:eastAsia="仿宋_GB2312"/>
                <w:sz w:val="32"/>
                <w:szCs w:val="32"/>
              </w:rPr>
              <w:t>部门</w:t>
            </w:r>
          </w:p>
        </w:tc>
        <w:tc>
          <w:tcPr>
            <w:tcW w:w="2353" w:type="dxa"/>
            <w:vAlign w:val="center"/>
          </w:tcPr>
          <w:p w14:paraId="69723063">
            <w:pPr>
              <w:spacing w:line="400" w:lineRule="exact"/>
              <w:jc w:val="center"/>
              <w:rPr>
                <w:rFonts w:ascii="仿宋_GB2312" w:eastAsia="仿宋_GB2312"/>
                <w:sz w:val="32"/>
                <w:szCs w:val="32"/>
              </w:rPr>
            </w:pPr>
            <w:r>
              <w:rPr>
                <w:rFonts w:ascii="仿宋_GB2312" w:eastAsia="仿宋_GB2312"/>
                <w:sz w:val="32"/>
                <w:szCs w:val="32"/>
              </w:rPr>
              <w:t>值班电话</w:t>
            </w:r>
          </w:p>
        </w:tc>
        <w:tc>
          <w:tcPr>
            <w:tcW w:w="2160" w:type="dxa"/>
            <w:vAlign w:val="center"/>
          </w:tcPr>
          <w:p w14:paraId="76CFA3CA">
            <w:pPr>
              <w:spacing w:line="400" w:lineRule="exact"/>
              <w:jc w:val="center"/>
              <w:rPr>
                <w:rFonts w:ascii="仿宋_GB2312" w:eastAsia="仿宋_GB2312"/>
                <w:sz w:val="32"/>
                <w:szCs w:val="32"/>
              </w:rPr>
            </w:pPr>
            <w:r>
              <w:rPr>
                <w:rFonts w:hint="eastAsia" w:ascii="仿宋_GB2312" w:eastAsia="仿宋_GB2312"/>
                <w:sz w:val="32"/>
                <w:szCs w:val="32"/>
              </w:rPr>
              <w:t>办公室电话</w:t>
            </w:r>
          </w:p>
        </w:tc>
      </w:tr>
      <w:tr w14:paraId="7E35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5" w:type="dxa"/>
            <w:vAlign w:val="center"/>
          </w:tcPr>
          <w:p w14:paraId="2E3D0B17">
            <w:pPr>
              <w:spacing w:line="400" w:lineRule="exact"/>
              <w:jc w:val="center"/>
              <w:rPr>
                <w:rFonts w:ascii="仿宋_GB2312" w:eastAsia="仿宋_GB2312"/>
                <w:sz w:val="32"/>
                <w:szCs w:val="32"/>
              </w:rPr>
            </w:pPr>
            <w:r>
              <w:rPr>
                <w:rFonts w:hint="eastAsia" w:ascii="仿宋_GB2312" w:eastAsia="仿宋_GB2312"/>
                <w:sz w:val="32"/>
                <w:szCs w:val="32"/>
              </w:rPr>
              <w:t>马山街道办事处</w:t>
            </w:r>
          </w:p>
        </w:tc>
        <w:tc>
          <w:tcPr>
            <w:tcW w:w="2353" w:type="dxa"/>
            <w:vAlign w:val="center"/>
          </w:tcPr>
          <w:p w14:paraId="4D3502CF">
            <w:pPr>
              <w:spacing w:line="400" w:lineRule="exact"/>
              <w:jc w:val="center"/>
              <w:rPr>
                <w:rFonts w:ascii="仿宋_GB2312" w:eastAsia="仿宋_GB2312"/>
                <w:sz w:val="32"/>
                <w:szCs w:val="32"/>
              </w:rPr>
            </w:pPr>
            <w:r>
              <w:rPr>
                <w:rFonts w:hint="eastAsia" w:ascii="仿宋_GB2312" w:eastAsia="仿宋_GB2312"/>
                <w:sz w:val="32"/>
                <w:szCs w:val="32"/>
              </w:rPr>
              <w:t>6922971</w:t>
            </w:r>
          </w:p>
        </w:tc>
        <w:tc>
          <w:tcPr>
            <w:tcW w:w="2160" w:type="dxa"/>
            <w:vAlign w:val="center"/>
          </w:tcPr>
          <w:p w14:paraId="4E2FFBFC">
            <w:pPr>
              <w:spacing w:line="400" w:lineRule="exact"/>
              <w:jc w:val="center"/>
              <w:rPr>
                <w:rFonts w:ascii="仿宋_GB2312" w:eastAsia="仿宋_GB2312"/>
                <w:sz w:val="32"/>
                <w:szCs w:val="32"/>
              </w:rPr>
            </w:pPr>
            <w:r>
              <w:rPr>
                <w:rFonts w:ascii="仿宋_GB2312" w:eastAsia="仿宋_GB2312"/>
                <w:sz w:val="32"/>
                <w:szCs w:val="32"/>
              </w:rPr>
              <w:t>6922971</w:t>
            </w:r>
          </w:p>
          <w:p w14:paraId="231D62B9">
            <w:pPr>
              <w:spacing w:line="400" w:lineRule="exact"/>
              <w:jc w:val="center"/>
              <w:rPr>
                <w:rFonts w:ascii="仿宋_GB2312" w:eastAsia="仿宋_GB2312"/>
                <w:sz w:val="32"/>
                <w:szCs w:val="32"/>
              </w:rPr>
            </w:pPr>
            <w:r>
              <w:rPr>
                <w:rFonts w:ascii="仿宋_GB2312" w:eastAsia="仿宋_GB2312"/>
                <w:sz w:val="32"/>
                <w:szCs w:val="32"/>
              </w:rPr>
              <w:t>6922972</w:t>
            </w:r>
          </w:p>
        </w:tc>
      </w:tr>
      <w:tr w14:paraId="742D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5" w:type="dxa"/>
            <w:vAlign w:val="center"/>
          </w:tcPr>
          <w:p w14:paraId="3B04E49F">
            <w:pPr>
              <w:spacing w:line="400" w:lineRule="exact"/>
              <w:jc w:val="center"/>
              <w:rPr>
                <w:rFonts w:ascii="仿宋_GB2312" w:eastAsia="仿宋_GB2312"/>
                <w:sz w:val="32"/>
                <w:szCs w:val="32"/>
              </w:rPr>
            </w:pPr>
            <w:r>
              <w:rPr>
                <w:rFonts w:hint="eastAsia" w:ascii="仿宋_GB2312" w:eastAsia="仿宋_GB2312"/>
                <w:sz w:val="32"/>
                <w:szCs w:val="32"/>
              </w:rPr>
              <w:t>金山湾管理处</w:t>
            </w:r>
          </w:p>
        </w:tc>
        <w:tc>
          <w:tcPr>
            <w:tcW w:w="2353" w:type="dxa"/>
            <w:vAlign w:val="center"/>
          </w:tcPr>
          <w:p w14:paraId="050A603D">
            <w:pPr>
              <w:spacing w:line="400" w:lineRule="exact"/>
              <w:jc w:val="center"/>
              <w:rPr>
                <w:rFonts w:ascii="仿宋_GB2312" w:eastAsia="仿宋_GB2312"/>
                <w:sz w:val="32"/>
                <w:szCs w:val="32"/>
              </w:rPr>
            </w:pPr>
            <w:r>
              <w:rPr>
                <w:rFonts w:hint="eastAsia" w:ascii="仿宋_GB2312" w:eastAsia="仿宋_GB2312"/>
                <w:sz w:val="32"/>
                <w:szCs w:val="32"/>
              </w:rPr>
              <w:t>8209518</w:t>
            </w:r>
          </w:p>
        </w:tc>
        <w:tc>
          <w:tcPr>
            <w:tcW w:w="2160" w:type="dxa"/>
            <w:vAlign w:val="center"/>
          </w:tcPr>
          <w:p w14:paraId="3DD1FEDF">
            <w:pPr>
              <w:spacing w:line="400" w:lineRule="exact"/>
              <w:jc w:val="center"/>
              <w:rPr>
                <w:rFonts w:ascii="仿宋_GB2312" w:eastAsia="仿宋_GB2312"/>
                <w:sz w:val="32"/>
                <w:szCs w:val="32"/>
              </w:rPr>
            </w:pPr>
            <w:r>
              <w:rPr>
                <w:rFonts w:ascii="仿宋_GB2312" w:eastAsia="仿宋_GB2312"/>
                <w:sz w:val="32"/>
                <w:szCs w:val="32"/>
              </w:rPr>
              <w:t>8209518</w:t>
            </w:r>
          </w:p>
          <w:p w14:paraId="0404DBD6">
            <w:pPr>
              <w:spacing w:line="400" w:lineRule="exact"/>
              <w:jc w:val="center"/>
              <w:rPr>
                <w:rFonts w:ascii="仿宋_GB2312" w:eastAsia="仿宋_GB2312"/>
                <w:sz w:val="32"/>
                <w:szCs w:val="32"/>
              </w:rPr>
            </w:pPr>
            <w:r>
              <w:rPr>
                <w:rFonts w:ascii="仿宋_GB2312" w:eastAsia="仿宋_GB2312"/>
                <w:sz w:val="32"/>
                <w:szCs w:val="32"/>
              </w:rPr>
              <w:t>8209516</w:t>
            </w:r>
          </w:p>
        </w:tc>
      </w:tr>
      <w:tr w14:paraId="368F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5" w:type="dxa"/>
            <w:vAlign w:val="center"/>
          </w:tcPr>
          <w:p w14:paraId="0DB50F94">
            <w:pPr>
              <w:spacing w:line="400" w:lineRule="exact"/>
              <w:jc w:val="center"/>
              <w:rPr>
                <w:rFonts w:ascii="仿宋_GB2312" w:eastAsia="仿宋_GB2312"/>
                <w:sz w:val="32"/>
                <w:szCs w:val="32"/>
              </w:rPr>
            </w:pPr>
            <w:r>
              <w:rPr>
                <w:rFonts w:hint="eastAsia" w:ascii="仿宋_GB2312" w:eastAsia="仿宋_GB2312"/>
                <w:sz w:val="32"/>
                <w:szCs w:val="32"/>
              </w:rPr>
              <w:t>区综合管理部</w:t>
            </w:r>
          </w:p>
        </w:tc>
        <w:tc>
          <w:tcPr>
            <w:tcW w:w="2353" w:type="dxa"/>
            <w:vAlign w:val="center"/>
          </w:tcPr>
          <w:p w14:paraId="5E8BB3C9">
            <w:pPr>
              <w:spacing w:line="400" w:lineRule="exact"/>
              <w:jc w:val="center"/>
              <w:rPr>
                <w:rFonts w:ascii="仿宋_GB2312" w:eastAsia="仿宋_GB2312"/>
                <w:sz w:val="32"/>
                <w:szCs w:val="32"/>
              </w:rPr>
            </w:pPr>
            <w:r>
              <w:rPr>
                <w:rFonts w:ascii="仿宋_GB2312" w:eastAsia="仿宋_GB2312"/>
                <w:sz w:val="32"/>
                <w:szCs w:val="32"/>
              </w:rPr>
              <w:t>6922001</w:t>
            </w:r>
          </w:p>
        </w:tc>
        <w:tc>
          <w:tcPr>
            <w:tcW w:w="2160" w:type="dxa"/>
            <w:vAlign w:val="center"/>
          </w:tcPr>
          <w:p w14:paraId="1B0D1855">
            <w:pPr>
              <w:spacing w:line="400" w:lineRule="exact"/>
              <w:jc w:val="center"/>
              <w:rPr>
                <w:rFonts w:ascii="仿宋_GB2312" w:eastAsia="仿宋_GB2312"/>
                <w:sz w:val="32"/>
                <w:szCs w:val="32"/>
              </w:rPr>
            </w:pPr>
            <w:r>
              <w:rPr>
                <w:rFonts w:hint="eastAsia" w:ascii="仿宋_GB2312" w:eastAsia="仿宋_GB2312"/>
                <w:sz w:val="32"/>
                <w:szCs w:val="32"/>
              </w:rPr>
              <w:t>6922596</w:t>
            </w:r>
          </w:p>
        </w:tc>
      </w:tr>
      <w:tr w14:paraId="5001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5" w:type="dxa"/>
            <w:vAlign w:val="center"/>
          </w:tcPr>
          <w:p w14:paraId="6DCABEA2">
            <w:pPr>
              <w:spacing w:line="400" w:lineRule="exact"/>
              <w:jc w:val="center"/>
              <w:rPr>
                <w:rFonts w:ascii="仿宋_GB2312" w:eastAsia="仿宋_GB2312"/>
                <w:sz w:val="32"/>
                <w:szCs w:val="32"/>
              </w:rPr>
            </w:pPr>
            <w:r>
              <w:rPr>
                <w:rFonts w:hint="eastAsia" w:ascii="仿宋_GB2312" w:eastAsia="仿宋_GB2312"/>
                <w:sz w:val="32"/>
                <w:szCs w:val="32"/>
              </w:rPr>
              <w:t>区党群工作部</w:t>
            </w:r>
          </w:p>
        </w:tc>
        <w:tc>
          <w:tcPr>
            <w:tcW w:w="2353" w:type="dxa"/>
            <w:vAlign w:val="center"/>
          </w:tcPr>
          <w:p w14:paraId="740DE172">
            <w:pPr>
              <w:spacing w:line="400" w:lineRule="exact"/>
              <w:jc w:val="center"/>
              <w:rPr>
                <w:rFonts w:ascii="仿宋_GB2312" w:eastAsia="仿宋_GB2312"/>
                <w:sz w:val="32"/>
                <w:szCs w:val="32"/>
              </w:rPr>
            </w:pPr>
            <w:r>
              <w:rPr>
                <w:rFonts w:hint="eastAsia" w:ascii="仿宋_GB2312" w:eastAsia="仿宋_GB2312"/>
                <w:sz w:val="32"/>
                <w:szCs w:val="32"/>
              </w:rPr>
              <w:t>6922030</w:t>
            </w:r>
          </w:p>
        </w:tc>
        <w:tc>
          <w:tcPr>
            <w:tcW w:w="2160" w:type="dxa"/>
            <w:vAlign w:val="center"/>
          </w:tcPr>
          <w:p w14:paraId="6D33AAB4">
            <w:pPr>
              <w:spacing w:line="400" w:lineRule="exact"/>
              <w:jc w:val="center"/>
              <w:rPr>
                <w:rFonts w:ascii="仿宋_GB2312" w:eastAsia="仿宋_GB2312"/>
                <w:sz w:val="32"/>
                <w:szCs w:val="32"/>
              </w:rPr>
            </w:pPr>
            <w:r>
              <w:rPr>
                <w:rFonts w:hint="eastAsia" w:ascii="仿宋_GB2312" w:eastAsia="仿宋_GB2312"/>
                <w:sz w:val="32"/>
                <w:szCs w:val="32"/>
              </w:rPr>
              <w:t>6922030</w:t>
            </w:r>
          </w:p>
        </w:tc>
      </w:tr>
      <w:tr w14:paraId="77F5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5" w:type="dxa"/>
            <w:vAlign w:val="center"/>
          </w:tcPr>
          <w:p w14:paraId="78DFE3C7">
            <w:pPr>
              <w:spacing w:line="400" w:lineRule="exact"/>
              <w:jc w:val="center"/>
              <w:rPr>
                <w:rFonts w:ascii="仿宋_GB2312" w:eastAsia="仿宋_GB2312"/>
                <w:sz w:val="32"/>
                <w:szCs w:val="32"/>
              </w:rPr>
            </w:pPr>
            <w:r>
              <w:rPr>
                <w:rFonts w:hint="eastAsia" w:ascii="仿宋_GB2312" w:eastAsia="仿宋_GB2312"/>
                <w:sz w:val="32"/>
                <w:szCs w:val="32"/>
              </w:rPr>
              <w:t>区经济发展部</w:t>
            </w:r>
          </w:p>
        </w:tc>
        <w:tc>
          <w:tcPr>
            <w:tcW w:w="2353" w:type="dxa"/>
            <w:vAlign w:val="center"/>
          </w:tcPr>
          <w:p w14:paraId="0285A5B9">
            <w:pPr>
              <w:spacing w:line="400" w:lineRule="exact"/>
              <w:jc w:val="center"/>
              <w:rPr>
                <w:rFonts w:ascii="仿宋_GB2312" w:eastAsia="仿宋_GB2312"/>
                <w:sz w:val="32"/>
                <w:szCs w:val="32"/>
              </w:rPr>
            </w:pPr>
            <w:r>
              <w:rPr>
                <w:rFonts w:ascii="仿宋_GB2312" w:eastAsia="仿宋_GB2312"/>
                <w:sz w:val="32"/>
                <w:szCs w:val="32"/>
              </w:rPr>
              <w:t>6922153</w:t>
            </w:r>
          </w:p>
        </w:tc>
        <w:tc>
          <w:tcPr>
            <w:tcW w:w="2160" w:type="dxa"/>
            <w:vAlign w:val="center"/>
          </w:tcPr>
          <w:p w14:paraId="2DF0CD75">
            <w:pPr>
              <w:spacing w:line="400" w:lineRule="exact"/>
              <w:jc w:val="center"/>
              <w:rPr>
                <w:rFonts w:ascii="仿宋_GB2312" w:eastAsia="仿宋_GB2312"/>
                <w:sz w:val="32"/>
                <w:szCs w:val="32"/>
              </w:rPr>
            </w:pPr>
            <w:r>
              <w:rPr>
                <w:rFonts w:hint="eastAsia" w:ascii="仿宋_GB2312" w:eastAsia="仿宋_GB2312"/>
                <w:sz w:val="32"/>
                <w:szCs w:val="32"/>
              </w:rPr>
              <w:t>6922153</w:t>
            </w:r>
          </w:p>
        </w:tc>
      </w:tr>
      <w:tr w14:paraId="6FC5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5" w:type="dxa"/>
            <w:vAlign w:val="center"/>
          </w:tcPr>
          <w:p w14:paraId="0258F6D6">
            <w:pPr>
              <w:spacing w:line="400" w:lineRule="exact"/>
              <w:jc w:val="center"/>
              <w:rPr>
                <w:rFonts w:ascii="仿宋_GB2312" w:eastAsia="仿宋_GB2312"/>
                <w:sz w:val="32"/>
                <w:szCs w:val="32"/>
              </w:rPr>
            </w:pPr>
            <w:r>
              <w:rPr>
                <w:rFonts w:hint="eastAsia" w:ascii="仿宋_GB2312" w:eastAsia="仿宋_GB2312"/>
                <w:sz w:val="32"/>
                <w:szCs w:val="32"/>
              </w:rPr>
              <w:t>区财政金融部</w:t>
            </w:r>
          </w:p>
        </w:tc>
        <w:tc>
          <w:tcPr>
            <w:tcW w:w="2353" w:type="dxa"/>
            <w:vAlign w:val="center"/>
          </w:tcPr>
          <w:p w14:paraId="46936462">
            <w:pPr>
              <w:spacing w:line="400" w:lineRule="exact"/>
              <w:jc w:val="center"/>
              <w:rPr>
                <w:rFonts w:ascii="仿宋_GB2312" w:eastAsia="仿宋_GB2312"/>
                <w:sz w:val="32"/>
                <w:szCs w:val="32"/>
              </w:rPr>
            </w:pPr>
            <w:r>
              <w:rPr>
                <w:rFonts w:ascii="仿宋_GB2312" w:eastAsia="仿宋_GB2312"/>
                <w:sz w:val="32"/>
                <w:szCs w:val="32"/>
              </w:rPr>
              <w:t>6922175</w:t>
            </w:r>
          </w:p>
        </w:tc>
        <w:tc>
          <w:tcPr>
            <w:tcW w:w="2160" w:type="dxa"/>
            <w:vAlign w:val="center"/>
          </w:tcPr>
          <w:p w14:paraId="4A09001C">
            <w:pPr>
              <w:spacing w:line="400" w:lineRule="exact"/>
              <w:jc w:val="center"/>
              <w:rPr>
                <w:rFonts w:ascii="仿宋_GB2312" w:eastAsia="仿宋_GB2312"/>
                <w:sz w:val="32"/>
                <w:szCs w:val="32"/>
              </w:rPr>
            </w:pPr>
            <w:r>
              <w:rPr>
                <w:rFonts w:ascii="仿宋_GB2312" w:eastAsia="仿宋_GB2312"/>
                <w:sz w:val="32"/>
                <w:szCs w:val="32"/>
              </w:rPr>
              <w:t>6922175</w:t>
            </w:r>
          </w:p>
        </w:tc>
      </w:tr>
      <w:tr w14:paraId="7B0D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5" w:type="dxa"/>
            <w:vAlign w:val="center"/>
          </w:tcPr>
          <w:p w14:paraId="77B81B4C">
            <w:pPr>
              <w:spacing w:line="400" w:lineRule="exact"/>
              <w:jc w:val="center"/>
              <w:rPr>
                <w:rFonts w:ascii="仿宋_GB2312" w:eastAsia="仿宋_GB2312"/>
                <w:sz w:val="32"/>
                <w:szCs w:val="32"/>
              </w:rPr>
            </w:pPr>
            <w:r>
              <w:rPr>
                <w:rFonts w:hint="eastAsia" w:ascii="仿宋_GB2312" w:eastAsia="仿宋_GB2312"/>
                <w:sz w:val="32"/>
                <w:szCs w:val="32"/>
              </w:rPr>
              <w:t>区规划国土建设部</w:t>
            </w:r>
          </w:p>
        </w:tc>
        <w:tc>
          <w:tcPr>
            <w:tcW w:w="2353" w:type="dxa"/>
            <w:vAlign w:val="center"/>
          </w:tcPr>
          <w:p w14:paraId="058ACCDE">
            <w:pPr>
              <w:spacing w:line="400" w:lineRule="exact"/>
              <w:jc w:val="center"/>
              <w:rPr>
                <w:rFonts w:ascii="仿宋_GB2312" w:eastAsia="仿宋_GB2312"/>
                <w:sz w:val="32"/>
                <w:szCs w:val="32"/>
              </w:rPr>
            </w:pPr>
            <w:r>
              <w:rPr>
                <w:rFonts w:ascii="仿宋_GB2312" w:eastAsia="仿宋_GB2312"/>
                <w:sz w:val="32"/>
                <w:szCs w:val="32"/>
              </w:rPr>
              <w:t>6922358</w:t>
            </w:r>
          </w:p>
        </w:tc>
        <w:tc>
          <w:tcPr>
            <w:tcW w:w="2160" w:type="dxa"/>
            <w:vAlign w:val="center"/>
          </w:tcPr>
          <w:p w14:paraId="6A28F998">
            <w:pPr>
              <w:spacing w:line="400" w:lineRule="exact"/>
              <w:jc w:val="center"/>
              <w:rPr>
                <w:rFonts w:ascii="仿宋_GB2312" w:eastAsia="仿宋_GB2312"/>
                <w:sz w:val="32"/>
                <w:szCs w:val="32"/>
              </w:rPr>
            </w:pPr>
            <w:r>
              <w:rPr>
                <w:rFonts w:ascii="仿宋_GB2312" w:eastAsia="仿宋_GB2312"/>
                <w:sz w:val="32"/>
                <w:szCs w:val="32"/>
              </w:rPr>
              <w:t>6922358</w:t>
            </w:r>
          </w:p>
        </w:tc>
      </w:tr>
      <w:tr w14:paraId="738B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5" w:type="dxa"/>
            <w:vAlign w:val="center"/>
          </w:tcPr>
          <w:p w14:paraId="655AF362">
            <w:pPr>
              <w:spacing w:line="400" w:lineRule="exact"/>
              <w:jc w:val="center"/>
              <w:rPr>
                <w:rFonts w:ascii="仿宋_GB2312" w:eastAsia="仿宋_GB2312"/>
                <w:sz w:val="32"/>
                <w:szCs w:val="32"/>
              </w:rPr>
            </w:pPr>
            <w:r>
              <w:rPr>
                <w:rFonts w:hint="eastAsia" w:ascii="仿宋_GB2312" w:eastAsia="仿宋_GB2312"/>
                <w:sz w:val="32"/>
                <w:szCs w:val="32"/>
              </w:rPr>
              <w:t>区综合行政执法局</w:t>
            </w:r>
          </w:p>
        </w:tc>
        <w:tc>
          <w:tcPr>
            <w:tcW w:w="2353" w:type="dxa"/>
            <w:vAlign w:val="center"/>
          </w:tcPr>
          <w:p w14:paraId="51822BED">
            <w:pPr>
              <w:spacing w:line="400" w:lineRule="exact"/>
              <w:jc w:val="center"/>
              <w:rPr>
                <w:rFonts w:ascii="仿宋_GB2312" w:eastAsia="仿宋_GB2312"/>
                <w:sz w:val="32"/>
                <w:szCs w:val="32"/>
              </w:rPr>
            </w:pPr>
            <w:r>
              <w:rPr>
                <w:rFonts w:ascii="仿宋_GB2312" w:eastAsia="仿宋_GB2312"/>
                <w:sz w:val="32"/>
                <w:szCs w:val="32"/>
              </w:rPr>
              <w:t>6922581</w:t>
            </w:r>
          </w:p>
        </w:tc>
        <w:tc>
          <w:tcPr>
            <w:tcW w:w="2160" w:type="dxa"/>
            <w:vAlign w:val="center"/>
          </w:tcPr>
          <w:p w14:paraId="65683A57">
            <w:pPr>
              <w:spacing w:line="400" w:lineRule="exact"/>
              <w:jc w:val="center"/>
              <w:rPr>
                <w:rFonts w:ascii="仿宋_GB2312" w:eastAsia="仿宋_GB2312"/>
                <w:sz w:val="32"/>
                <w:szCs w:val="32"/>
              </w:rPr>
            </w:pPr>
            <w:r>
              <w:rPr>
                <w:rFonts w:ascii="仿宋_GB2312" w:eastAsia="仿宋_GB2312"/>
                <w:sz w:val="32"/>
                <w:szCs w:val="32"/>
              </w:rPr>
              <w:t>6922581</w:t>
            </w:r>
          </w:p>
        </w:tc>
      </w:tr>
      <w:tr w14:paraId="15C5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5" w:type="dxa"/>
            <w:vAlign w:val="center"/>
          </w:tcPr>
          <w:p w14:paraId="4B229B28">
            <w:pPr>
              <w:spacing w:line="400" w:lineRule="exact"/>
              <w:jc w:val="center"/>
              <w:rPr>
                <w:rFonts w:ascii="仿宋_GB2312" w:eastAsia="仿宋_GB2312"/>
                <w:sz w:val="32"/>
                <w:szCs w:val="32"/>
              </w:rPr>
            </w:pPr>
            <w:r>
              <w:rPr>
                <w:rFonts w:hint="eastAsia" w:ascii="仿宋_GB2312" w:eastAsia="仿宋_GB2312"/>
                <w:sz w:val="32"/>
                <w:szCs w:val="32"/>
              </w:rPr>
              <w:t>区法制中心</w:t>
            </w:r>
          </w:p>
        </w:tc>
        <w:tc>
          <w:tcPr>
            <w:tcW w:w="2353" w:type="dxa"/>
            <w:vAlign w:val="center"/>
          </w:tcPr>
          <w:p w14:paraId="2FCABAF8">
            <w:pPr>
              <w:spacing w:line="400" w:lineRule="exact"/>
              <w:jc w:val="center"/>
              <w:rPr>
                <w:rFonts w:ascii="仿宋_GB2312" w:eastAsia="仿宋_GB2312"/>
                <w:sz w:val="32"/>
                <w:szCs w:val="32"/>
              </w:rPr>
            </w:pPr>
            <w:r>
              <w:rPr>
                <w:rFonts w:ascii="仿宋_GB2312" w:eastAsia="仿宋_GB2312"/>
                <w:sz w:val="32"/>
                <w:szCs w:val="32"/>
              </w:rPr>
              <w:t>6922570</w:t>
            </w:r>
          </w:p>
        </w:tc>
        <w:tc>
          <w:tcPr>
            <w:tcW w:w="2160" w:type="dxa"/>
            <w:vAlign w:val="center"/>
          </w:tcPr>
          <w:p w14:paraId="004F165A">
            <w:pPr>
              <w:spacing w:line="400" w:lineRule="exact"/>
              <w:jc w:val="center"/>
              <w:rPr>
                <w:rFonts w:ascii="仿宋_GB2312" w:eastAsia="仿宋_GB2312"/>
                <w:sz w:val="32"/>
                <w:szCs w:val="32"/>
              </w:rPr>
            </w:pPr>
            <w:r>
              <w:rPr>
                <w:rFonts w:ascii="仿宋_GB2312" w:eastAsia="仿宋_GB2312"/>
                <w:sz w:val="32"/>
                <w:szCs w:val="32"/>
              </w:rPr>
              <w:t>6922570</w:t>
            </w:r>
          </w:p>
        </w:tc>
      </w:tr>
      <w:tr w14:paraId="5BC2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5" w:type="dxa"/>
            <w:vAlign w:val="center"/>
          </w:tcPr>
          <w:p w14:paraId="6CC4797A">
            <w:pPr>
              <w:spacing w:line="400" w:lineRule="exact"/>
              <w:jc w:val="center"/>
              <w:rPr>
                <w:rFonts w:ascii="仿宋_GB2312" w:eastAsia="仿宋_GB2312"/>
                <w:sz w:val="32"/>
                <w:szCs w:val="32"/>
              </w:rPr>
            </w:pPr>
            <w:r>
              <w:rPr>
                <w:rFonts w:hint="eastAsia" w:ascii="仿宋_GB2312" w:eastAsia="仿宋_GB2312"/>
                <w:sz w:val="32"/>
                <w:szCs w:val="32"/>
              </w:rPr>
              <w:t>区公安分局</w:t>
            </w:r>
          </w:p>
        </w:tc>
        <w:tc>
          <w:tcPr>
            <w:tcW w:w="2353" w:type="dxa"/>
            <w:vAlign w:val="center"/>
          </w:tcPr>
          <w:p w14:paraId="52E4EA70">
            <w:pPr>
              <w:spacing w:line="400" w:lineRule="exact"/>
              <w:jc w:val="center"/>
              <w:rPr>
                <w:rFonts w:ascii="仿宋_GB2312" w:eastAsia="仿宋_GB2312"/>
                <w:sz w:val="32"/>
                <w:szCs w:val="32"/>
              </w:rPr>
            </w:pPr>
            <w:r>
              <w:rPr>
                <w:rFonts w:ascii="仿宋_GB2312" w:eastAsia="仿宋_GB2312"/>
                <w:sz w:val="32"/>
                <w:szCs w:val="32"/>
              </w:rPr>
              <w:t>6760110</w:t>
            </w:r>
          </w:p>
        </w:tc>
        <w:tc>
          <w:tcPr>
            <w:tcW w:w="2160" w:type="dxa"/>
            <w:vAlign w:val="center"/>
          </w:tcPr>
          <w:p w14:paraId="72B000C1">
            <w:pPr>
              <w:spacing w:line="400" w:lineRule="exact"/>
              <w:jc w:val="center"/>
              <w:rPr>
                <w:rFonts w:ascii="仿宋_GB2312" w:eastAsia="仿宋_GB2312"/>
                <w:sz w:val="32"/>
                <w:szCs w:val="32"/>
              </w:rPr>
            </w:pPr>
            <w:r>
              <w:rPr>
                <w:rFonts w:ascii="仿宋_GB2312" w:eastAsia="仿宋_GB2312"/>
                <w:sz w:val="32"/>
                <w:szCs w:val="32"/>
              </w:rPr>
              <w:t>6922719</w:t>
            </w:r>
          </w:p>
        </w:tc>
      </w:tr>
      <w:tr w14:paraId="2593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5" w:type="dxa"/>
            <w:vAlign w:val="center"/>
          </w:tcPr>
          <w:p w14:paraId="687A0490">
            <w:pPr>
              <w:spacing w:line="400" w:lineRule="exact"/>
              <w:jc w:val="center"/>
              <w:rPr>
                <w:rFonts w:ascii="仿宋_GB2312" w:eastAsia="仿宋_GB2312"/>
                <w:sz w:val="32"/>
                <w:szCs w:val="32"/>
              </w:rPr>
            </w:pPr>
            <w:r>
              <w:rPr>
                <w:rFonts w:hint="eastAsia" w:ascii="仿宋_GB2312" w:eastAsia="仿宋_GB2312"/>
                <w:sz w:val="32"/>
                <w:szCs w:val="32"/>
              </w:rPr>
              <w:t>区生态环境分局</w:t>
            </w:r>
          </w:p>
        </w:tc>
        <w:tc>
          <w:tcPr>
            <w:tcW w:w="2353" w:type="dxa"/>
            <w:vAlign w:val="center"/>
          </w:tcPr>
          <w:p w14:paraId="0479878B">
            <w:pPr>
              <w:spacing w:line="400" w:lineRule="exact"/>
              <w:jc w:val="center"/>
              <w:rPr>
                <w:rFonts w:ascii="仿宋_GB2312" w:eastAsia="仿宋_GB2312"/>
                <w:sz w:val="32"/>
                <w:szCs w:val="32"/>
              </w:rPr>
            </w:pPr>
            <w:r>
              <w:rPr>
                <w:rFonts w:ascii="仿宋_GB2312" w:eastAsia="仿宋_GB2312"/>
                <w:sz w:val="32"/>
                <w:szCs w:val="32"/>
              </w:rPr>
              <w:t>6922365</w:t>
            </w:r>
          </w:p>
        </w:tc>
        <w:tc>
          <w:tcPr>
            <w:tcW w:w="2160" w:type="dxa"/>
            <w:vAlign w:val="center"/>
          </w:tcPr>
          <w:p w14:paraId="1DDAEB62">
            <w:pPr>
              <w:spacing w:line="400" w:lineRule="exact"/>
              <w:jc w:val="center"/>
              <w:rPr>
                <w:rFonts w:ascii="仿宋_GB2312" w:eastAsia="仿宋_GB2312"/>
                <w:sz w:val="32"/>
                <w:szCs w:val="32"/>
              </w:rPr>
            </w:pPr>
            <w:r>
              <w:rPr>
                <w:rFonts w:ascii="仿宋_GB2312" w:eastAsia="仿宋_GB2312"/>
                <w:sz w:val="32"/>
                <w:szCs w:val="32"/>
              </w:rPr>
              <w:t>6922365</w:t>
            </w:r>
          </w:p>
        </w:tc>
      </w:tr>
      <w:tr w14:paraId="3037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5" w:type="dxa"/>
            <w:vAlign w:val="center"/>
          </w:tcPr>
          <w:p w14:paraId="00689187">
            <w:pPr>
              <w:spacing w:line="400" w:lineRule="exact"/>
              <w:jc w:val="center"/>
              <w:rPr>
                <w:rFonts w:ascii="仿宋_GB2312" w:eastAsia="仿宋_GB2312"/>
                <w:sz w:val="32"/>
                <w:szCs w:val="32"/>
              </w:rPr>
            </w:pPr>
            <w:r>
              <w:rPr>
                <w:rFonts w:hint="eastAsia" w:ascii="仿宋_GB2312" w:eastAsia="仿宋_GB2312"/>
                <w:sz w:val="32"/>
                <w:szCs w:val="32"/>
              </w:rPr>
              <w:t>区教育分局</w:t>
            </w:r>
          </w:p>
        </w:tc>
        <w:tc>
          <w:tcPr>
            <w:tcW w:w="2353" w:type="dxa"/>
            <w:vAlign w:val="center"/>
          </w:tcPr>
          <w:p w14:paraId="7A93FFCE">
            <w:pPr>
              <w:spacing w:line="400" w:lineRule="exact"/>
              <w:jc w:val="center"/>
              <w:rPr>
                <w:rFonts w:ascii="仿宋_GB2312" w:eastAsia="仿宋_GB2312"/>
                <w:sz w:val="32"/>
                <w:szCs w:val="32"/>
              </w:rPr>
            </w:pPr>
            <w:r>
              <w:rPr>
                <w:rFonts w:ascii="仿宋_GB2312" w:eastAsia="仿宋_GB2312"/>
                <w:sz w:val="32"/>
                <w:szCs w:val="32"/>
              </w:rPr>
              <w:t>6922113</w:t>
            </w:r>
          </w:p>
        </w:tc>
        <w:tc>
          <w:tcPr>
            <w:tcW w:w="2160" w:type="dxa"/>
            <w:vAlign w:val="center"/>
          </w:tcPr>
          <w:p w14:paraId="6080BFB2">
            <w:pPr>
              <w:spacing w:line="400" w:lineRule="exact"/>
              <w:jc w:val="center"/>
              <w:rPr>
                <w:rFonts w:ascii="仿宋_GB2312" w:eastAsia="仿宋_GB2312"/>
                <w:sz w:val="32"/>
                <w:szCs w:val="32"/>
              </w:rPr>
            </w:pPr>
            <w:r>
              <w:rPr>
                <w:rFonts w:ascii="仿宋_GB2312" w:eastAsia="仿宋_GB2312"/>
                <w:sz w:val="32"/>
                <w:szCs w:val="32"/>
              </w:rPr>
              <w:t>6922113</w:t>
            </w:r>
          </w:p>
        </w:tc>
      </w:tr>
      <w:tr w14:paraId="20F9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5" w:type="dxa"/>
            <w:vAlign w:val="center"/>
          </w:tcPr>
          <w:p w14:paraId="45B8396E">
            <w:pPr>
              <w:spacing w:line="400" w:lineRule="exact"/>
              <w:jc w:val="center"/>
              <w:rPr>
                <w:rFonts w:ascii="仿宋_GB2312" w:eastAsia="仿宋_GB2312"/>
                <w:sz w:val="32"/>
                <w:szCs w:val="32"/>
              </w:rPr>
            </w:pPr>
            <w:r>
              <w:rPr>
                <w:rFonts w:hint="eastAsia" w:ascii="仿宋_GB2312" w:eastAsia="仿宋_GB2312"/>
                <w:sz w:val="32"/>
                <w:szCs w:val="32"/>
              </w:rPr>
              <w:t>区卫生健康管理办公室</w:t>
            </w:r>
          </w:p>
        </w:tc>
        <w:tc>
          <w:tcPr>
            <w:tcW w:w="2353" w:type="dxa"/>
            <w:vAlign w:val="center"/>
          </w:tcPr>
          <w:p w14:paraId="4EC5ECED">
            <w:pPr>
              <w:spacing w:line="400" w:lineRule="exact"/>
              <w:jc w:val="center"/>
              <w:rPr>
                <w:rFonts w:ascii="仿宋_GB2312" w:eastAsia="仿宋_GB2312"/>
                <w:sz w:val="32"/>
                <w:szCs w:val="32"/>
              </w:rPr>
            </w:pPr>
            <w:r>
              <w:rPr>
                <w:rFonts w:hint="eastAsia" w:ascii="仿宋_GB2312" w:eastAsia="仿宋_GB2312"/>
                <w:sz w:val="32"/>
                <w:szCs w:val="32"/>
              </w:rPr>
              <w:t>6925280</w:t>
            </w:r>
          </w:p>
        </w:tc>
        <w:tc>
          <w:tcPr>
            <w:tcW w:w="2160" w:type="dxa"/>
            <w:vAlign w:val="center"/>
          </w:tcPr>
          <w:p w14:paraId="03275F9F">
            <w:pPr>
              <w:spacing w:line="400" w:lineRule="exact"/>
              <w:jc w:val="center"/>
              <w:rPr>
                <w:rFonts w:ascii="仿宋_GB2312" w:eastAsia="仿宋_GB2312"/>
                <w:sz w:val="32"/>
                <w:szCs w:val="32"/>
              </w:rPr>
            </w:pPr>
            <w:r>
              <w:rPr>
                <w:rFonts w:hint="eastAsia" w:ascii="仿宋_GB2312" w:eastAsia="仿宋_GB2312"/>
                <w:sz w:val="32"/>
                <w:szCs w:val="32"/>
              </w:rPr>
              <w:t>6925280</w:t>
            </w:r>
          </w:p>
        </w:tc>
      </w:tr>
      <w:tr w14:paraId="1492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5" w:type="dxa"/>
            <w:vAlign w:val="center"/>
          </w:tcPr>
          <w:p w14:paraId="05913FED">
            <w:pPr>
              <w:spacing w:line="400" w:lineRule="exact"/>
              <w:jc w:val="center"/>
              <w:rPr>
                <w:rFonts w:ascii="仿宋_GB2312" w:eastAsia="仿宋_GB2312"/>
                <w:sz w:val="32"/>
                <w:szCs w:val="32"/>
              </w:rPr>
            </w:pPr>
            <w:r>
              <w:rPr>
                <w:rFonts w:hint="eastAsia" w:ascii="仿宋_GB2312" w:eastAsia="仿宋_GB2312"/>
                <w:sz w:val="32"/>
                <w:szCs w:val="32"/>
              </w:rPr>
              <w:t>区应急管理分局</w:t>
            </w:r>
          </w:p>
        </w:tc>
        <w:tc>
          <w:tcPr>
            <w:tcW w:w="2353" w:type="dxa"/>
            <w:vAlign w:val="center"/>
          </w:tcPr>
          <w:p w14:paraId="37D6C55C">
            <w:pPr>
              <w:spacing w:line="400" w:lineRule="exact"/>
              <w:jc w:val="center"/>
              <w:rPr>
                <w:rFonts w:ascii="仿宋_GB2312" w:eastAsia="仿宋_GB2312"/>
                <w:sz w:val="32"/>
                <w:szCs w:val="32"/>
              </w:rPr>
            </w:pPr>
            <w:r>
              <w:rPr>
                <w:rFonts w:ascii="仿宋_GB2312" w:eastAsia="仿宋_GB2312"/>
                <w:sz w:val="32"/>
                <w:szCs w:val="32"/>
              </w:rPr>
              <w:t>6755119</w:t>
            </w:r>
          </w:p>
        </w:tc>
        <w:tc>
          <w:tcPr>
            <w:tcW w:w="2160" w:type="dxa"/>
            <w:vAlign w:val="center"/>
          </w:tcPr>
          <w:p w14:paraId="3610ED3B">
            <w:pPr>
              <w:spacing w:line="400" w:lineRule="exact"/>
              <w:jc w:val="center"/>
              <w:rPr>
                <w:rFonts w:ascii="仿宋_GB2312" w:eastAsia="仿宋_GB2312"/>
                <w:sz w:val="32"/>
                <w:szCs w:val="32"/>
              </w:rPr>
            </w:pPr>
            <w:r>
              <w:rPr>
                <w:rFonts w:ascii="仿宋_GB2312" w:eastAsia="仿宋_GB2312"/>
                <w:sz w:val="32"/>
                <w:szCs w:val="32"/>
              </w:rPr>
              <w:t>6922499</w:t>
            </w:r>
          </w:p>
        </w:tc>
      </w:tr>
      <w:tr w14:paraId="05B7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5" w:type="dxa"/>
            <w:vAlign w:val="center"/>
          </w:tcPr>
          <w:p w14:paraId="7129763A">
            <w:pPr>
              <w:spacing w:line="400" w:lineRule="exact"/>
              <w:jc w:val="center"/>
              <w:rPr>
                <w:rFonts w:ascii="仿宋_GB2312" w:eastAsia="仿宋_GB2312"/>
                <w:sz w:val="32"/>
                <w:szCs w:val="32"/>
              </w:rPr>
            </w:pPr>
            <w:r>
              <w:rPr>
                <w:rFonts w:hint="eastAsia" w:ascii="仿宋_GB2312" w:eastAsia="仿宋_GB2312"/>
                <w:sz w:val="32"/>
                <w:szCs w:val="32"/>
              </w:rPr>
              <w:t>区市场监管分局</w:t>
            </w:r>
          </w:p>
        </w:tc>
        <w:tc>
          <w:tcPr>
            <w:tcW w:w="2353" w:type="dxa"/>
            <w:vAlign w:val="center"/>
          </w:tcPr>
          <w:p w14:paraId="2A6B98BA">
            <w:pPr>
              <w:spacing w:line="400" w:lineRule="exact"/>
              <w:jc w:val="center"/>
              <w:rPr>
                <w:rFonts w:ascii="仿宋_GB2312" w:eastAsia="仿宋_GB2312"/>
                <w:sz w:val="32"/>
                <w:szCs w:val="32"/>
              </w:rPr>
            </w:pPr>
            <w:r>
              <w:rPr>
                <w:rFonts w:ascii="仿宋_GB2312" w:eastAsia="仿宋_GB2312"/>
                <w:sz w:val="32"/>
                <w:szCs w:val="32"/>
              </w:rPr>
              <w:t>6922327</w:t>
            </w:r>
          </w:p>
        </w:tc>
        <w:tc>
          <w:tcPr>
            <w:tcW w:w="2160" w:type="dxa"/>
            <w:vAlign w:val="center"/>
          </w:tcPr>
          <w:p w14:paraId="66344E9F">
            <w:pPr>
              <w:spacing w:line="400" w:lineRule="exact"/>
              <w:jc w:val="center"/>
              <w:rPr>
                <w:rFonts w:ascii="仿宋_GB2312" w:eastAsia="仿宋_GB2312"/>
                <w:sz w:val="32"/>
                <w:szCs w:val="32"/>
              </w:rPr>
            </w:pPr>
            <w:r>
              <w:rPr>
                <w:rFonts w:ascii="仿宋_GB2312" w:eastAsia="仿宋_GB2312"/>
                <w:sz w:val="32"/>
                <w:szCs w:val="32"/>
              </w:rPr>
              <w:t>6922327</w:t>
            </w:r>
          </w:p>
        </w:tc>
      </w:tr>
      <w:tr w14:paraId="3024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5" w:type="dxa"/>
            <w:vAlign w:val="center"/>
          </w:tcPr>
          <w:p w14:paraId="1531E628">
            <w:pPr>
              <w:spacing w:line="400" w:lineRule="exact"/>
              <w:jc w:val="center"/>
              <w:rPr>
                <w:rFonts w:ascii="仿宋_GB2312" w:eastAsia="仿宋_GB2312"/>
                <w:sz w:val="32"/>
                <w:szCs w:val="32"/>
              </w:rPr>
            </w:pPr>
            <w:r>
              <w:rPr>
                <w:rFonts w:hint="eastAsia" w:ascii="仿宋_GB2312" w:eastAsia="仿宋_GB2312"/>
                <w:sz w:val="32"/>
                <w:szCs w:val="32"/>
              </w:rPr>
              <w:t>区消防救援大队</w:t>
            </w:r>
          </w:p>
        </w:tc>
        <w:tc>
          <w:tcPr>
            <w:tcW w:w="2353" w:type="dxa"/>
            <w:vAlign w:val="center"/>
          </w:tcPr>
          <w:p w14:paraId="622E469F">
            <w:pPr>
              <w:spacing w:line="400" w:lineRule="exact"/>
              <w:jc w:val="center"/>
              <w:rPr>
                <w:rFonts w:ascii="仿宋_GB2312" w:eastAsia="仿宋_GB2312"/>
                <w:sz w:val="32"/>
                <w:szCs w:val="32"/>
              </w:rPr>
            </w:pPr>
            <w:r>
              <w:rPr>
                <w:rFonts w:hint="eastAsia" w:ascii="仿宋_GB2312" w:eastAsia="仿宋_GB2312"/>
                <w:sz w:val="32"/>
                <w:szCs w:val="32"/>
              </w:rPr>
              <w:t>6922620</w:t>
            </w:r>
          </w:p>
          <w:p w14:paraId="54265D3A">
            <w:pPr>
              <w:spacing w:line="400" w:lineRule="exact"/>
              <w:jc w:val="center"/>
              <w:rPr>
                <w:rFonts w:ascii="仿宋_GB2312" w:eastAsia="仿宋_GB2312"/>
                <w:sz w:val="32"/>
                <w:szCs w:val="32"/>
              </w:rPr>
            </w:pPr>
            <w:r>
              <w:rPr>
                <w:rFonts w:hint="eastAsia" w:ascii="仿宋_GB2312" w:eastAsia="仿宋_GB2312"/>
                <w:sz w:val="32"/>
                <w:szCs w:val="32"/>
              </w:rPr>
              <w:t>6768119</w:t>
            </w:r>
          </w:p>
        </w:tc>
        <w:tc>
          <w:tcPr>
            <w:tcW w:w="2160" w:type="dxa"/>
            <w:vAlign w:val="center"/>
          </w:tcPr>
          <w:p w14:paraId="2D302D49">
            <w:pPr>
              <w:spacing w:line="400" w:lineRule="exact"/>
              <w:jc w:val="center"/>
              <w:rPr>
                <w:rFonts w:ascii="仿宋_GB2312" w:eastAsia="仿宋_GB2312"/>
                <w:sz w:val="32"/>
                <w:szCs w:val="32"/>
              </w:rPr>
            </w:pPr>
            <w:r>
              <w:rPr>
                <w:rFonts w:hint="eastAsia" w:ascii="仿宋_GB2312" w:eastAsia="仿宋_GB2312"/>
                <w:sz w:val="32"/>
                <w:szCs w:val="32"/>
              </w:rPr>
              <w:t>6922656</w:t>
            </w:r>
          </w:p>
        </w:tc>
      </w:tr>
      <w:tr w14:paraId="74F3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75" w:type="dxa"/>
            <w:vAlign w:val="center"/>
          </w:tcPr>
          <w:p w14:paraId="2B971C7A">
            <w:pPr>
              <w:spacing w:line="400" w:lineRule="exact"/>
              <w:jc w:val="center"/>
              <w:rPr>
                <w:rFonts w:ascii="仿宋_GB2312" w:eastAsia="仿宋_GB2312"/>
                <w:sz w:val="32"/>
                <w:szCs w:val="32"/>
              </w:rPr>
            </w:pPr>
            <w:r>
              <w:rPr>
                <w:rFonts w:ascii="仿宋_GB2312" w:eastAsia="仿宋_GB2312"/>
                <w:sz w:val="32"/>
                <w:szCs w:val="32"/>
              </w:rPr>
              <w:t>市公安交警支队第</w:t>
            </w:r>
            <w:r>
              <w:rPr>
                <w:rFonts w:hint="eastAsia" w:ascii="仿宋_GB2312" w:eastAsia="仿宋_GB2312"/>
                <w:sz w:val="32"/>
                <w:szCs w:val="32"/>
              </w:rPr>
              <w:t>五</w:t>
            </w:r>
            <w:r>
              <w:rPr>
                <w:rFonts w:ascii="仿宋_GB2312" w:eastAsia="仿宋_GB2312"/>
                <w:sz w:val="32"/>
                <w:szCs w:val="32"/>
              </w:rPr>
              <w:t>大队</w:t>
            </w:r>
          </w:p>
        </w:tc>
        <w:tc>
          <w:tcPr>
            <w:tcW w:w="2353" w:type="dxa"/>
            <w:vAlign w:val="center"/>
          </w:tcPr>
          <w:p w14:paraId="2D7752C4">
            <w:pPr>
              <w:spacing w:line="400" w:lineRule="exact"/>
              <w:jc w:val="center"/>
              <w:rPr>
                <w:rFonts w:ascii="仿宋_GB2312" w:eastAsia="仿宋_GB2312"/>
                <w:sz w:val="32"/>
                <w:szCs w:val="32"/>
              </w:rPr>
            </w:pPr>
            <w:r>
              <w:rPr>
                <w:rFonts w:hint="eastAsia" w:ascii="仿宋_GB2312" w:eastAsia="仿宋_GB2312"/>
                <w:sz w:val="32"/>
                <w:szCs w:val="32"/>
              </w:rPr>
              <w:t>3246498</w:t>
            </w:r>
          </w:p>
        </w:tc>
        <w:tc>
          <w:tcPr>
            <w:tcW w:w="2160" w:type="dxa"/>
            <w:vAlign w:val="center"/>
          </w:tcPr>
          <w:p w14:paraId="66293E2D">
            <w:pPr>
              <w:spacing w:line="400" w:lineRule="exact"/>
              <w:jc w:val="center"/>
              <w:rPr>
                <w:rFonts w:ascii="仿宋_GB2312" w:eastAsia="仿宋_GB2312"/>
                <w:sz w:val="32"/>
                <w:szCs w:val="32"/>
              </w:rPr>
            </w:pPr>
            <w:r>
              <w:rPr>
                <w:rFonts w:ascii="仿宋_GB2312" w:eastAsia="仿宋_GB2312"/>
                <w:sz w:val="32"/>
                <w:szCs w:val="32"/>
              </w:rPr>
              <w:t>3246480</w:t>
            </w:r>
          </w:p>
        </w:tc>
      </w:tr>
    </w:tbl>
    <w:p w14:paraId="6A4539AB">
      <w:pPr>
        <w:snapToGrid w:val="0"/>
        <w:spacing w:line="360" w:lineRule="auto"/>
        <w:rPr>
          <w:rFonts w:ascii="黑体" w:hAnsi="黑体" w:eastAsia="黑体" w:cs="仿宋_GB2312"/>
          <w:bCs/>
          <w:sz w:val="32"/>
          <w:szCs w:val="32"/>
        </w:rPr>
      </w:pPr>
      <w:r>
        <w:rPr>
          <w:rFonts w:hint="eastAsia" w:ascii="黑体" w:hAnsi="黑体" w:eastAsia="黑体" w:cs="仿宋_GB2312"/>
          <w:bCs/>
          <w:sz w:val="32"/>
          <w:szCs w:val="32"/>
        </w:rPr>
        <w:t>附件4</w:t>
      </w:r>
    </w:p>
    <w:p w14:paraId="25FD5C57">
      <w:pPr>
        <w:snapToGrid w:val="0"/>
        <w:spacing w:line="560" w:lineRule="exact"/>
        <w:jc w:val="center"/>
        <w:rPr>
          <w:rFonts w:ascii="方正小标宋简体" w:hAnsi="黑体" w:eastAsia="方正小标宋简体" w:cs="仿宋_GB2312"/>
          <w:bCs/>
          <w:sz w:val="44"/>
          <w:szCs w:val="44"/>
        </w:rPr>
      </w:pPr>
      <w:r>
        <w:rPr>
          <w:rFonts w:hint="eastAsia" w:ascii="方正小标宋简体" w:hAnsi="黑体" w:eastAsia="方正小标宋简体" w:cs="仿宋_GB2312"/>
          <w:bCs/>
          <w:sz w:val="44"/>
          <w:szCs w:val="44"/>
        </w:rPr>
        <w:t>应急资源调查</w:t>
      </w:r>
    </w:p>
    <w:p w14:paraId="0B6C20F9">
      <w:pPr>
        <w:snapToGrid w:val="0"/>
        <w:spacing w:line="560" w:lineRule="exact"/>
        <w:jc w:val="center"/>
        <w:rPr>
          <w:rFonts w:ascii="方正小标宋简体" w:hAnsi="黑体" w:eastAsia="方正小标宋简体" w:cs="仿宋_GB2312"/>
          <w:bCs/>
          <w:sz w:val="44"/>
          <w:szCs w:val="44"/>
        </w:rPr>
      </w:pPr>
    </w:p>
    <w:p w14:paraId="53DDE870">
      <w:pPr>
        <w:snapToGrid w:val="0"/>
        <w:spacing w:line="560" w:lineRule="exact"/>
        <w:ind w:firstLine="624" w:firstLineChars="200"/>
        <w:rPr>
          <w:rFonts w:ascii="黑体" w:hAnsi="黑体" w:eastAsia="黑体" w:cs="仿宋_GB2312"/>
          <w:bCs/>
          <w:sz w:val="32"/>
          <w:szCs w:val="32"/>
        </w:rPr>
      </w:pPr>
      <w:r>
        <w:rPr>
          <w:rFonts w:hint="eastAsia" w:ascii="黑体" w:hAnsi="黑体" w:eastAsia="黑体" w:cs="仿宋_GB2312"/>
          <w:bCs/>
          <w:sz w:val="32"/>
          <w:szCs w:val="32"/>
        </w:rPr>
        <w:t>一、区内应急资源</w:t>
      </w:r>
    </w:p>
    <w:p w14:paraId="2B670ADA">
      <w:pPr>
        <w:snapToGrid w:val="0"/>
        <w:spacing w:line="560" w:lineRule="exact"/>
        <w:ind w:firstLine="624" w:firstLineChars="200"/>
        <w:rPr>
          <w:rFonts w:ascii="仿宋_GB2312" w:hAnsi="黑体" w:eastAsia="仿宋_GB2312" w:cs="仿宋_GB2312"/>
          <w:bCs/>
          <w:sz w:val="32"/>
          <w:szCs w:val="32"/>
        </w:rPr>
      </w:pPr>
      <w:r>
        <w:rPr>
          <w:rFonts w:hint="eastAsia" w:ascii="仿宋_GB2312" w:hAnsi="黑体" w:eastAsia="仿宋_GB2312" w:cs="仿宋_GB2312"/>
          <w:bCs/>
          <w:sz w:val="32"/>
          <w:szCs w:val="32"/>
        </w:rPr>
        <w:t>主要依托区消防救援大队开展危险化学品应急救援工作，区消防救援大队应急物资及装备如下：</w:t>
      </w:r>
    </w:p>
    <w:tbl>
      <w:tblPr>
        <w:tblStyle w:val="12"/>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880"/>
        <w:gridCol w:w="1747"/>
        <w:gridCol w:w="2131"/>
      </w:tblGrid>
      <w:tr w14:paraId="4EC5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60F1DB3F">
            <w:pPr>
              <w:jc w:val="center"/>
              <w:rPr>
                <w:rFonts w:ascii="仿宋_GB2312" w:eastAsia="仿宋_GB2312"/>
                <w:sz w:val="32"/>
                <w:szCs w:val="32"/>
              </w:rPr>
            </w:pPr>
            <w:r>
              <w:rPr>
                <w:rFonts w:hint="eastAsia" w:ascii="仿宋_GB2312" w:eastAsia="仿宋_GB2312"/>
                <w:sz w:val="32"/>
                <w:szCs w:val="32"/>
              </w:rPr>
              <w:t>序号</w:t>
            </w:r>
          </w:p>
        </w:tc>
        <w:tc>
          <w:tcPr>
            <w:tcW w:w="2880" w:type="dxa"/>
          </w:tcPr>
          <w:p w14:paraId="5D5F605E">
            <w:pPr>
              <w:jc w:val="center"/>
              <w:rPr>
                <w:rFonts w:ascii="仿宋_GB2312" w:eastAsia="仿宋_GB2312"/>
                <w:sz w:val="32"/>
                <w:szCs w:val="32"/>
              </w:rPr>
            </w:pPr>
            <w:r>
              <w:rPr>
                <w:rFonts w:hint="eastAsia" w:ascii="仿宋_GB2312" w:eastAsia="仿宋_GB2312"/>
                <w:sz w:val="32"/>
                <w:szCs w:val="32"/>
              </w:rPr>
              <w:t>器材名称</w:t>
            </w:r>
          </w:p>
        </w:tc>
        <w:tc>
          <w:tcPr>
            <w:tcW w:w="1747" w:type="dxa"/>
          </w:tcPr>
          <w:p w14:paraId="1A3E15CC">
            <w:pPr>
              <w:jc w:val="center"/>
              <w:rPr>
                <w:rFonts w:ascii="仿宋_GB2312" w:eastAsia="仿宋_GB2312"/>
                <w:sz w:val="32"/>
                <w:szCs w:val="32"/>
              </w:rPr>
            </w:pPr>
            <w:r>
              <w:rPr>
                <w:rFonts w:hint="eastAsia" w:ascii="仿宋_GB2312" w:eastAsia="仿宋_GB2312"/>
                <w:sz w:val="32"/>
                <w:szCs w:val="32"/>
              </w:rPr>
              <w:t>数量</w:t>
            </w:r>
          </w:p>
        </w:tc>
        <w:tc>
          <w:tcPr>
            <w:tcW w:w="2131" w:type="dxa"/>
          </w:tcPr>
          <w:p w14:paraId="5492CB7C">
            <w:pPr>
              <w:jc w:val="center"/>
              <w:rPr>
                <w:rFonts w:ascii="仿宋_GB2312" w:eastAsia="仿宋_GB2312"/>
                <w:sz w:val="32"/>
                <w:szCs w:val="32"/>
              </w:rPr>
            </w:pPr>
            <w:r>
              <w:rPr>
                <w:rFonts w:hint="eastAsia" w:ascii="仿宋_GB2312" w:eastAsia="仿宋_GB2312"/>
                <w:sz w:val="32"/>
                <w:szCs w:val="32"/>
              </w:rPr>
              <w:t>备注</w:t>
            </w:r>
          </w:p>
        </w:tc>
      </w:tr>
      <w:tr w14:paraId="6F22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3E3437F9">
            <w:pPr>
              <w:jc w:val="center"/>
              <w:rPr>
                <w:rFonts w:ascii="仿宋_GB2312" w:eastAsia="仿宋_GB2312"/>
                <w:sz w:val="32"/>
                <w:szCs w:val="32"/>
              </w:rPr>
            </w:pPr>
            <w:r>
              <w:rPr>
                <w:rFonts w:hint="eastAsia" w:ascii="仿宋_GB2312" w:eastAsia="仿宋_GB2312"/>
                <w:sz w:val="32"/>
                <w:szCs w:val="32"/>
              </w:rPr>
              <w:t>1</w:t>
            </w:r>
          </w:p>
        </w:tc>
        <w:tc>
          <w:tcPr>
            <w:tcW w:w="2880" w:type="dxa"/>
            <w:vAlign w:val="center"/>
          </w:tcPr>
          <w:p w14:paraId="1A6EE0A7">
            <w:pPr>
              <w:jc w:val="center"/>
              <w:rPr>
                <w:rFonts w:ascii="仿宋_GB2312" w:eastAsia="仿宋_GB2312"/>
                <w:sz w:val="32"/>
                <w:szCs w:val="32"/>
              </w:rPr>
            </w:pPr>
            <w:r>
              <w:rPr>
                <w:rFonts w:hint="eastAsia" w:ascii="仿宋_GB2312" w:eastAsia="仿宋_GB2312"/>
                <w:sz w:val="32"/>
                <w:szCs w:val="32"/>
              </w:rPr>
              <w:t>城市主战消防车</w:t>
            </w:r>
          </w:p>
        </w:tc>
        <w:tc>
          <w:tcPr>
            <w:tcW w:w="1747" w:type="dxa"/>
          </w:tcPr>
          <w:p w14:paraId="6FDB3957">
            <w:pPr>
              <w:jc w:val="center"/>
              <w:rPr>
                <w:rFonts w:ascii="仿宋_GB2312" w:eastAsia="仿宋_GB2312"/>
                <w:sz w:val="32"/>
                <w:szCs w:val="32"/>
              </w:rPr>
            </w:pPr>
            <w:r>
              <w:rPr>
                <w:rFonts w:hint="eastAsia" w:ascii="仿宋_GB2312" w:eastAsia="仿宋_GB2312"/>
                <w:sz w:val="32"/>
                <w:szCs w:val="32"/>
              </w:rPr>
              <w:t>1</w:t>
            </w:r>
          </w:p>
        </w:tc>
        <w:tc>
          <w:tcPr>
            <w:tcW w:w="2131" w:type="dxa"/>
          </w:tcPr>
          <w:p w14:paraId="34EB9644">
            <w:pPr>
              <w:jc w:val="center"/>
              <w:rPr>
                <w:rFonts w:ascii="仿宋_GB2312" w:eastAsia="仿宋_GB2312"/>
                <w:sz w:val="32"/>
                <w:szCs w:val="32"/>
              </w:rPr>
            </w:pPr>
          </w:p>
        </w:tc>
      </w:tr>
      <w:tr w14:paraId="6D6A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389B1D14">
            <w:pPr>
              <w:jc w:val="center"/>
              <w:rPr>
                <w:rFonts w:ascii="仿宋_GB2312" w:eastAsia="仿宋_GB2312"/>
                <w:sz w:val="32"/>
                <w:szCs w:val="32"/>
              </w:rPr>
            </w:pPr>
            <w:r>
              <w:rPr>
                <w:rFonts w:hint="eastAsia" w:ascii="仿宋_GB2312" w:eastAsia="仿宋_GB2312"/>
                <w:sz w:val="32"/>
                <w:szCs w:val="32"/>
              </w:rPr>
              <w:t>2</w:t>
            </w:r>
          </w:p>
        </w:tc>
        <w:tc>
          <w:tcPr>
            <w:tcW w:w="2880" w:type="dxa"/>
            <w:vAlign w:val="center"/>
          </w:tcPr>
          <w:p w14:paraId="2969DEA4">
            <w:pPr>
              <w:jc w:val="center"/>
              <w:rPr>
                <w:rFonts w:ascii="仿宋_GB2312" w:eastAsia="仿宋_GB2312"/>
                <w:sz w:val="32"/>
                <w:szCs w:val="32"/>
              </w:rPr>
            </w:pPr>
            <w:r>
              <w:rPr>
                <w:rFonts w:hint="eastAsia" w:ascii="仿宋_GB2312" w:eastAsia="仿宋_GB2312"/>
                <w:sz w:val="32"/>
                <w:szCs w:val="32"/>
              </w:rPr>
              <w:t>豪沃水罐消防车</w:t>
            </w:r>
          </w:p>
        </w:tc>
        <w:tc>
          <w:tcPr>
            <w:tcW w:w="1747" w:type="dxa"/>
          </w:tcPr>
          <w:p w14:paraId="6475D8BB">
            <w:pPr>
              <w:jc w:val="center"/>
              <w:rPr>
                <w:rFonts w:ascii="仿宋_GB2312" w:eastAsia="仿宋_GB2312"/>
                <w:sz w:val="32"/>
                <w:szCs w:val="32"/>
              </w:rPr>
            </w:pPr>
            <w:r>
              <w:rPr>
                <w:rFonts w:hint="eastAsia" w:ascii="仿宋_GB2312" w:eastAsia="仿宋_GB2312"/>
                <w:sz w:val="32"/>
                <w:szCs w:val="32"/>
              </w:rPr>
              <w:t>1</w:t>
            </w:r>
          </w:p>
        </w:tc>
        <w:tc>
          <w:tcPr>
            <w:tcW w:w="2131" w:type="dxa"/>
          </w:tcPr>
          <w:p w14:paraId="0197EA36">
            <w:pPr>
              <w:jc w:val="center"/>
              <w:rPr>
                <w:rFonts w:ascii="仿宋_GB2312" w:eastAsia="仿宋_GB2312"/>
                <w:sz w:val="32"/>
                <w:szCs w:val="32"/>
              </w:rPr>
            </w:pPr>
          </w:p>
        </w:tc>
      </w:tr>
      <w:tr w14:paraId="5AC8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703FCA84">
            <w:pPr>
              <w:jc w:val="center"/>
              <w:rPr>
                <w:rFonts w:ascii="仿宋_GB2312" w:eastAsia="仿宋_GB2312"/>
                <w:sz w:val="32"/>
                <w:szCs w:val="32"/>
              </w:rPr>
            </w:pPr>
            <w:r>
              <w:rPr>
                <w:rFonts w:hint="eastAsia" w:ascii="仿宋_GB2312" w:eastAsia="仿宋_GB2312"/>
                <w:sz w:val="32"/>
                <w:szCs w:val="32"/>
              </w:rPr>
              <w:t>3</w:t>
            </w:r>
          </w:p>
        </w:tc>
        <w:tc>
          <w:tcPr>
            <w:tcW w:w="2880" w:type="dxa"/>
            <w:vAlign w:val="center"/>
          </w:tcPr>
          <w:p w14:paraId="558145B5">
            <w:pPr>
              <w:jc w:val="center"/>
              <w:rPr>
                <w:rFonts w:ascii="仿宋_GB2312" w:eastAsia="仿宋_GB2312"/>
                <w:sz w:val="32"/>
                <w:szCs w:val="32"/>
              </w:rPr>
            </w:pPr>
            <w:r>
              <w:rPr>
                <w:rFonts w:hint="eastAsia" w:ascii="仿宋_GB2312" w:eastAsia="仿宋_GB2312"/>
                <w:sz w:val="32"/>
                <w:szCs w:val="32"/>
              </w:rPr>
              <w:t>抢险救援车</w:t>
            </w:r>
          </w:p>
        </w:tc>
        <w:tc>
          <w:tcPr>
            <w:tcW w:w="1747" w:type="dxa"/>
          </w:tcPr>
          <w:p w14:paraId="06834E6E">
            <w:pPr>
              <w:jc w:val="center"/>
              <w:rPr>
                <w:rFonts w:ascii="仿宋_GB2312" w:eastAsia="仿宋_GB2312"/>
                <w:sz w:val="32"/>
                <w:szCs w:val="32"/>
              </w:rPr>
            </w:pPr>
            <w:r>
              <w:rPr>
                <w:rFonts w:hint="eastAsia" w:ascii="仿宋_GB2312" w:eastAsia="仿宋_GB2312"/>
                <w:sz w:val="32"/>
                <w:szCs w:val="32"/>
              </w:rPr>
              <w:t>1</w:t>
            </w:r>
          </w:p>
        </w:tc>
        <w:tc>
          <w:tcPr>
            <w:tcW w:w="2131" w:type="dxa"/>
          </w:tcPr>
          <w:p w14:paraId="385DCF9E">
            <w:pPr>
              <w:jc w:val="center"/>
              <w:rPr>
                <w:rFonts w:ascii="仿宋_GB2312" w:eastAsia="仿宋_GB2312"/>
                <w:sz w:val="32"/>
                <w:szCs w:val="32"/>
              </w:rPr>
            </w:pPr>
          </w:p>
        </w:tc>
      </w:tr>
      <w:tr w14:paraId="14FF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4EE01B5B">
            <w:pPr>
              <w:jc w:val="center"/>
              <w:rPr>
                <w:rFonts w:ascii="仿宋_GB2312" w:eastAsia="仿宋_GB2312"/>
                <w:sz w:val="32"/>
                <w:szCs w:val="32"/>
              </w:rPr>
            </w:pPr>
            <w:r>
              <w:rPr>
                <w:rFonts w:hint="eastAsia" w:ascii="仿宋_GB2312" w:eastAsia="仿宋_GB2312"/>
                <w:sz w:val="32"/>
                <w:szCs w:val="32"/>
              </w:rPr>
              <w:t>4</w:t>
            </w:r>
          </w:p>
        </w:tc>
        <w:tc>
          <w:tcPr>
            <w:tcW w:w="2880" w:type="dxa"/>
            <w:vAlign w:val="center"/>
          </w:tcPr>
          <w:p w14:paraId="5F338ADC">
            <w:pPr>
              <w:jc w:val="center"/>
              <w:rPr>
                <w:rFonts w:ascii="仿宋_GB2312" w:eastAsia="仿宋_GB2312"/>
                <w:sz w:val="32"/>
                <w:szCs w:val="32"/>
              </w:rPr>
            </w:pPr>
            <w:r>
              <w:rPr>
                <w:rFonts w:hint="eastAsia" w:ascii="仿宋_GB2312" w:eastAsia="仿宋_GB2312"/>
                <w:sz w:val="32"/>
                <w:szCs w:val="32"/>
              </w:rPr>
              <w:t>奔驰泡沫消防车</w:t>
            </w:r>
          </w:p>
        </w:tc>
        <w:tc>
          <w:tcPr>
            <w:tcW w:w="1747" w:type="dxa"/>
          </w:tcPr>
          <w:p w14:paraId="35AEB202">
            <w:pPr>
              <w:jc w:val="center"/>
              <w:rPr>
                <w:rFonts w:ascii="仿宋_GB2312" w:eastAsia="仿宋_GB2312"/>
                <w:sz w:val="32"/>
                <w:szCs w:val="32"/>
              </w:rPr>
            </w:pPr>
            <w:r>
              <w:rPr>
                <w:rFonts w:hint="eastAsia" w:ascii="仿宋_GB2312" w:eastAsia="仿宋_GB2312"/>
                <w:sz w:val="32"/>
                <w:szCs w:val="32"/>
              </w:rPr>
              <w:t>1</w:t>
            </w:r>
          </w:p>
        </w:tc>
        <w:tc>
          <w:tcPr>
            <w:tcW w:w="2131" w:type="dxa"/>
          </w:tcPr>
          <w:p w14:paraId="63D2B18D">
            <w:pPr>
              <w:jc w:val="center"/>
              <w:rPr>
                <w:rFonts w:ascii="仿宋_GB2312" w:eastAsia="仿宋_GB2312"/>
                <w:sz w:val="32"/>
                <w:szCs w:val="32"/>
              </w:rPr>
            </w:pPr>
          </w:p>
        </w:tc>
      </w:tr>
      <w:tr w14:paraId="367A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0D2C8C6A">
            <w:pPr>
              <w:jc w:val="center"/>
              <w:rPr>
                <w:rFonts w:ascii="仿宋_GB2312" w:eastAsia="仿宋_GB2312"/>
                <w:sz w:val="32"/>
                <w:szCs w:val="32"/>
              </w:rPr>
            </w:pPr>
            <w:r>
              <w:rPr>
                <w:rFonts w:hint="eastAsia" w:ascii="仿宋_GB2312" w:eastAsia="仿宋_GB2312"/>
                <w:sz w:val="32"/>
                <w:szCs w:val="32"/>
              </w:rPr>
              <w:t>5</w:t>
            </w:r>
          </w:p>
        </w:tc>
        <w:tc>
          <w:tcPr>
            <w:tcW w:w="2880" w:type="dxa"/>
            <w:vAlign w:val="center"/>
          </w:tcPr>
          <w:p w14:paraId="10DF7F24">
            <w:pPr>
              <w:jc w:val="center"/>
              <w:rPr>
                <w:rFonts w:ascii="仿宋_GB2312" w:eastAsia="仿宋_GB2312"/>
                <w:sz w:val="32"/>
                <w:szCs w:val="32"/>
              </w:rPr>
            </w:pPr>
            <w:r>
              <w:rPr>
                <w:rFonts w:hint="eastAsia" w:ascii="仿宋_GB2312" w:eastAsia="仿宋_GB2312"/>
                <w:sz w:val="32"/>
                <w:szCs w:val="32"/>
              </w:rPr>
              <w:t>登高平台消防车</w:t>
            </w:r>
          </w:p>
        </w:tc>
        <w:tc>
          <w:tcPr>
            <w:tcW w:w="1747" w:type="dxa"/>
          </w:tcPr>
          <w:p w14:paraId="5CAFD218">
            <w:pPr>
              <w:jc w:val="center"/>
              <w:rPr>
                <w:rFonts w:ascii="仿宋_GB2312" w:eastAsia="仿宋_GB2312"/>
                <w:sz w:val="32"/>
                <w:szCs w:val="32"/>
              </w:rPr>
            </w:pPr>
            <w:r>
              <w:rPr>
                <w:rFonts w:hint="eastAsia" w:ascii="仿宋_GB2312" w:eastAsia="仿宋_GB2312"/>
                <w:sz w:val="32"/>
                <w:szCs w:val="32"/>
              </w:rPr>
              <w:t>1</w:t>
            </w:r>
          </w:p>
        </w:tc>
        <w:tc>
          <w:tcPr>
            <w:tcW w:w="2131" w:type="dxa"/>
          </w:tcPr>
          <w:p w14:paraId="0386DD7C">
            <w:pPr>
              <w:jc w:val="center"/>
              <w:rPr>
                <w:rFonts w:ascii="仿宋_GB2312" w:eastAsia="仿宋_GB2312"/>
                <w:sz w:val="32"/>
                <w:szCs w:val="32"/>
              </w:rPr>
            </w:pPr>
          </w:p>
        </w:tc>
      </w:tr>
      <w:tr w14:paraId="6605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52C99E9C">
            <w:pPr>
              <w:jc w:val="center"/>
              <w:rPr>
                <w:rFonts w:ascii="仿宋_GB2312" w:eastAsia="仿宋_GB2312"/>
                <w:sz w:val="32"/>
                <w:szCs w:val="32"/>
              </w:rPr>
            </w:pPr>
            <w:r>
              <w:rPr>
                <w:rFonts w:hint="eastAsia" w:ascii="仿宋_GB2312" w:eastAsia="仿宋_GB2312"/>
                <w:sz w:val="32"/>
                <w:szCs w:val="32"/>
              </w:rPr>
              <w:t>6</w:t>
            </w:r>
          </w:p>
        </w:tc>
        <w:tc>
          <w:tcPr>
            <w:tcW w:w="2880" w:type="dxa"/>
            <w:vAlign w:val="center"/>
          </w:tcPr>
          <w:p w14:paraId="2A2EB8BB">
            <w:pPr>
              <w:jc w:val="center"/>
              <w:rPr>
                <w:rFonts w:ascii="仿宋_GB2312" w:eastAsia="仿宋_GB2312"/>
                <w:sz w:val="32"/>
                <w:szCs w:val="32"/>
              </w:rPr>
            </w:pPr>
            <w:r>
              <w:rPr>
                <w:rFonts w:hint="eastAsia" w:ascii="仿宋_GB2312" w:eastAsia="仿宋_GB2312"/>
                <w:sz w:val="32"/>
                <w:szCs w:val="32"/>
              </w:rPr>
              <w:t>举高喷射消防车</w:t>
            </w:r>
          </w:p>
        </w:tc>
        <w:tc>
          <w:tcPr>
            <w:tcW w:w="1747" w:type="dxa"/>
          </w:tcPr>
          <w:p w14:paraId="44EC80EF">
            <w:pPr>
              <w:jc w:val="center"/>
              <w:rPr>
                <w:rFonts w:ascii="仿宋_GB2312" w:eastAsia="仿宋_GB2312"/>
                <w:sz w:val="32"/>
                <w:szCs w:val="32"/>
              </w:rPr>
            </w:pPr>
            <w:r>
              <w:rPr>
                <w:rFonts w:hint="eastAsia" w:ascii="仿宋_GB2312" w:eastAsia="仿宋_GB2312"/>
                <w:sz w:val="32"/>
                <w:szCs w:val="32"/>
              </w:rPr>
              <w:t>1</w:t>
            </w:r>
          </w:p>
        </w:tc>
        <w:tc>
          <w:tcPr>
            <w:tcW w:w="2131" w:type="dxa"/>
          </w:tcPr>
          <w:p w14:paraId="7B851FCE">
            <w:pPr>
              <w:jc w:val="center"/>
              <w:rPr>
                <w:rFonts w:ascii="仿宋_GB2312" w:eastAsia="仿宋_GB2312"/>
                <w:sz w:val="32"/>
                <w:szCs w:val="32"/>
              </w:rPr>
            </w:pPr>
          </w:p>
        </w:tc>
      </w:tr>
      <w:tr w14:paraId="1D08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5C11110B">
            <w:pPr>
              <w:jc w:val="center"/>
              <w:rPr>
                <w:rFonts w:ascii="仿宋_GB2312" w:eastAsia="仿宋_GB2312"/>
                <w:sz w:val="32"/>
                <w:szCs w:val="32"/>
              </w:rPr>
            </w:pPr>
            <w:r>
              <w:rPr>
                <w:rFonts w:hint="eastAsia" w:ascii="仿宋_GB2312" w:eastAsia="仿宋_GB2312"/>
                <w:sz w:val="32"/>
                <w:szCs w:val="32"/>
              </w:rPr>
              <w:t>7</w:t>
            </w:r>
          </w:p>
        </w:tc>
        <w:tc>
          <w:tcPr>
            <w:tcW w:w="2880" w:type="dxa"/>
            <w:vAlign w:val="center"/>
          </w:tcPr>
          <w:p w14:paraId="3B2016B0">
            <w:pPr>
              <w:jc w:val="center"/>
              <w:rPr>
                <w:rFonts w:ascii="仿宋_GB2312" w:eastAsia="仿宋_GB2312"/>
                <w:sz w:val="32"/>
                <w:szCs w:val="32"/>
              </w:rPr>
            </w:pPr>
            <w:r>
              <w:rPr>
                <w:rFonts w:hint="eastAsia" w:ascii="仿宋_GB2312" w:eastAsia="仿宋_GB2312"/>
                <w:sz w:val="32"/>
                <w:szCs w:val="32"/>
              </w:rPr>
              <w:t>泡沫消防车</w:t>
            </w:r>
          </w:p>
        </w:tc>
        <w:tc>
          <w:tcPr>
            <w:tcW w:w="1747" w:type="dxa"/>
          </w:tcPr>
          <w:p w14:paraId="0AAA95A0">
            <w:pPr>
              <w:jc w:val="center"/>
              <w:rPr>
                <w:rFonts w:ascii="仿宋_GB2312" w:eastAsia="仿宋_GB2312"/>
                <w:sz w:val="32"/>
                <w:szCs w:val="32"/>
              </w:rPr>
            </w:pPr>
            <w:r>
              <w:rPr>
                <w:rFonts w:hint="eastAsia" w:ascii="仿宋_GB2312" w:eastAsia="仿宋_GB2312"/>
                <w:sz w:val="32"/>
                <w:szCs w:val="32"/>
              </w:rPr>
              <w:t>1</w:t>
            </w:r>
          </w:p>
        </w:tc>
        <w:tc>
          <w:tcPr>
            <w:tcW w:w="2131" w:type="dxa"/>
          </w:tcPr>
          <w:p w14:paraId="2C254DD2">
            <w:pPr>
              <w:jc w:val="center"/>
              <w:rPr>
                <w:rFonts w:ascii="仿宋_GB2312" w:eastAsia="仿宋_GB2312"/>
                <w:sz w:val="32"/>
                <w:szCs w:val="32"/>
              </w:rPr>
            </w:pPr>
          </w:p>
        </w:tc>
      </w:tr>
      <w:tr w14:paraId="3D2D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6D73EFB2">
            <w:pPr>
              <w:jc w:val="center"/>
              <w:rPr>
                <w:rFonts w:ascii="仿宋_GB2312" w:eastAsia="仿宋_GB2312"/>
                <w:sz w:val="32"/>
                <w:szCs w:val="32"/>
              </w:rPr>
            </w:pPr>
            <w:r>
              <w:rPr>
                <w:rFonts w:hint="eastAsia" w:ascii="仿宋_GB2312" w:eastAsia="仿宋_GB2312"/>
                <w:sz w:val="32"/>
                <w:szCs w:val="32"/>
              </w:rPr>
              <w:t>8</w:t>
            </w:r>
          </w:p>
        </w:tc>
        <w:tc>
          <w:tcPr>
            <w:tcW w:w="2880" w:type="dxa"/>
            <w:vAlign w:val="center"/>
          </w:tcPr>
          <w:p w14:paraId="79446E08">
            <w:pPr>
              <w:jc w:val="center"/>
              <w:rPr>
                <w:rFonts w:ascii="仿宋_GB2312" w:eastAsia="仿宋_GB2312"/>
                <w:sz w:val="32"/>
                <w:szCs w:val="32"/>
              </w:rPr>
            </w:pPr>
            <w:r>
              <w:rPr>
                <w:rFonts w:hint="eastAsia" w:ascii="仿宋_GB2312" w:eastAsia="仿宋_GB2312"/>
                <w:sz w:val="32"/>
                <w:szCs w:val="32"/>
              </w:rPr>
              <w:t>水幕水带</w:t>
            </w:r>
          </w:p>
        </w:tc>
        <w:tc>
          <w:tcPr>
            <w:tcW w:w="1747" w:type="dxa"/>
          </w:tcPr>
          <w:p w14:paraId="3A640217">
            <w:pPr>
              <w:jc w:val="center"/>
              <w:rPr>
                <w:rFonts w:ascii="仿宋_GB2312" w:eastAsia="仿宋_GB2312"/>
                <w:sz w:val="32"/>
                <w:szCs w:val="32"/>
              </w:rPr>
            </w:pPr>
            <w:r>
              <w:rPr>
                <w:rFonts w:hint="eastAsia" w:ascii="仿宋_GB2312" w:eastAsia="仿宋_GB2312"/>
                <w:sz w:val="32"/>
                <w:szCs w:val="32"/>
              </w:rPr>
              <w:t>5</w:t>
            </w:r>
          </w:p>
        </w:tc>
        <w:tc>
          <w:tcPr>
            <w:tcW w:w="2131" w:type="dxa"/>
          </w:tcPr>
          <w:p w14:paraId="01413C29">
            <w:pPr>
              <w:jc w:val="center"/>
              <w:rPr>
                <w:rFonts w:ascii="仿宋_GB2312" w:eastAsia="仿宋_GB2312"/>
                <w:sz w:val="32"/>
                <w:szCs w:val="32"/>
              </w:rPr>
            </w:pPr>
          </w:p>
        </w:tc>
      </w:tr>
      <w:tr w14:paraId="0E97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38A03D61">
            <w:pPr>
              <w:jc w:val="center"/>
              <w:rPr>
                <w:rFonts w:ascii="仿宋_GB2312" w:eastAsia="仿宋_GB2312"/>
                <w:sz w:val="32"/>
                <w:szCs w:val="32"/>
              </w:rPr>
            </w:pPr>
            <w:r>
              <w:rPr>
                <w:rFonts w:hint="eastAsia" w:ascii="仿宋_GB2312" w:eastAsia="仿宋_GB2312"/>
                <w:sz w:val="32"/>
                <w:szCs w:val="32"/>
              </w:rPr>
              <w:t>9</w:t>
            </w:r>
          </w:p>
        </w:tc>
        <w:tc>
          <w:tcPr>
            <w:tcW w:w="2880" w:type="dxa"/>
            <w:vAlign w:val="center"/>
          </w:tcPr>
          <w:p w14:paraId="14D0E6BB">
            <w:pPr>
              <w:jc w:val="center"/>
              <w:rPr>
                <w:rFonts w:ascii="仿宋_GB2312" w:eastAsia="仿宋_GB2312"/>
                <w:sz w:val="32"/>
                <w:szCs w:val="32"/>
              </w:rPr>
            </w:pPr>
            <w:r>
              <w:rPr>
                <w:rFonts w:hint="eastAsia" w:ascii="仿宋_GB2312" w:eastAsia="仿宋_GB2312"/>
                <w:sz w:val="32"/>
                <w:szCs w:val="32"/>
              </w:rPr>
              <w:t>轻型防化服</w:t>
            </w:r>
          </w:p>
        </w:tc>
        <w:tc>
          <w:tcPr>
            <w:tcW w:w="1747" w:type="dxa"/>
          </w:tcPr>
          <w:p w14:paraId="3AE843EB">
            <w:pPr>
              <w:jc w:val="center"/>
              <w:rPr>
                <w:rFonts w:ascii="仿宋_GB2312" w:eastAsia="仿宋_GB2312"/>
                <w:sz w:val="32"/>
                <w:szCs w:val="32"/>
              </w:rPr>
            </w:pPr>
            <w:r>
              <w:rPr>
                <w:rFonts w:hint="eastAsia" w:ascii="仿宋_GB2312" w:eastAsia="仿宋_GB2312"/>
                <w:sz w:val="32"/>
                <w:szCs w:val="32"/>
              </w:rPr>
              <w:t>7</w:t>
            </w:r>
          </w:p>
        </w:tc>
        <w:tc>
          <w:tcPr>
            <w:tcW w:w="2131" w:type="dxa"/>
          </w:tcPr>
          <w:p w14:paraId="524F0695">
            <w:pPr>
              <w:jc w:val="center"/>
              <w:rPr>
                <w:rFonts w:ascii="仿宋_GB2312" w:eastAsia="仿宋_GB2312"/>
                <w:sz w:val="32"/>
                <w:szCs w:val="32"/>
              </w:rPr>
            </w:pPr>
          </w:p>
        </w:tc>
      </w:tr>
      <w:tr w14:paraId="5BAA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34088509">
            <w:pPr>
              <w:jc w:val="center"/>
              <w:rPr>
                <w:rFonts w:ascii="仿宋_GB2312" w:eastAsia="仿宋_GB2312"/>
                <w:sz w:val="32"/>
                <w:szCs w:val="32"/>
              </w:rPr>
            </w:pPr>
            <w:r>
              <w:rPr>
                <w:rFonts w:hint="eastAsia" w:ascii="仿宋_GB2312" w:eastAsia="仿宋_GB2312"/>
                <w:sz w:val="32"/>
                <w:szCs w:val="32"/>
              </w:rPr>
              <w:t>10</w:t>
            </w:r>
          </w:p>
        </w:tc>
        <w:tc>
          <w:tcPr>
            <w:tcW w:w="2880" w:type="dxa"/>
            <w:vAlign w:val="center"/>
          </w:tcPr>
          <w:p w14:paraId="2D82B25C">
            <w:pPr>
              <w:jc w:val="center"/>
              <w:rPr>
                <w:rFonts w:ascii="仿宋_GB2312" w:eastAsia="仿宋_GB2312"/>
                <w:sz w:val="32"/>
                <w:szCs w:val="32"/>
              </w:rPr>
            </w:pPr>
            <w:r>
              <w:rPr>
                <w:rFonts w:hint="eastAsia" w:ascii="仿宋_GB2312" w:eastAsia="仿宋_GB2312"/>
                <w:sz w:val="32"/>
                <w:szCs w:val="32"/>
              </w:rPr>
              <w:t>重性防化服</w:t>
            </w:r>
          </w:p>
        </w:tc>
        <w:tc>
          <w:tcPr>
            <w:tcW w:w="1747" w:type="dxa"/>
          </w:tcPr>
          <w:p w14:paraId="596D64D7">
            <w:pPr>
              <w:jc w:val="center"/>
              <w:rPr>
                <w:rFonts w:ascii="仿宋_GB2312" w:eastAsia="仿宋_GB2312"/>
                <w:sz w:val="32"/>
                <w:szCs w:val="32"/>
              </w:rPr>
            </w:pPr>
            <w:r>
              <w:rPr>
                <w:rFonts w:hint="eastAsia" w:ascii="仿宋_GB2312" w:eastAsia="仿宋_GB2312"/>
                <w:sz w:val="32"/>
                <w:szCs w:val="32"/>
              </w:rPr>
              <w:t>5</w:t>
            </w:r>
          </w:p>
        </w:tc>
        <w:tc>
          <w:tcPr>
            <w:tcW w:w="2131" w:type="dxa"/>
          </w:tcPr>
          <w:p w14:paraId="439C0478">
            <w:pPr>
              <w:jc w:val="center"/>
              <w:rPr>
                <w:rFonts w:ascii="仿宋_GB2312" w:eastAsia="仿宋_GB2312"/>
                <w:sz w:val="32"/>
                <w:szCs w:val="32"/>
              </w:rPr>
            </w:pPr>
          </w:p>
        </w:tc>
      </w:tr>
      <w:tr w14:paraId="23EB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2F16EC43">
            <w:pPr>
              <w:jc w:val="center"/>
              <w:rPr>
                <w:rFonts w:ascii="仿宋_GB2312" w:eastAsia="仿宋_GB2312"/>
                <w:sz w:val="32"/>
                <w:szCs w:val="32"/>
              </w:rPr>
            </w:pPr>
            <w:r>
              <w:rPr>
                <w:rFonts w:hint="eastAsia" w:ascii="仿宋_GB2312" w:eastAsia="仿宋_GB2312"/>
                <w:sz w:val="32"/>
                <w:szCs w:val="32"/>
              </w:rPr>
              <w:t>11</w:t>
            </w:r>
          </w:p>
        </w:tc>
        <w:tc>
          <w:tcPr>
            <w:tcW w:w="2880" w:type="dxa"/>
            <w:vAlign w:val="center"/>
          </w:tcPr>
          <w:p w14:paraId="0FC4823B">
            <w:pPr>
              <w:jc w:val="center"/>
              <w:rPr>
                <w:rFonts w:ascii="仿宋_GB2312" w:eastAsia="仿宋_GB2312"/>
                <w:sz w:val="32"/>
                <w:szCs w:val="32"/>
              </w:rPr>
            </w:pPr>
            <w:r>
              <w:rPr>
                <w:rFonts w:hint="eastAsia" w:ascii="仿宋_GB2312" w:eastAsia="仿宋_GB2312"/>
                <w:sz w:val="32"/>
                <w:szCs w:val="32"/>
              </w:rPr>
              <w:t>避火服</w:t>
            </w:r>
          </w:p>
        </w:tc>
        <w:tc>
          <w:tcPr>
            <w:tcW w:w="1747" w:type="dxa"/>
          </w:tcPr>
          <w:p w14:paraId="614BF1FA">
            <w:pPr>
              <w:jc w:val="center"/>
              <w:rPr>
                <w:rFonts w:ascii="仿宋_GB2312" w:eastAsia="仿宋_GB2312"/>
                <w:sz w:val="32"/>
                <w:szCs w:val="32"/>
              </w:rPr>
            </w:pPr>
            <w:r>
              <w:rPr>
                <w:rFonts w:hint="eastAsia" w:ascii="仿宋_GB2312" w:eastAsia="仿宋_GB2312"/>
                <w:sz w:val="32"/>
                <w:szCs w:val="32"/>
              </w:rPr>
              <w:t>2</w:t>
            </w:r>
          </w:p>
        </w:tc>
        <w:tc>
          <w:tcPr>
            <w:tcW w:w="2131" w:type="dxa"/>
          </w:tcPr>
          <w:p w14:paraId="61DFD08F">
            <w:pPr>
              <w:jc w:val="center"/>
              <w:rPr>
                <w:rFonts w:ascii="仿宋_GB2312" w:eastAsia="仿宋_GB2312"/>
                <w:sz w:val="32"/>
                <w:szCs w:val="32"/>
              </w:rPr>
            </w:pPr>
          </w:p>
        </w:tc>
      </w:tr>
      <w:tr w14:paraId="3797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13DCD37C">
            <w:pPr>
              <w:jc w:val="center"/>
              <w:rPr>
                <w:rFonts w:ascii="仿宋_GB2312" w:eastAsia="仿宋_GB2312"/>
                <w:sz w:val="32"/>
                <w:szCs w:val="32"/>
              </w:rPr>
            </w:pPr>
            <w:r>
              <w:rPr>
                <w:rFonts w:hint="eastAsia" w:ascii="仿宋_GB2312" w:eastAsia="仿宋_GB2312"/>
                <w:sz w:val="32"/>
                <w:szCs w:val="32"/>
              </w:rPr>
              <w:t>12</w:t>
            </w:r>
          </w:p>
        </w:tc>
        <w:tc>
          <w:tcPr>
            <w:tcW w:w="2880" w:type="dxa"/>
            <w:vAlign w:val="center"/>
          </w:tcPr>
          <w:p w14:paraId="7293C5C4">
            <w:pPr>
              <w:jc w:val="center"/>
              <w:rPr>
                <w:rFonts w:ascii="仿宋_GB2312" w:eastAsia="仿宋_GB2312"/>
                <w:sz w:val="32"/>
                <w:szCs w:val="32"/>
              </w:rPr>
            </w:pPr>
            <w:r>
              <w:rPr>
                <w:rFonts w:hint="eastAsia" w:ascii="仿宋_GB2312" w:eastAsia="仿宋_GB2312"/>
                <w:sz w:val="32"/>
                <w:szCs w:val="32"/>
              </w:rPr>
              <w:t>隔热服</w:t>
            </w:r>
          </w:p>
        </w:tc>
        <w:tc>
          <w:tcPr>
            <w:tcW w:w="1747" w:type="dxa"/>
          </w:tcPr>
          <w:p w14:paraId="0E15F35A">
            <w:pPr>
              <w:jc w:val="center"/>
              <w:rPr>
                <w:rFonts w:ascii="仿宋_GB2312" w:eastAsia="仿宋_GB2312"/>
                <w:sz w:val="32"/>
                <w:szCs w:val="32"/>
              </w:rPr>
            </w:pPr>
            <w:r>
              <w:rPr>
                <w:rFonts w:hint="eastAsia" w:ascii="仿宋_GB2312" w:eastAsia="仿宋_GB2312"/>
                <w:sz w:val="32"/>
                <w:szCs w:val="32"/>
              </w:rPr>
              <w:t>14</w:t>
            </w:r>
          </w:p>
        </w:tc>
        <w:tc>
          <w:tcPr>
            <w:tcW w:w="2131" w:type="dxa"/>
          </w:tcPr>
          <w:p w14:paraId="2B1B2D21">
            <w:pPr>
              <w:jc w:val="center"/>
              <w:rPr>
                <w:rFonts w:ascii="仿宋_GB2312" w:eastAsia="仿宋_GB2312"/>
                <w:sz w:val="32"/>
                <w:szCs w:val="32"/>
              </w:rPr>
            </w:pPr>
          </w:p>
        </w:tc>
      </w:tr>
      <w:tr w14:paraId="6D76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14:paraId="3D3544E6">
            <w:pPr>
              <w:jc w:val="center"/>
              <w:rPr>
                <w:rFonts w:ascii="仿宋_GB2312" w:eastAsia="仿宋_GB2312"/>
                <w:sz w:val="32"/>
                <w:szCs w:val="32"/>
              </w:rPr>
            </w:pPr>
            <w:r>
              <w:rPr>
                <w:rFonts w:hint="eastAsia" w:ascii="仿宋_GB2312" w:eastAsia="仿宋_GB2312"/>
                <w:sz w:val="32"/>
                <w:szCs w:val="32"/>
              </w:rPr>
              <w:t>13</w:t>
            </w:r>
          </w:p>
        </w:tc>
        <w:tc>
          <w:tcPr>
            <w:tcW w:w="2880" w:type="dxa"/>
            <w:vAlign w:val="center"/>
          </w:tcPr>
          <w:p w14:paraId="27988E95">
            <w:pPr>
              <w:jc w:val="center"/>
              <w:rPr>
                <w:rFonts w:ascii="仿宋_GB2312" w:eastAsia="仿宋_GB2312"/>
                <w:sz w:val="32"/>
                <w:szCs w:val="32"/>
              </w:rPr>
            </w:pPr>
            <w:r>
              <w:rPr>
                <w:rFonts w:hint="eastAsia" w:ascii="仿宋_GB2312" w:eastAsia="仿宋_GB2312"/>
                <w:sz w:val="32"/>
                <w:szCs w:val="32"/>
              </w:rPr>
              <w:t>移动供气源</w:t>
            </w:r>
          </w:p>
        </w:tc>
        <w:tc>
          <w:tcPr>
            <w:tcW w:w="1747" w:type="dxa"/>
          </w:tcPr>
          <w:p w14:paraId="6DBCB116">
            <w:pPr>
              <w:jc w:val="center"/>
              <w:rPr>
                <w:rFonts w:ascii="仿宋_GB2312" w:eastAsia="仿宋_GB2312"/>
                <w:sz w:val="32"/>
                <w:szCs w:val="32"/>
              </w:rPr>
            </w:pPr>
            <w:r>
              <w:rPr>
                <w:rFonts w:hint="eastAsia" w:ascii="仿宋_GB2312" w:eastAsia="仿宋_GB2312"/>
                <w:sz w:val="32"/>
                <w:szCs w:val="32"/>
              </w:rPr>
              <w:t>1</w:t>
            </w:r>
          </w:p>
        </w:tc>
        <w:tc>
          <w:tcPr>
            <w:tcW w:w="2131" w:type="dxa"/>
          </w:tcPr>
          <w:p w14:paraId="453D8B78">
            <w:pPr>
              <w:jc w:val="center"/>
              <w:rPr>
                <w:rFonts w:ascii="仿宋_GB2312" w:eastAsia="仿宋_GB2312"/>
                <w:sz w:val="32"/>
                <w:szCs w:val="32"/>
              </w:rPr>
            </w:pPr>
          </w:p>
        </w:tc>
      </w:tr>
    </w:tbl>
    <w:p w14:paraId="16DD7D00">
      <w:pPr>
        <w:widowControl/>
        <w:spacing w:line="560" w:lineRule="exact"/>
        <w:ind w:firstLine="624" w:firstLineChars="200"/>
        <w:jc w:val="left"/>
        <w:rPr>
          <w:rFonts w:ascii="黑体" w:hAnsi="黑体" w:eastAsia="黑体" w:cs="宋体"/>
          <w:kern w:val="0"/>
          <w:sz w:val="32"/>
          <w:szCs w:val="32"/>
        </w:rPr>
      </w:pPr>
      <w:r>
        <w:rPr>
          <w:rFonts w:hint="eastAsia" w:ascii="黑体" w:hAnsi="黑体" w:eastAsia="黑体" w:cs="宋体"/>
          <w:bCs/>
          <w:kern w:val="0"/>
          <w:sz w:val="32"/>
          <w:szCs w:val="32"/>
        </w:rPr>
        <w:t>二、周边社会应急资源调查</w:t>
      </w:r>
    </w:p>
    <w:p w14:paraId="74C23A5A">
      <w:pPr>
        <w:spacing w:line="560" w:lineRule="exact"/>
        <w:ind w:firstLine="624"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当事故扩大需要外部力量救援时，立即向烟台市应急管理局等相关政府部门汇报，请求调动相关政府部门及专业救援队伍进行全力支持和救护，可以请求协助部门有：</w:t>
      </w:r>
    </w:p>
    <w:p w14:paraId="753C1174">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（一）外部消防救援</w:t>
      </w:r>
    </w:p>
    <w:p w14:paraId="3E37338D">
      <w:pPr>
        <w:spacing w:line="560" w:lineRule="exact"/>
        <w:ind w:firstLine="624"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由区消防救援大队协调，向烟台市消防支队（</w:t>
      </w:r>
      <w:r>
        <w:rPr>
          <w:rFonts w:hint="eastAsia" w:ascii="仿宋_GB2312" w:eastAsia="仿宋_GB2312"/>
          <w:sz w:val="32"/>
          <w:szCs w:val="32"/>
        </w:rPr>
        <w:t>6891119</w:t>
      </w:r>
      <w:r>
        <w:rPr>
          <w:rFonts w:hint="eastAsia" w:ascii="仿宋_GB2312" w:hAnsi="仿宋" w:eastAsia="仿宋_GB2312" w:cs="宋体"/>
          <w:kern w:val="0"/>
          <w:sz w:val="32"/>
          <w:szCs w:val="32"/>
        </w:rPr>
        <w:t>）、莱山区消防救援大队（</w:t>
      </w:r>
      <w:r>
        <w:rPr>
          <w:rFonts w:ascii="仿宋_GB2312" w:hAnsi="仿宋" w:eastAsia="仿宋_GB2312" w:cs="宋体"/>
          <w:kern w:val="0"/>
          <w:sz w:val="32"/>
          <w:szCs w:val="32"/>
        </w:rPr>
        <w:t>6712654</w:t>
      </w:r>
      <w:r>
        <w:rPr>
          <w:rFonts w:hint="eastAsia" w:ascii="仿宋_GB2312" w:hAnsi="仿宋" w:eastAsia="仿宋_GB2312" w:cs="宋体"/>
          <w:kern w:val="0"/>
          <w:sz w:val="32"/>
          <w:szCs w:val="32"/>
        </w:rPr>
        <w:t>）、牟平区消防救援大队（</w:t>
      </w:r>
      <w:r>
        <w:rPr>
          <w:rFonts w:ascii="仿宋_GB2312" w:hAnsi="仿宋" w:eastAsia="仿宋_GB2312" w:cs="宋体"/>
          <w:kern w:val="0"/>
          <w:sz w:val="32"/>
          <w:szCs w:val="32"/>
        </w:rPr>
        <w:t>4262019</w:t>
      </w:r>
      <w:r>
        <w:rPr>
          <w:rFonts w:hint="eastAsia" w:ascii="仿宋_GB2312" w:hAnsi="仿宋" w:eastAsia="仿宋_GB2312" w:cs="宋体"/>
          <w:kern w:val="0"/>
          <w:sz w:val="32"/>
          <w:szCs w:val="32"/>
        </w:rPr>
        <w:t>）请求协助。</w:t>
      </w:r>
    </w:p>
    <w:p w14:paraId="1709D24E">
      <w:pPr>
        <w:spacing w:line="560" w:lineRule="exact"/>
        <w:ind w:firstLine="624"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我区距离烟台市消防支队4.6公里，道路畅通12分钟可到达；距离莱山区消防救援大队6公里，道路畅通15分钟可到达；距离牟平区消防救援大队11 公里，道路畅通18分钟可到达。</w:t>
      </w:r>
    </w:p>
    <w:p w14:paraId="180522CF">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（二）专业救援队伍</w:t>
      </w:r>
    </w:p>
    <w:p w14:paraId="23A17DC8">
      <w:pPr>
        <w:spacing w:line="560" w:lineRule="exact"/>
        <w:ind w:firstLine="624"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一旦发生重特大安全事故，我区抢险救援力量不够时，指挥部必须立即向烟台市应急管理局汇报，请求协调山东省危险化学品鲁东安全生产应急救援中心等专业救援队伍开展救援。</w:t>
      </w:r>
    </w:p>
    <w:p w14:paraId="074A2980">
      <w:pPr>
        <w:spacing w:line="560" w:lineRule="exact"/>
        <w:ind w:firstLine="624"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山东省危险化学品鲁东安全生产应急救援中心距离我区130公里，道路畅通1小时50分钟左右可到达。</w:t>
      </w:r>
    </w:p>
    <w:p w14:paraId="24172D09">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（三）外部医疗救援</w:t>
      </w:r>
    </w:p>
    <w:p w14:paraId="05F3034D">
      <w:pPr>
        <w:spacing w:line="560" w:lineRule="exact"/>
        <w:ind w:firstLine="624"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由区卫生健康管理办公室协调，向烟台山医院新院、毓璜顶医院莱山分院、毓璜顶医院等医院请求协助。</w:t>
      </w:r>
    </w:p>
    <w:p w14:paraId="06BC4DF6">
      <w:pPr>
        <w:spacing w:line="560" w:lineRule="exact"/>
        <w:ind w:firstLine="624"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我区距离烟台山医院新院2.2公里，医院联系电话：</w:t>
      </w:r>
      <w:r>
        <w:rPr>
          <w:rFonts w:ascii="仿宋_GB2312" w:hAnsi="仿宋" w:eastAsia="仿宋_GB2312" w:cs="宋体"/>
          <w:kern w:val="0"/>
          <w:sz w:val="32"/>
          <w:szCs w:val="32"/>
        </w:rPr>
        <w:t>0535-6863159</w:t>
      </w:r>
      <w:r>
        <w:rPr>
          <w:rFonts w:hint="eastAsia" w:ascii="仿宋_GB2312" w:hAnsi="仿宋" w:eastAsia="仿宋_GB2312" w:cs="宋体"/>
          <w:kern w:val="0"/>
          <w:sz w:val="32"/>
          <w:szCs w:val="32"/>
        </w:rPr>
        <w:t>，道路畅通可在5分钟之内到达，如发生人员伤亡可及时送到医院救治。</w:t>
      </w:r>
    </w:p>
    <w:p w14:paraId="7C78C88C">
      <w:pPr>
        <w:spacing w:line="560" w:lineRule="exact"/>
        <w:ind w:firstLine="624"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距离毓璜顶医院莱山分院6.3公里，医院联系电话：</w:t>
      </w:r>
      <w:r>
        <w:rPr>
          <w:rFonts w:ascii="仿宋_GB2312" w:hAnsi="仿宋" w:eastAsia="仿宋_GB2312" w:cs="宋体"/>
          <w:kern w:val="0"/>
          <w:sz w:val="32"/>
          <w:szCs w:val="32"/>
        </w:rPr>
        <w:t>0535-6710231</w:t>
      </w:r>
      <w:r>
        <w:rPr>
          <w:rFonts w:hint="eastAsia" w:ascii="仿宋_GB2312" w:hAnsi="仿宋" w:eastAsia="仿宋_GB2312" w:cs="宋体"/>
          <w:kern w:val="0"/>
          <w:sz w:val="32"/>
          <w:szCs w:val="32"/>
        </w:rPr>
        <w:t>，道路畅通可在15分钟之内到达，如发生人员伤亡可及时送到医院救治。</w:t>
      </w:r>
    </w:p>
    <w:p w14:paraId="4AC6B830">
      <w:pPr>
        <w:spacing w:line="560" w:lineRule="exact"/>
        <w:ind w:firstLine="624"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距离毓璜顶医院16公里，医院联系电话：</w:t>
      </w:r>
      <w:r>
        <w:rPr>
          <w:rFonts w:hint="eastAsia" w:ascii="仿宋_GB2312" w:hAnsi="宋体" w:eastAsia="仿宋_GB2312" w:cs="宋体"/>
          <w:kern w:val="0"/>
          <w:sz w:val="32"/>
          <w:szCs w:val="32"/>
        </w:rPr>
        <w:t>0535－6691999（总机）、</w:t>
      </w:r>
      <w:r>
        <w:rPr>
          <w:rFonts w:ascii="仿宋_GB2312" w:hAnsi="宋体" w:eastAsia="仿宋_GB2312" w:cs="宋体"/>
          <w:kern w:val="0"/>
          <w:sz w:val="32"/>
          <w:szCs w:val="32"/>
        </w:rPr>
        <w:t>81125</w:t>
      </w:r>
      <w:r>
        <w:rPr>
          <w:rFonts w:hint="eastAsia" w:ascii="仿宋_GB2312" w:hAnsi="宋体" w:eastAsia="仿宋_GB2312" w:cs="宋体"/>
          <w:kern w:val="0"/>
          <w:sz w:val="32"/>
          <w:szCs w:val="32"/>
        </w:rPr>
        <w:t>（急救中心）</w:t>
      </w:r>
      <w:r>
        <w:rPr>
          <w:rFonts w:hint="eastAsia" w:ascii="仿宋_GB2312" w:hAnsi="仿宋" w:eastAsia="仿宋_GB2312" w:cs="宋体"/>
          <w:kern w:val="0"/>
          <w:sz w:val="32"/>
          <w:szCs w:val="32"/>
        </w:rPr>
        <w:t>，道路畅通可在40分钟之内到达，如发生人员伤亡可及时送到医院救治。</w:t>
      </w:r>
    </w:p>
    <w:p w14:paraId="35A8A814">
      <w:pPr>
        <w:spacing w:line="560" w:lineRule="exact"/>
        <w:ind w:firstLine="624" w:firstLineChars="200"/>
        <w:rPr>
          <w:rFonts w:ascii="仿宋_GB2312" w:hAnsi="宋体" w:eastAsia="仿宋_GB2312" w:cs="宋体"/>
          <w:kern w:val="0"/>
          <w:sz w:val="32"/>
          <w:szCs w:val="32"/>
        </w:rPr>
      </w:pPr>
      <w:r>
        <w:rPr>
          <w:rFonts w:hint="eastAsia" w:ascii="仿宋_GB2312" w:hAnsi="仿宋" w:eastAsia="仿宋_GB2312" w:cs="宋体"/>
          <w:kern w:val="0"/>
          <w:sz w:val="32"/>
          <w:szCs w:val="32"/>
        </w:rPr>
        <w:t>②医疗救护组本着先救命后治伤、先治重伤后治轻伤的原则，开展伤员抢救，并及时与高新区医院医务人员联系，拨打0535-3942978（办公室）或120，配合护送转移伤员。</w:t>
      </w:r>
    </w:p>
    <w:p w14:paraId="447FC2C5">
      <w:pPr>
        <w:snapToGrid w:val="0"/>
        <w:spacing w:line="360" w:lineRule="auto"/>
        <w:rPr>
          <w:rFonts w:ascii="仿宋_GB2312" w:hAnsi="黑体" w:eastAsia="仿宋_GB2312" w:cs="仿宋_GB2312"/>
          <w:bCs/>
          <w:sz w:val="32"/>
          <w:szCs w:val="32"/>
        </w:rPr>
      </w:pPr>
    </w:p>
    <w:p w14:paraId="5FF08E62">
      <w:pPr>
        <w:snapToGrid w:val="0"/>
        <w:spacing w:line="360" w:lineRule="auto"/>
        <w:rPr>
          <w:rFonts w:ascii="仿宋_GB2312" w:hAnsi="黑体" w:eastAsia="仿宋_GB2312" w:cs="仿宋_GB2312"/>
          <w:bCs/>
          <w:sz w:val="32"/>
          <w:szCs w:val="32"/>
        </w:rPr>
      </w:pPr>
    </w:p>
    <w:p w14:paraId="0AC4BDB7">
      <w:pPr>
        <w:snapToGrid w:val="0"/>
        <w:spacing w:line="360" w:lineRule="auto"/>
        <w:rPr>
          <w:rFonts w:ascii="黑体" w:hAnsi="黑体" w:eastAsia="黑体" w:cs="仿宋_GB2312"/>
          <w:bCs/>
          <w:sz w:val="32"/>
          <w:szCs w:val="32"/>
        </w:rPr>
      </w:pPr>
    </w:p>
    <w:p w14:paraId="7FE8A496">
      <w:pPr>
        <w:snapToGrid w:val="0"/>
        <w:spacing w:line="360" w:lineRule="auto"/>
        <w:rPr>
          <w:rFonts w:ascii="黑体" w:hAnsi="黑体" w:eastAsia="黑体" w:cs="仿宋_GB2312"/>
          <w:bCs/>
          <w:sz w:val="32"/>
          <w:szCs w:val="32"/>
        </w:rPr>
      </w:pPr>
    </w:p>
    <w:p w14:paraId="5798A8EF">
      <w:pPr>
        <w:snapToGrid w:val="0"/>
        <w:spacing w:line="360" w:lineRule="auto"/>
        <w:rPr>
          <w:rFonts w:ascii="黑体" w:hAnsi="黑体" w:eastAsia="黑体" w:cs="仿宋_GB2312"/>
          <w:bCs/>
          <w:sz w:val="32"/>
          <w:szCs w:val="32"/>
        </w:rPr>
      </w:pPr>
    </w:p>
    <w:p w14:paraId="10E87DBB">
      <w:pPr>
        <w:snapToGrid w:val="0"/>
        <w:spacing w:line="360" w:lineRule="auto"/>
        <w:rPr>
          <w:rFonts w:ascii="黑体" w:hAnsi="黑体" w:eastAsia="黑体" w:cs="仿宋_GB2312"/>
          <w:bCs/>
          <w:sz w:val="32"/>
          <w:szCs w:val="32"/>
        </w:rPr>
      </w:pPr>
    </w:p>
    <w:p w14:paraId="06504EB1">
      <w:pPr>
        <w:snapToGrid w:val="0"/>
        <w:spacing w:line="360" w:lineRule="auto"/>
        <w:rPr>
          <w:rFonts w:ascii="黑体" w:hAnsi="黑体" w:eastAsia="黑体" w:cs="仿宋_GB2312"/>
          <w:bCs/>
          <w:sz w:val="32"/>
          <w:szCs w:val="32"/>
        </w:rPr>
      </w:pPr>
    </w:p>
    <w:p w14:paraId="37611741">
      <w:pPr>
        <w:snapToGrid w:val="0"/>
        <w:spacing w:line="360" w:lineRule="auto"/>
        <w:rPr>
          <w:rFonts w:ascii="黑体" w:hAnsi="黑体" w:eastAsia="黑体" w:cs="仿宋_GB2312"/>
          <w:bCs/>
          <w:sz w:val="32"/>
          <w:szCs w:val="32"/>
        </w:rPr>
      </w:pPr>
    </w:p>
    <w:p w14:paraId="1FBF5B2D">
      <w:pPr>
        <w:snapToGrid w:val="0"/>
        <w:spacing w:line="360" w:lineRule="auto"/>
        <w:rPr>
          <w:rFonts w:ascii="黑体" w:hAnsi="黑体" w:eastAsia="黑体" w:cs="仿宋_GB2312"/>
          <w:bCs/>
          <w:sz w:val="32"/>
          <w:szCs w:val="32"/>
        </w:rPr>
      </w:pPr>
    </w:p>
    <w:p w14:paraId="4A1F5029">
      <w:pPr>
        <w:snapToGrid w:val="0"/>
        <w:spacing w:line="360" w:lineRule="auto"/>
        <w:rPr>
          <w:rFonts w:ascii="黑体" w:hAnsi="黑体" w:eastAsia="黑体" w:cs="仿宋_GB2312"/>
          <w:bCs/>
          <w:sz w:val="32"/>
          <w:szCs w:val="32"/>
        </w:rPr>
      </w:pPr>
    </w:p>
    <w:p w14:paraId="7B179426">
      <w:pPr>
        <w:snapToGrid w:val="0"/>
        <w:spacing w:line="360" w:lineRule="auto"/>
        <w:rPr>
          <w:rFonts w:ascii="黑体" w:hAnsi="黑体" w:eastAsia="黑体" w:cs="仿宋_GB2312"/>
          <w:bCs/>
          <w:sz w:val="32"/>
          <w:szCs w:val="32"/>
        </w:rPr>
      </w:pPr>
    </w:p>
    <w:p w14:paraId="61610870">
      <w:pPr>
        <w:snapToGrid w:val="0"/>
        <w:spacing w:line="360" w:lineRule="auto"/>
        <w:rPr>
          <w:rFonts w:ascii="黑体" w:hAnsi="黑体" w:eastAsia="黑体" w:cs="仿宋_GB2312"/>
          <w:bCs/>
          <w:sz w:val="32"/>
          <w:szCs w:val="32"/>
        </w:rPr>
      </w:pPr>
    </w:p>
    <w:p w14:paraId="457ACD62">
      <w:pPr>
        <w:snapToGrid w:val="0"/>
        <w:spacing w:line="360" w:lineRule="auto"/>
        <w:rPr>
          <w:rFonts w:ascii="黑体" w:hAnsi="黑体" w:eastAsia="黑体" w:cs="仿宋_GB2312"/>
          <w:bCs/>
          <w:sz w:val="32"/>
          <w:szCs w:val="32"/>
        </w:rPr>
      </w:pPr>
      <w:r>
        <w:rPr>
          <w:rFonts w:hint="eastAsia" w:ascii="黑体" w:hAnsi="黑体" w:eastAsia="黑体" w:cs="仿宋_GB2312"/>
          <w:bCs/>
          <w:sz w:val="32"/>
          <w:szCs w:val="32"/>
        </w:rPr>
        <w:t>附件5</w:t>
      </w:r>
    </w:p>
    <w:p w14:paraId="13540D5E">
      <w:pPr>
        <w:snapToGrid w:val="0"/>
        <w:spacing w:line="360" w:lineRule="auto"/>
        <w:jc w:val="center"/>
        <w:rPr>
          <w:rFonts w:ascii="方正小标宋简体" w:hAnsi="宋体" w:eastAsia="方正小标宋简体" w:cs="仿宋_GB2312"/>
          <w:sz w:val="44"/>
          <w:szCs w:val="44"/>
          <w:lang w:val="zh-CN"/>
        </w:rPr>
      </w:pPr>
      <w:r>
        <w:rPr>
          <w:rFonts w:hint="eastAsia" w:ascii="方正小标宋简体" w:hAnsi="宋体" w:eastAsia="方正小标宋简体" w:cs="仿宋_GB2312"/>
          <w:sz w:val="44"/>
          <w:szCs w:val="44"/>
          <w:lang w:val="zh-CN"/>
        </w:rPr>
        <w:t>应急专家</w:t>
      </w:r>
    </w:p>
    <w:tbl>
      <w:tblPr>
        <w:tblStyle w:val="12"/>
        <w:tblW w:w="10205" w:type="dxa"/>
        <w:jc w:val="center"/>
        <w:tblLayout w:type="fixed"/>
        <w:tblCellMar>
          <w:top w:w="0" w:type="dxa"/>
          <w:left w:w="108" w:type="dxa"/>
          <w:bottom w:w="0" w:type="dxa"/>
          <w:right w:w="108" w:type="dxa"/>
        </w:tblCellMar>
      </w:tblPr>
      <w:tblGrid>
        <w:gridCol w:w="813"/>
        <w:gridCol w:w="1075"/>
        <w:gridCol w:w="659"/>
        <w:gridCol w:w="1371"/>
        <w:gridCol w:w="1815"/>
        <w:gridCol w:w="2370"/>
        <w:gridCol w:w="2102"/>
      </w:tblGrid>
      <w:tr w14:paraId="1817E347">
        <w:tblPrEx>
          <w:tblCellMar>
            <w:top w:w="0" w:type="dxa"/>
            <w:left w:w="108" w:type="dxa"/>
            <w:bottom w:w="0" w:type="dxa"/>
            <w:right w:w="108" w:type="dxa"/>
          </w:tblCellMar>
        </w:tblPrEx>
        <w:trPr>
          <w:trHeight w:val="522"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6F20B0A2">
            <w:pPr>
              <w:widowControl/>
              <w:spacing w:line="500" w:lineRule="exact"/>
              <w:jc w:val="center"/>
              <w:rPr>
                <w:rFonts w:ascii="宋体" w:hAnsi="宋体" w:cs="宋体"/>
                <w:b/>
                <w:kern w:val="0"/>
                <w:sz w:val="24"/>
              </w:rPr>
            </w:pPr>
            <w:r>
              <w:rPr>
                <w:rFonts w:hint="eastAsia" w:ascii="宋体" w:hAnsi="宋体" w:cs="宋体"/>
                <w:b/>
                <w:kern w:val="0"/>
                <w:sz w:val="24"/>
              </w:rPr>
              <w:t>序号</w:t>
            </w:r>
          </w:p>
        </w:tc>
        <w:tc>
          <w:tcPr>
            <w:tcW w:w="1075" w:type="dxa"/>
            <w:tcBorders>
              <w:top w:val="single" w:color="auto" w:sz="4" w:space="0"/>
              <w:left w:val="nil"/>
              <w:bottom w:val="single" w:color="auto" w:sz="4" w:space="0"/>
              <w:right w:val="single" w:color="auto" w:sz="4" w:space="0"/>
            </w:tcBorders>
            <w:vAlign w:val="center"/>
          </w:tcPr>
          <w:p w14:paraId="161BE300">
            <w:pPr>
              <w:widowControl/>
              <w:spacing w:line="500" w:lineRule="exact"/>
              <w:jc w:val="center"/>
              <w:rPr>
                <w:rFonts w:ascii="宋体" w:hAnsi="宋体" w:cs="宋体"/>
                <w:b/>
                <w:kern w:val="0"/>
                <w:sz w:val="24"/>
              </w:rPr>
            </w:pPr>
            <w:r>
              <w:rPr>
                <w:rFonts w:hint="eastAsia" w:ascii="宋体" w:hAnsi="宋体" w:cs="宋体"/>
                <w:b/>
                <w:kern w:val="0"/>
                <w:sz w:val="24"/>
              </w:rPr>
              <w:t>姓名</w:t>
            </w:r>
          </w:p>
        </w:tc>
        <w:tc>
          <w:tcPr>
            <w:tcW w:w="659" w:type="dxa"/>
            <w:tcBorders>
              <w:top w:val="single" w:color="auto" w:sz="4" w:space="0"/>
              <w:left w:val="nil"/>
              <w:bottom w:val="single" w:color="auto" w:sz="4" w:space="0"/>
              <w:right w:val="single" w:color="auto" w:sz="4" w:space="0"/>
            </w:tcBorders>
            <w:vAlign w:val="center"/>
          </w:tcPr>
          <w:p w14:paraId="019B9067">
            <w:pPr>
              <w:widowControl/>
              <w:spacing w:line="500" w:lineRule="exact"/>
              <w:jc w:val="center"/>
              <w:rPr>
                <w:rFonts w:ascii="宋体" w:hAnsi="宋体" w:cs="宋体"/>
                <w:b/>
                <w:kern w:val="0"/>
                <w:sz w:val="24"/>
              </w:rPr>
            </w:pPr>
            <w:r>
              <w:rPr>
                <w:rFonts w:hint="eastAsia" w:ascii="宋体" w:hAnsi="宋体" w:cs="宋体"/>
                <w:b/>
                <w:kern w:val="0"/>
                <w:sz w:val="24"/>
              </w:rPr>
              <w:t>性别</w:t>
            </w:r>
          </w:p>
        </w:tc>
        <w:tc>
          <w:tcPr>
            <w:tcW w:w="1371" w:type="dxa"/>
            <w:tcBorders>
              <w:top w:val="single" w:color="auto" w:sz="4" w:space="0"/>
              <w:left w:val="nil"/>
              <w:bottom w:val="single" w:color="auto" w:sz="4" w:space="0"/>
              <w:right w:val="single" w:color="auto" w:sz="4" w:space="0"/>
            </w:tcBorders>
            <w:vAlign w:val="center"/>
          </w:tcPr>
          <w:p w14:paraId="5E928A5B">
            <w:pPr>
              <w:widowControl/>
              <w:spacing w:line="500" w:lineRule="exact"/>
              <w:jc w:val="center"/>
              <w:rPr>
                <w:rFonts w:ascii="宋体" w:hAnsi="宋体" w:cs="宋体"/>
                <w:b/>
                <w:kern w:val="0"/>
                <w:sz w:val="24"/>
              </w:rPr>
            </w:pPr>
            <w:r>
              <w:rPr>
                <w:rFonts w:hint="eastAsia" w:ascii="宋体" w:hAnsi="宋体" w:cs="宋体"/>
                <w:b/>
                <w:kern w:val="0"/>
                <w:sz w:val="24"/>
              </w:rPr>
              <w:t>从事专业</w:t>
            </w:r>
          </w:p>
        </w:tc>
        <w:tc>
          <w:tcPr>
            <w:tcW w:w="1815" w:type="dxa"/>
            <w:tcBorders>
              <w:top w:val="single" w:color="auto" w:sz="4" w:space="0"/>
              <w:left w:val="nil"/>
              <w:bottom w:val="single" w:color="auto" w:sz="4" w:space="0"/>
              <w:right w:val="single" w:color="auto" w:sz="4" w:space="0"/>
            </w:tcBorders>
            <w:vAlign w:val="center"/>
          </w:tcPr>
          <w:p w14:paraId="547D7100">
            <w:pPr>
              <w:widowControl/>
              <w:spacing w:line="500" w:lineRule="exact"/>
              <w:jc w:val="center"/>
              <w:rPr>
                <w:rFonts w:ascii="宋体" w:hAnsi="宋体" w:cs="宋体"/>
                <w:b/>
                <w:kern w:val="0"/>
                <w:sz w:val="24"/>
              </w:rPr>
            </w:pPr>
            <w:r>
              <w:rPr>
                <w:rFonts w:hint="eastAsia" w:ascii="宋体" w:hAnsi="宋体" w:cs="宋体"/>
                <w:b/>
                <w:kern w:val="0"/>
                <w:sz w:val="24"/>
              </w:rPr>
              <w:t>职务职称</w:t>
            </w:r>
          </w:p>
        </w:tc>
        <w:tc>
          <w:tcPr>
            <w:tcW w:w="2370" w:type="dxa"/>
            <w:tcBorders>
              <w:top w:val="single" w:color="auto" w:sz="4" w:space="0"/>
              <w:left w:val="nil"/>
              <w:bottom w:val="single" w:color="auto" w:sz="4" w:space="0"/>
              <w:right w:val="single" w:color="auto" w:sz="4" w:space="0"/>
            </w:tcBorders>
            <w:vAlign w:val="center"/>
          </w:tcPr>
          <w:p w14:paraId="5482DD90">
            <w:pPr>
              <w:widowControl/>
              <w:spacing w:line="500" w:lineRule="exact"/>
              <w:jc w:val="center"/>
              <w:rPr>
                <w:rFonts w:ascii="宋体" w:hAnsi="宋体" w:cs="宋体"/>
                <w:b/>
                <w:kern w:val="0"/>
                <w:sz w:val="24"/>
              </w:rPr>
            </w:pPr>
            <w:r>
              <w:rPr>
                <w:rFonts w:hint="eastAsia" w:ascii="宋体" w:hAnsi="宋体" w:cs="宋体"/>
                <w:b/>
                <w:kern w:val="0"/>
                <w:sz w:val="24"/>
              </w:rPr>
              <w:t>工作单位</w:t>
            </w:r>
          </w:p>
        </w:tc>
        <w:tc>
          <w:tcPr>
            <w:tcW w:w="2102" w:type="dxa"/>
            <w:tcBorders>
              <w:top w:val="single" w:color="auto" w:sz="4" w:space="0"/>
              <w:left w:val="nil"/>
              <w:bottom w:val="single" w:color="auto" w:sz="4" w:space="0"/>
              <w:right w:val="single" w:color="auto" w:sz="4" w:space="0"/>
            </w:tcBorders>
            <w:vAlign w:val="center"/>
          </w:tcPr>
          <w:p w14:paraId="0DEFEA86">
            <w:pPr>
              <w:widowControl/>
              <w:spacing w:line="500" w:lineRule="exact"/>
              <w:jc w:val="center"/>
              <w:rPr>
                <w:rFonts w:ascii="宋体" w:hAnsi="宋体" w:cs="宋体"/>
                <w:b/>
                <w:kern w:val="0"/>
                <w:sz w:val="24"/>
              </w:rPr>
            </w:pPr>
            <w:r>
              <w:rPr>
                <w:rFonts w:hint="eastAsia" w:ascii="宋体" w:hAnsi="宋体" w:cs="宋体"/>
                <w:b/>
                <w:kern w:val="0"/>
                <w:sz w:val="24"/>
              </w:rPr>
              <w:t>联系电话</w:t>
            </w:r>
          </w:p>
        </w:tc>
      </w:tr>
      <w:tr w14:paraId="465816CD">
        <w:tblPrEx>
          <w:tblCellMar>
            <w:top w:w="0" w:type="dxa"/>
            <w:left w:w="108" w:type="dxa"/>
            <w:bottom w:w="0" w:type="dxa"/>
            <w:right w:w="108" w:type="dxa"/>
          </w:tblCellMar>
        </w:tblPrEx>
        <w:trPr>
          <w:trHeight w:val="450" w:hRule="atLeast"/>
          <w:jc w:val="center"/>
        </w:trPr>
        <w:tc>
          <w:tcPr>
            <w:tcW w:w="813" w:type="dxa"/>
            <w:tcBorders>
              <w:top w:val="nil"/>
              <w:left w:val="single" w:color="auto" w:sz="4" w:space="0"/>
              <w:bottom w:val="single" w:color="auto" w:sz="4" w:space="0"/>
              <w:right w:val="single" w:color="auto" w:sz="4" w:space="0"/>
            </w:tcBorders>
            <w:vAlign w:val="center"/>
          </w:tcPr>
          <w:p w14:paraId="63EB3305">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1075" w:type="dxa"/>
            <w:tcBorders>
              <w:top w:val="nil"/>
              <w:left w:val="nil"/>
              <w:bottom w:val="single" w:color="auto" w:sz="4" w:space="0"/>
              <w:right w:val="single" w:color="auto" w:sz="4" w:space="0"/>
            </w:tcBorders>
            <w:vAlign w:val="center"/>
          </w:tcPr>
          <w:p w14:paraId="3C5A203F">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李 翔</w:t>
            </w:r>
          </w:p>
        </w:tc>
        <w:tc>
          <w:tcPr>
            <w:tcW w:w="659" w:type="dxa"/>
            <w:tcBorders>
              <w:top w:val="nil"/>
              <w:left w:val="nil"/>
              <w:bottom w:val="single" w:color="auto" w:sz="4" w:space="0"/>
              <w:right w:val="single" w:color="auto" w:sz="4" w:space="0"/>
            </w:tcBorders>
            <w:vAlign w:val="center"/>
          </w:tcPr>
          <w:p w14:paraId="46D018C7">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男</w:t>
            </w:r>
          </w:p>
        </w:tc>
        <w:tc>
          <w:tcPr>
            <w:tcW w:w="1371" w:type="dxa"/>
            <w:tcBorders>
              <w:top w:val="nil"/>
              <w:left w:val="nil"/>
              <w:bottom w:val="single" w:color="auto" w:sz="4" w:space="0"/>
              <w:right w:val="single" w:color="auto" w:sz="4" w:space="0"/>
            </w:tcBorders>
            <w:vAlign w:val="center"/>
          </w:tcPr>
          <w:p w14:paraId="40CBC03C">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化工安全</w:t>
            </w:r>
          </w:p>
        </w:tc>
        <w:tc>
          <w:tcPr>
            <w:tcW w:w="1815" w:type="dxa"/>
            <w:tcBorders>
              <w:top w:val="nil"/>
              <w:left w:val="nil"/>
              <w:bottom w:val="single" w:color="auto" w:sz="4" w:space="0"/>
              <w:right w:val="single" w:color="auto" w:sz="4" w:space="0"/>
            </w:tcBorders>
            <w:vAlign w:val="center"/>
          </w:tcPr>
          <w:p w14:paraId="28932A78">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高级工程师</w:t>
            </w:r>
          </w:p>
        </w:tc>
        <w:tc>
          <w:tcPr>
            <w:tcW w:w="2370" w:type="dxa"/>
            <w:tcBorders>
              <w:top w:val="nil"/>
              <w:left w:val="nil"/>
              <w:bottom w:val="single" w:color="auto" w:sz="4" w:space="0"/>
              <w:right w:val="single" w:color="auto" w:sz="4" w:space="0"/>
            </w:tcBorders>
            <w:vAlign w:val="center"/>
          </w:tcPr>
          <w:p w14:paraId="316A0A3B">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万华化学集团股份有限公司</w:t>
            </w:r>
          </w:p>
        </w:tc>
        <w:tc>
          <w:tcPr>
            <w:tcW w:w="2102" w:type="dxa"/>
            <w:tcBorders>
              <w:top w:val="nil"/>
              <w:left w:val="nil"/>
              <w:bottom w:val="single" w:color="auto" w:sz="4" w:space="0"/>
              <w:right w:val="single" w:color="auto" w:sz="4" w:space="0"/>
            </w:tcBorders>
            <w:vAlign w:val="center"/>
          </w:tcPr>
          <w:p w14:paraId="074B08F5">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18953559617</w:t>
            </w:r>
          </w:p>
        </w:tc>
      </w:tr>
      <w:tr w14:paraId="35D078B9">
        <w:tblPrEx>
          <w:tblCellMar>
            <w:top w:w="0" w:type="dxa"/>
            <w:left w:w="108" w:type="dxa"/>
            <w:bottom w:w="0" w:type="dxa"/>
            <w:right w:w="108" w:type="dxa"/>
          </w:tblCellMar>
        </w:tblPrEx>
        <w:trPr>
          <w:trHeight w:val="450" w:hRule="atLeast"/>
          <w:jc w:val="center"/>
        </w:trPr>
        <w:tc>
          <w:tcPr>
            <w:tcW w:w="813" w:type="dxa"/>
            <w:tcBorders>
              <w:top w:val="nil"/>
              <w:left w:val="single" w:color="auto" w:sz="4" w:space="0"/>
              <w:bottom w:val="single" w:color="auto" w:sz="4" w:space="0"/>
              <w:right w:val="single" w:color="auto" w:sz="4" w:space="0"/>
            </w:tcBorders>
            <w:vAlign w:val="center"/>
          </w:tcPr>
          <w:p w14:paraId="39891AD6">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1075" w:type="dxa"/>
            <w:tcBorders>
              <w:top w:val="nil"/>
              <w:left w:val="nil"/>
              <w:bottom w:val="single" w:color="auto" w:sz="4" w:space="0"/>
              <w:right w:val="single" w:color="auto" w:sz="4" w:space="0"/>
            </w:tcBorders>
            <w:vAlign w:val="center"/>
          </w:tcPr>
          <w:p w14:paraId="47AEC783">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李佐祖</w:t>
            </w:r>
          </w:p>
        </w:tc>
        <w:tc>
          <w:tcPr>
            <w:tcW w:w="659" w:type="dxa"/>
            <w:tcBorders>
              <w:top w:val="nil"/>
              <w:left w:val="nil"/>
              <w:bottom w:val="single" w:color="auto" w:sz="4" w:space="0"/>
              <w:right w:val="single" w:color="auto" w:sz="4" w:space="0"/>
            </w:tcBorders>
            <w:vAlign w:val="center"/>
          </w:tcPr>
          <w:p w14:paraId="02E7C4DD">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男</w:t>
            </w:r>
          </w:p>
        </w:tc>
        <w:tc>
          <w:tcPr>
            <w:tcW w:w="1371" w:type="dxa"/>
            <w:tcBorders>
              <w:top w:val="nil"/>
              <w:left w:val="nil"/>
              <w:bottom w:val="single" w:color="auto" w:sz="4" w:space="0"/>
              <w:right w:val="single" w:color="auto" w:sz="4" w:space="0"/>
            </w:tcBorders>
            <w:vAlign w:val="center"/>
          </w:tcPr>
          <w:p w14:paraId="5EF42783">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化学工程</w:t>
            </w:r>
          </w:p>
        </w:tc>
        <w:tc>
          <w:tcPr>
            <w:tcW w:w="1815" w:type="dxa"/>
            <w:tcBorders>
              <w:top w:val="nil"/>
              <w:left w:val="nil"/>
              <w:bottom w:val="single" w:color="auto" w:sz="4" w:space="0"/>
              <w:right w:val="single" w:color="auto" w:sz="4" w:space="0"/>
            </w:tcBorders>
            <w:vAlign w:val="center"/>
          </w:tcPr>
          <w:p w14:paraId="1D75F523">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总工/高级工程师</w:t>
            </w:r>
          </w:p>
        </w:tc>
        <w:tc>
          <w:tcPr>
            <w:tcW w:w="2370" w:type="dxa"/>
            <w:tcBorders>
              <w:top w:val="nil"/>
              <w:left w:val="nil"/>
              <w:bottom w:val="single" w:color="auto" w:sz="4" w:space="0"/>
              <w:right w:val="single" w:color="auto" w:sz="4" w:space="0"/>
            </w:tcBorders>
            <w:vAlign w:val="center"/>
          </w:tcPr>
          <w:p w14:paraId="26F3C77E">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烟台凯联化工有限公司</w:t>
            </w:r>
          </w:p>
        </w:tc>
        <w:tc>
          <w:tcPr>
            <w:tcW w:w="2102" w:type="dxa"/>
            <w:tcBorders>
              <w:top w:val="nil"/>
              <w:left w:val="nil"/>
              <w:bottom w:val="single" w:color="auto" w:sz="4" w:space="0"/>
              <w:right w:val="single" w:color="auto" w:sz="4" w:space="0"/>
            </w:tcBorders>
            <w:vAlign w:val="center"/>
          </w:tcPr>
          <w:p w14:paraId="64AA47E0">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13864528609</w:t>
            </w:r>
          </w:p>
        </w:tc>
      </w:tr>
      <w:tr w14:paraId="7098935D">
        <w:tblPrEx>
          <w:tblCellMar>
            <w:top w:w="0" w:type="dxa"/>
            <w:left w:w="108" w:type="dxa"/>
            <w:bottom w:w="0" w:type="dxa"/>
            <w:right w:w="108" w:type="dxa"/>
          </w:tblCellMar>
        </w:tblPrEx>
        <w:trPr>
          <w:trHeight w:val="450" w:hRule="atLeast"/>
          <w:jc w:val="center"/>
        </w:trPr>
        <w:tc>
          <w:tcPr>
            <w:tcW w:w="813" w:type="dxa"/>
            <w:tcBorders>
              <w:top w:val="nil"/>
              <w:left w:val="single" w:color="auto" w:sz="4" w:space="0"/>
              <w:bottom w:val="single" w:color="auto" w:sz="4" w:space="0"/>
              <w:right w:val="single" w:color="auto" w:sz="4" w:space="0"/>
            </w:tcBorders>
            <w:vAlign w:val="center"/>
          </w:tcPr>
          <w:p w14:paraId="76E2E8DA">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1075" w:type="dxa"/>
            <w:tcBorders>
              <w:top w:val="nil"/>
              <w:left w:val="nil"/>
              <w:bottom w:val="single" w:color="auto" w:sz="4" w:space="0"/>
              <w:right w:val="single" w:color="auto" w:sz="4" w:space="0"/>
            </w:tcBorders>
            <w:vAlign w:val="center"/>
          </w:tcPr>
          <w:p w14:paraId="0881F1EF">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刘大成</w:t>
            </w:r>
          </w:p>
        </w:tc>
        <w:tc>
          <w:tcPr>
            <w:tcW w:w="659" w:type="dxa"/>
            <w:tcBorders>
              <w:top w:val="nil"/>
              <w:left w:val="nil"/>
              <w:bottom w:val="single" w:color="auto" w:sz="4" w:space="0"/>
              <w:right w:val="single" w:color="auto" w:sz="4" w:space="0"/>
            </w:tcBorders>
            <w:vAlign w:val="center"/>
          </w:tcPr>
          <w:p w14:paraId="240F64F4">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男</w:t>
            </w:r>
          </w:p>
        </w:tc>
        <w:tc>
          <w:tcPr>
            <w:tcW w:w="1371" w:type="dxa"/>
            <w:tcBorders>
              <w:top w:val="nil"/>
              <w:left w:val="nil"/>
              <w:bottom w:val="single" w:color="auto" w:sz="4" w:space="0"/>
              <w:right w:val="single" w:color="auto" w:sz="4" w:space="0"/>
            </w:tcBorders>
            <w:vAlign w:val="center"/>
          </w:tcPr>
          <w:p w14:paraId="172AD7F5">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化工设计</w:t>
            </w:r>
          </w:p>
        </w:tc>
        <w:tc>
          <w:tcPr>
            <w:tcW w:w="1815" w:type="dxa"/>
            <w:tcBorders>
              <w:top w:val="nil"/>
              <w:left w:val="nil"/>
              <w:bottom w:val="single" w:color="auto" w:sz="4" w:space="0"/>
              <w:right w:val="single" w:color="auto" w:sz="4" w:space="0"/>
            </w:tcBorders>
            <w:vAlign w:val="center"/>
          </w:tcPr>
          <w:p w14:paraId="1D4DC8FE">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总经理/高级工程师</w:t>
            </w:r>
          </w:p>
        </w:tc>
        <w:tc>
          <w:tcPr>
            <w:tcW w:w="2370" w:type="dxa"/>
            <w:tcBorders>
              <w:top w:val="nil"/>
              <w:left w:val="nil"/>
              <w:bottom w:val="single" w:color="auto" w:sz="4" w:space="0"/>
              <w:right w:val="single" w:color="auto" w:sz="4" w:space="0"/>
            </w:tcBorders>
            <w:vAlign w:val="center"/>
          </w:tcPr>
          <w:p w14:paraId="02E88175">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烟台弘毅化工科技有限公司</w:t>
            </w:r>
          </w:p>
        </w:tc>
        <w:tc>
          <w:tcPr>
            <w:tcW w:w="2102" w:type="dxa"/>
            <w:tcBorders>
              <w:top w:val="nil"/>
              <w:left w:val="nil"/>
              <w:bottom w:val="single" w:color="auto" w:sz="4" w:space="0"/>
              <w:right w:val="single" w:color="auto" w:sz="4" w:space="0"/>
            </w:tcBorders>
            <w:vAlign w:val="center"/>
          </w:tcPr>
          <w:p w14:paraId="0397CD28">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15965191353</w:t>
            </w:r>
          </w:p>
        </w:tc>
      </w:tr>
      <w:tr w14:paraId="60DE347C">
        <w:tblPrEx>
          <w:tblCellMar>
            <w:top w:w="0" w:type="dxa"/>
            <w:left w:w="108" w:type="dxa"/>
            <w:bottom w:w="0" w:type="dxa"/>
            <w:right w:w="108" w:type="dxa"/>
          </w:tblCellMar>
        </w:tblPrEx>
        <w:trPr>
          <w:trHeight w:val="743" w:hRule="atLeast"/>
          <w:jc w:val="center"/>
        </w:trPr>
        <w:tc>
          <w:tcPr>
            <w:tcW w:w="813" w:type="dxa"/>
            <w:tcBorders>
              <w:top w:val="nil"/>
              <w:left w:val="single" w:color="auto" w:sz="4" w:space="0"/>
              <w:bottom w:val="single" w:color="auto" w:sz="4" w:space="0"/>
              <w:right w:val="single" w:color="auto" w:sz="4" w:space="0"/>
            </w:tcBorders>
            <w:vAlign w:val="center"/>
          </w:tcPr>
          <w:p w14:paraId="33B05B2B">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c>
          <w:tcPr>
            <w:tcW w:w="1075" w:type="dxa"/>
            <w:tcBorders>
              <w:top w:val="nil"/>
              <w:left w:val="nil"/>
              <w:bottom w:val="single" w:color="auto" w:sz="4" w:space="0"/>
              <w:right w:val="single" w:color="auto" w:sz="4" w:space="0"/>
            </w:tcBorders>
            <w:vAlign w:val="center"/>
          </w:tcPr>
          <w:p w14:paraId="2E762A58">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孙洪斌</w:t>
            </w:r>
          </w:p>
        </w:tc>
        <w:tc>
          <w:tcPr>
            <w:tcW w:w="659" w:type="dxa"/>
            <w:tcBorders>
              <w:top w:val="nil"/>
              <w:left w:val="nil"/>
              <w:bottom w:val="single" w:color="auto" w:sz="4" w:space="0"/>
              <w:right w:val="single" w:color="auto" w:sz="4" w:space="0"/>
            </w:tcBorders>
            <w:vAlign w:val="center"/>
          </w:tcPr>
          <w:p w14:paraId="320224EC">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男</w:t>
            </w:r>
          </w:p>
        </w:tc>
        <w:tc>
          <w:tcPr>
            <w:tcW w:w="1371" w:type="dxa"/>
            <w:tcBorders>
              <w:top w:val="nil"/>
              <w:left w:val="nil"/>
              <w:bottom w:val="single" w:color="auto" w:sz="4" w:space="0"/>
              <w:right w:val="single" w:color="auto" w:sz="4" w:space="0"/>
            </w:tcBorders>
            <w:vAlign w:val="center"/>
          </w:tcPr>
          <w:p w14:paraId="08B0EB00">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化工安全</w:t>
            </w:r>
          </w:p>
        </w:tc>
        <w:tc>
          <w:tcPr>
            <w:tcW w:w="1815" w:type="dxa"/>
            <w:tcBorders>
              <w:top w:val="nil"/>
              <w:left w:val="nil"/>
              <w:bottom w:val="single" w:color="auto" w:sz="4" w:space="0"/>
              <w:right w:val="single" w:color="auto" w:sz="4" w:space="0"/>
            </w:tcBorders>
            <w:vAlign w:val="center"/>
          </w:tcPr>
          <w:p w14:paraId="5088D615">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SHE总经理/注安师</w:t>
            </w:r>
          </w:p>
        </w:tc>
        <w:tc>
          <w:tcPr>
            <w:tcW w:w="2370" w:type="dxa"/>
            <w:tcBorders>
              <w:top w:val="nil"/>
              <w:left w:val="nil"/>
              <w:bottom w:val="single" w:color="auto" w:sz="4" w:space="0"/>
              <w:right w:val="single" w:color="auto" w:sz="4" w:space="0"/>
            </w:tcBorders>
            <w:vAlign w:val="center"/>
          </w:tcPr>
          <w:p w14:paraId="038E07F4">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万华化学集团股份有限公司</w:t>
            </w:r>
          </w:p>
        </w:tc>
        <w:tc>
          <w:tcPr>
            <w:tcW w:w="2102" w:type="dxa"/>
            <w:tcBorders>
              <w:top w:val="nil"/>
              <w:left w:val="nil"/>
              <w:bottom w:val="single" w:color="auto" w:sz="4" w:space="0"/>
              <w:right w:val="single" w:color="auto" w:sz="4" w:space="0"/>
            </w:tcBorders>
            <w:vAlign w:val="center"/>
          </w:tcPr>
          <w:p w14:paraId="098C6F93">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18153518688</w:t>
            </w:r>
          </w:p>
        </w:tc>
      </w:tr>
      <w:tr w14:paraId="44C4A1D9">
        <w:tblPrEx>
          <w:tblCellMar>
            <w:top w:w="0" w:type="dxa"/>
            <w:left w:w="108" w:type="dxa"/>
            <w:bottom w:w="0" w:type="dxa"/>
            <w:right w:w="108" w:type="dxa"/>
          </w:tblCellMar>
        </w:tblPrEx>
        <w:trPr>
          <w:trHeight w:val="18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7892BFA5">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1075" w:type="dxa"/>
            <w:tcBorders>
              <w:top w:val="single" w:color="auto" w:sz="4" w:space="0"/>
              <w:left w:val="nil"/>
              <w:bottom w:val="single" w:color="auto" w:sz="4" w:space="0"/>
              <w:right w:val="single" w:color="auto" w:sz="4" w:space="0"/>
            </w:tcBorders>
            <w:vAlign w:val="center"/>
          </w:tcPr>
          <w:p w14:paraId="42A04BD6">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张 君</w:t>
            </w:r>
          </w:p>
        </w:tc>
        <w:tc>
          <w:tcPr>
            <w:tcW w:w="659" w:type="dxa"/>
            <w:tcBorders>
              <w:top w:val="single" w:color="auto" w:sz="4" w:space="0"/>
              <w:left w:val="nil"/>
              <w:bottom w:val="single" w:color="auto" w:sz="4" w:space="0"/>
              <w:right w:val="single" w:color="auto" w:sz="4" w:space="0"/>
            </w:tcBorders>
            <w:vAlign w:val="center"/>
          </w:tcPr>
          <w:p w14:paraId="7999F022">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男</w:t>
            </w:r>
          </w:p>
        </w:tc>
        <w:tc>
          <w:tcPr>
            <w:tcW w:w="1371" w:type="dxa"/>
            <w:tcBorders>
              <w:top w:val="single" w:color="auto" w:sz="4" w:space="0"/>
              <w:left w:val="nil"/>
              <w:bottom w:val="single" w:color="auto" w:sz="4" w:space="0"/>
              <w:right w:val="single" w:color="auto" w:sz="4" w:space="0"/>
            </w:tcBorders>
            <w:vAlign w:val="center"/>
          </w:tcPr>
          <w:p w14:paraId="2A28DCD7">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化工安全</w:t>
            </w:r>
          </w:p>
        </w:tc>
        <w:tc>
          <w:tcPr>
            <w:tcW w:w="1815" w:type="dxa"/>
            <w:tcBorders>
              <w:top w:val="single" w:color="auto" w:sz="4" w:space="0"/>
              <w:left w:val="nil"/>
              <w:bottom w:val="single" w:color="auto" w:sz="4" w:space="0"/>
              <w:right w:val="single" w:color="auto" w:sz="4" w:space="0"/>
            </w:tcBorders>
            <w:vAlign w:val="center"/>
          </w:tcPr>
          <w:p w14:paraId="0E6D0951">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HSE经理/注安师</w:t>
            </w:r>
          </w:p>
        </w:tc>
        <w:tc>
          <w:tcPr>
            <w:tcW w:w="2370" w:type="dxa"/>
            <w:tcBorders>
              <w:top w:val="single" w:color="auto" w:sz="4" w:space="0"/>
              <w:left w:val="nil"/>
              <w:bottom w:val="single" w:color="auto" w:sz="4" w:space="0"/>
              <w:right w:val="single" w:color="auto" w:sz="4" w:space="0"/>
            </w:tcBorders>
            <w:vAlign w:val="center"/>
          </w:tcPr>
          <w:p w14:paraId="63D1E560">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万华化学集团股份有限公司</w:t>
            </w:r>
          </w:p>
        </w:tc>
        <w:tc>
          <w:tcPr>
            <w:tcW w:w="2102" w:type="dxa"/>
            <w:tcBorders>
              <w:top w:val="single" w:color="auto" w:sz="4" w:space="0"/>
              <w:left w:val="nil"/>
              <w:bottom w:val="single" w:color="auto" w:sz="4" w:space="0"/>
              <w:right w:val="single" w:color="auto" w:sz="4" w:space="0"/>
            </w:tcBorders>
            <w:vAlign w:val="center"/>
          </w:tcPr>
          <w:p w14:paraId="00E009F4">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18953558903</w:t>
            </w:r>
          </w:p>
        </w:tc>
      </w:tr>
      <w:tr w14:paraId="0DDA1F37">
        <w:tblPrEx>
          <w:tblCellMar>
            <w:top w:w="0" w:type="dxa"/>
            <w:left w:w="108" w:type="dxa"/>
            <w:bottom w:w="0" w:type="dxa"/>
            <w:right w:w="108" w:type="dxa"/>
          </w:tblCellMar>
        </w:tblPrEx>
        <w:trPr>
          <w:trHeight w:val="142"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08B58324">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6</w:t>
            </w:r>
          </w:p>
        </w:tc>
        <w:tc>
          <w:tcPr>
            <w:tcW w:w="1075" w:type="dxa"/>
            <w:tcBorders>
              <w:top w:val="single" w:color="auto" w:sz="4" w:space="0"/>
              <w:left w:val="nil"/>
              <w:bottom w:val="single" w:color="auto" w:sz="4" w:space="0"/>
              <w:right w:val="single" w:color="auto" w:sz="4" w:space="0"/>
            </w:tcBorders>
            <w:vAlign w:val="center"/>
          </w:tcPr>
          <w:p w14:paraId="2363484D">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王永军</w:t>
            </w:r>
          </w:p>
        </w:tc>
        <w:tc>
          <w:tcPr>
            <w:tcW w:w="659" w:type="dxa"/>
            <w:tcBorders>
              <w:top w:val="single" w:color="auto" w:sz="4" w:space="0"/>
              <w:left w:val="nil"/>
              <w:bottom w:val="single" w:color="auto" w:sz="4" w:space="0"/>
              <w:right w:val="single" w:color="auto" w:sz="4" w:space="0"/>
            </w:tcBorders>
            <w:vAlign w:val="center"/>
          </w:tcPr>
          <w:p w14:paraId="24BAAFA3">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男</w:t>
            </w:r>
          </w:p>
        </w:tc>
        <w:tc>
          <w:tcPr>
            <w:tcW w:w="1371" w:type="dxa"/>
            <w:tcBorders>
              <w:top w:val="single" w:color="auto" w:sz="4" w:space="0"/>
              <w:left w:val="nil"/>
              <w:bottom w:val="single" w:color="auto" w:sz="4" w:space="0"/>
              <w:right w:val="single" w:color="auto" w:sz="4" w:space="0"/>
            </w:tcBorders>
            <w:vAlign w:val="center"/>
          </w:tcPr>
          <w:p w14:paraId="19B98757">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化学工艺</w:t>
            </w:r>
          </w:p>
        </w:tc>
        <w:tc>
          <w:tcPr>
            <w:tcW w:w="1815" w:type="dxa"/>
            <w:tcBorders>
              <w:top w:val="single" w:color="auto" w:sz="4" w:space="0"/>
              <w:left w:val="nil"/>
              <w:bottom w:val="single" w:color="auto" w:sz="4" w:space="0"/>
              <w:right w:val="single" w:color="auto" w:sz="4" w:space="0"/>
            </w:tcBorders>
            <w:vAlign w:val="center"/>
          </w:tcPr>
          <w:p w14:paraId="433957C8">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副院长/高级工程师</w:t>
            </w:r>
          </w:p>
        </w:tc>
        <w:tc>
          <w:tcPr>
            <w:tcW w:w="2370" w:type="dxa"/>
            <w:tcBorders>
              <w:top w:val="single" w:color="auto" w:sz="4" w:space="0"/>
              <w:left w:val="nil"/>
              <w:bottom w:val="single" w:color="auto" w:sz="4" w:space="0"/>
              <w:right w:val="single" w:color="auto" w:sz="4" w:space="0"/>
            </w:tcBorders>
            <w:vAlign w:val="center"/>
          </w:tcPr>
          <w:p w14:paraId="7341C38E">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万华化学集团股份有限公司</w:t>
            </w:r>
          </w:p>
        </w:tc>
        <w:tc>
          <w:tcPr>
            <w:tcW w:w="2102" w:type="dxa"/>
            <w:tcBorders>
              <w:top w:val="single" w:color="auto" w:sz="4" w:space="0"/>
              <w:left w:val="nil"/>
              <w:bottom w:val="single" w:color="auto" w:sz="4" w:space="0"/>
              <w:right w:val="single" w:color="auto" w:sz="4" w:space="0"/>
            </w:tcBorders>
            <w:vAlign w:val="center"/>
          </w:tcPr>
          <w:p w14:paraId="4FB3927B">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18953558456</w:t>
            </w:r>
          </w:p>
        </w:tc>
      </w:tr>
      <w:tr w14:paraId="4E82557E">
        <w:tblPrEx>
          <w:tblCellMar>
            <w:top w:w="0" w:type="dxa"/>
            <w:left w:w="108" w:type="dxa"/>
            <w:bottom w:w="0" w:type="dxa"/>
            <w:right w:w="108" w:type="dxa"/>
          </w:tblCellMar>
        </w:tblPrEx>
        <w:trPr>
          <w:trHeight w:val="67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693C6543">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c>
          <w:tcPr>
            <w:tcW w:w="1075" w:type="dxa"/>
            <w:tcBorders>
              <w:top w:val="nil"/>
              <w:left w:val="nil"/>
              <w:bottom w:val="single" w:color="auto" w:sz="4" w:space="0"/>
              <w:right w:val="single" w:color="auto" w:sz="4" w:space="0"/>
            </w:tcBorders>
            <w:vAlign w:val="center"/>
          </w:tcPr>
          <w:p w14:paraId="750D62F9">
            <w:pPr>
              <w:widowControl/>
              <w:spacing w:line="500" w:lineRule="exact"/>
              <w:rPr>
                <w:rFonts w:ascii="仿宋_GB2312" w:hAnsi="宋体" w:eastAsia="仿宋_GB2312" w:cs="宋体"/>
                <w:kern w:val="0"/>
                <w:sz w:val="24"/>
              </w:rPr>
            </w:pPr>
            <w:r>
              <w:rPr>
                <w:rFonts w:hint="eastAsia" w:ascii="仿宋_GB2312" w:hAnsi="宋体" w:eastAsia="仿宋_GB2312" w:cs="宋体"/>
                <w:kern w:val="0"/>
                <w:sz w:val="24"/>
              </w:rPr>
              <w:t>贾卫国</w:t>
            </w:r>
          </w:p>
        </w:tc>
        <w:tc>
          <w:tcPr>
            <w:tcW w:w="659" w:type="dxa"/>
            <w:tcBorders>
              <w:top w:val="nil"/>
              <w:left w:val="nil"/>
              <w:bottom w:val="single" w:color="auto" w:sz="4" w:space="0"/>
              <w:right w:val="single" w:color="auto" w:sz="4" w:space="0"/>
            </w:tcBorders>
            <w:vAlign w:val="center"/>
          </w:tcPr>
          <w:p w14:paraId="0AE421A0">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男</w:t>
            </w:r>
          </w:p>
        </w:tc>
        <w:tc>
          <w:tcPr>
            <w:tcW w:w="1371" w:type="dxa"/>
            <w:tcBorders>
              <w:top w:val="nil"/>
              <w:left w:val="nil"/>
              <w:bottom w:val="single" w:color="auto" w:sz="4" w:space="0"/>
              <w:right w:val="single" w:color="auto" w:sz="4" w:space="0"/>
            </w:tcBorders>
            <w:vAlign w:val="center"/>
          </w:tcPr>
          <w:p w14:paraId="0B9DA78D">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消防安全</w:t>
            </w:r>
          </w:p>
        </w:tc>
        <w:tc>
          <w:tcPr>
            <w:tcW w:w="1815" w:type="dxa"/>
            <w:tcBorders>
              <w:top w:val="nil"/>
              <w:left w:val="nil"/>
              <w:bottom w:val="single" w:color="auto" w:sz="4" w:space="0"/>
              <w:right w:val="single" w:color="auto" w:sz="4" w:space="0"/>
            </w:tcBorders>
            <w:vAlign w:val="center"/>
          </w:tcPr>
          <w:p w14:paraId="40AE5C77">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消防站站长</w:t>
            </w:r>
          </w:p>
        </w:tc>
        <w:tc>
          <w:tcPr>
            <w:tcW w:w="2370" w:type="dxa"/>
            <w:tcBorders>
              <w:top w:val="nil"/>
              <w:left w:val="nil"/>
              <w:bottom w:val="single" w:color="auto" w:sz="4" w:space="0"/>
              <w:right w:val="single" w:color="auto" w:sz="4" w:space="0"/>
            </w:tcBorders>
            <w:vAlign w:val="center"/>
          </w:tcPr>
          <w:p w14:paraId="2279825B">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万华化学集团股份有限公司</w:t>
            </w:r>
          </w:p>
        </w:tc>
        <w:tc>
          <w:tcPr>
            <w:tcW w:w="2102" w:type="dxa"/>
            <w:tcBorders>
              <w:top w:val="nil"/>
              <w:left w:val="nil"/>
              <w:bottom w:val="single" w:color="auto" w:sz="4" w:space="0"/>
              <w:right w:val="single" w:color="auto" w:sz="4" w:space="0"/>
            </w:tcBorders>
            <w:vAlign w:val="center"/>
          </w:tcPr>
          <w:p w14:paraId="4A1C2270">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18153517119</w:t>
            </w:r>
          </w:p>
        </w:tc>
      </w:tr>
      <w:tr w14:paraId="1A90E4AC">
        <w:tblPrEx>
          <w:tblCellMar>
            <w:top w:w="0" w:type="dxa"/>
            <w:left w:w="108" w:type="dxa"/>
            <w:bottom w:w="0" w:type="dxa"/>
            <w:right w:w="108" w:type="dxa"/>
          </w:tblCellMar>
        </w:tblPrEx>
        <w:trPr>
          <w:trHeight w:val="67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5034B39F">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c>
          <w:tcPr>
            <w:tcW w:w="1075" w:type="dxa"/>
            <w:tcBorders>
              <w:top w:val="single" w:color="auto" w:sz="4" w:space="0"/>
              <w:left w:val="nil"/>
              <w:bottom w:val="single" w:color="auto" w:sz="4" w:space="0"/>
              <w:right w:val="single" w:color="auto" w:sz="4" w:space="0"/>
            </w:tcBorders>
            <w:vAlign w:val="center"/>
          </w:tcPr>
          <w:p w14:paraId="761B23E2">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丁殿智</w:t>
            </w:r>
          </w:p>
        </w:tc>
        <w:tc>
          <w:tcPr>
            <w:tcW w:w="659" w:type="dxa"/>
            <w:tcBorders>
              <w:top w:val="single" w:color="auto" w:sz="4" w:space="0"/>
              <w:left w:val="nil"/>
              <w:bottom w:val="single" w:color="auto" w:sz="4" w:space="0"/>
              <w:right w:val="single" w:color="auto" w:sz="4" w:space="0"/>
            </w:tcBorders>
            <w:vAlign w:val="center"/>
          </w:tcPr>
          <w:p w14:paraId="224FC93A">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男</w:t>
            </w:r>
          </w:p>
        </w:tc>
        <w:tc>
          <w:tcPr>
            <w:tcW w:w="1371" w:type="dxa"/>
            <w:tcBorders>
              <w:top w:val="single" w:color="auto" w:sz="4" w:space="0"/>
              <w:left w:val="nil"/>
              <w:bottom w:val="single" w:color="auto" w:sz="4" w:space="0"/>
              <w:right w:val="single" w:color="auto" w:sz="4" w:space="0"/>
            </w:tcBorders>
            <w:vAlign w:val="center"/>
          </w:tcPr>
          <w:p w14:paraId="1BFC47F9">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有机化工工艺</w:t>
            </w:r>
          </w:p>
        </w:tc>
        <w:tc>
          <w:tcPr>
            <w:tcW w:w="1815" w:type="dxa"/>
            <w:tcBorders>
              <w:top w:val="single" w:color="auto" w:sz="4" w:space="0"/>
              <w:left w:val="nil"/>
              <w:bottom w:val="single" w:color="auto" w:sz="4" w:space="0"/>
              <w:right w:val="single" w:color="auto" w:sz="4" w:space="0"/>
            </w:tcBorders>
            <w:vAlign w:val="center"/>
          </w:tcPr>
          <w:p w14:paraId="2CBAE73A">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安全总监/注安师</w:t>
            </w:r>
          </w:p>
        </w:tc>
        <w:tc>
          <w:tcPr>
            <w:tcW w:w="2370" w:type="dxa"/>
            <w:tcBorders>
              <w:top w:val="single" w:color="auto" w:sz="4" w:space="0"/>
              <w:left w:val="nil"/>
              <w:bottom w:val="single" w:color="auto" w:sz="4" w:space="0"/>
              <w:right w:val="single" w:color="auto" w:sz="4" w:space="0"/>
            </w:tcBorders>
            <w:vAlign w:val="center"/>
          </w:tcPr>
          <w:p w14:paraId="5F727574">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烟台万华成达化学有限公司</w:t>
            </w:r>
          </w:p>
        </w:tc>
        <w:tc>
          <w:tcPr>
            <w:tcW w:w="2102" w:type="dxa"/>
            <w:tcBorders>
              <w:top w:val="single" w:color="auto" w:sz="4" w:space="0"/>
              <w:left w:val="nil"/>
              <w:bottom w:val="single" w:color="auto" w:sz="4" w:space="0"/>
              <w:right w:val="single" w:color="auto" w:sz="4" w:space="0"/>
            </w:tcBorders>
            <w:vAlign w:val="center"/>
          </w:tcPr>
          <w:p w14:paraId="72763281">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13954599016</w:t>
            </w:r>
          </w:p>
        </w:tc>
      </w:tr>
      <w:tr w14:paraId="7580F5DA">
        <w:tblPrEx>
          <w:tblCellMar>
            <w:top w:w="0" w:type="dxa"/>
            <w:left w:w="108" w:type="dxa"/>
            <w:bottom w:w="0" w:type="dxa"/>
            <w:right w:w="108" w:type="dxa"/>
          </w:tblCellMar>
        </w:tblPrEx>
        <w:trPr>
          <w:trHeight w:val="67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061E0E30">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9</w:t>
            </w:r>
          </w:p>
        </w:tc>
        <w:tc>
          <w:tcPr>
            <w:tcW w:w="1075" w:type="dxa"/>
            <w:tcBorders>
              <w:top w:val="single" w:color="auto" w:sz="4" w:space="0"/>
              <w:left w:val="nil"/>
              <w:bottom w:val="single" w:color="auto" w:sz="4" w:space="0"/>
              <w:right w:val="single" w:color="auto" w:sz="4" w:space="0"/>
            </w:tcBorders>
            <w:vAlign w:val="center"/>
          </w:tcPr>
          <w:p w14:paraId="0B5F3C4E">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齐风云</w:t>
            </w:r>
          </w:p>
        </w:tc>
        <w:tc>
          <w:tcPr>
            <w:tcW w:w="659" w:type="dxa"/>
            <w:tcBorders>
              <w:top w:val="single" w:color="auto" w:sz="4" w:space="0"/>
              <w:left w:val="nil"/>
              <w:bottom w:val="single" w:color="auto" w:sz="4" w:space="0"/>
              <w:right w:val="single" w:color="auto" w:sz="4" w:space="0"/>
            </w:tcBorders>
            <w:vAlign w:val="center"/>
          </w:tcPr>
          <w:p w14:paraId="6EC5C0E8">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女</w:t>
            </w:r>
          </w:p>
        </w:tc>
        <w:tc>
          <w:tcPr>
            <w:tcW w:w="1371" w:type="dxa"/>
            <w:tcBorders>
              <w:top w:val="single" w:color="auto" w:sz="4" w:space="0"/>
              <w:left w:val="nil"/>
              <w:bottom w:val="single" w:color="auto" w:sz="4" w:space="0"/>
              <w:right w:val="single" w:color="auto" w:sz="4" w:space="0"/>
            </w:tcBorders>
            <w:vAlign w:val="center"/>
          </w:tcPr>
          <w:p w14:paraId="6DFC7AFD">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化工工艺</w:t>
            </w:r>
          </w:p>
        </w:tc>
        <w:tc>
          <w:tcPr>
            <w:tcW w:w="1815" w:type="dxa"/>
            <w:tcBorders>
              <w:top w:val="single" w:color="auto" w:sz="4" w:space="0"/>
              <w:left w:val="nil"/>
              <w:bottom w:val="single" w:color="auto" w:sz="4" w:space="0"/>
              <w:right w:val="single" w:color="auto" w:sz="4" w:space="0"/>
            </w:tcBorders>
            <w:vAlign w:val="center"/>
          </w:tcPr>
          <w:p w14:paraId="65C3248E">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安全主管/注安师</w:t>
            </w:r>
          </w:p>
        </w:tc>
        <w:tc>
          <w:tcPr>
            <w:tcW w:w="2370" w:type="dxa"/>
            <w:tcBorders>
              <w:top w:val="single" w:color="auto" w:sz="4" w:space="0"/>
              <w:left w:val="nil"/>
              <w:bottom w:val="single" w:color="auto" w:sz="4" w:space="0"/>
              <w:right w:val="single" w:color="auto" w:sz="4" w:space="0"/>
            </w:tcBorders>
            <w:vAlign w:val="center"/>
          </w:tcPr>
          <w:p w14:paraId="0FF0EA3C">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烟台万华氯碱有限责任公司</w:t>
            </w:r>
          </w:p>
        </w:tc>
        <w:tc>
          <w:tcPr>
            <w:tcW w:w="2102" w:type="dxa"/>
            <w:tcBorders>
              <w:top w:val="single" w:color="auto" w:sz="4" w:space="0"/>
              <w:left w:val="nil"/>
              <w:bottom w:val="single" w:color="auto" w:sz="4" w:space="0"/>
              <w:right w:val="single" w:color="auto" w:sz="4" w:space="0"/>
            </w:tcBorders>
            <w:vAlign w:val="center"/>
          </w:tcPr>
          <w:p w14:paraId="672DEBE3">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15552253381</w:t>
            </w:r>
          </w:p>
        </w:tc>
      </w:tr>
      <w:tr w14:paraId="6FAC8416">
        <w:tblPrEx>
          <w:tblCellMar>
            <w:top w:w="0" w:type="dxa"/>
            <w:left w:w="108" w:type="dxa"/>
            <w:bottom w:w="0" w:type="dxa"/>
            <w:right w:w="108" w:type="dxa"/>
          </w:tblCellMar>
        </w:tblPrEx>
        <w:trPr>
          <w:trHeight w:val="675" w:hRule="atLeast"/>
          <w:jc w:val="center"/>
        </w:trPr>
        <w:tc>
          <w:tcPr>
            <w:tcW w:w="813" w:type="dxa"/>
            <w:tcBorders>
              <w:top w:val="nil"/>
              <w:left w:val="single" w:color="auto" w:sz="4" w:space="0"/>
              <w:bottom w:val="single" w:color="auto" w:sz="4" w:space="0"/>
              <w:right w:val="single" w:color="auto" w:sz="4" w:space="0"/>
            </w:tcBorders>
            <w:vAlign w:val="center"/>
          </w:tcPr>
          <w:p w14:paraId="6A5EAF40">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10</w:t>
            </w:r>
          </w:p>
        </w:tc>
        <w:tc>
          <w:tcPr>
            <w:tcW w:w="1075" w:type="dxa"/>
            <w:tcBorders>
              <w:top w:val="nil"/>
              <w:left w:val="nil"/>
              <w:bottom w:val="single" w:color="auto" w:sz="4" w:space="0"/>
              <w:right w:val="single" w:color="auto" w:sz="4" w:space="0"/>
            </w:tcBorders>
            <w:vAlign w:val="center"/>
          </w:tcPr>
          <w:p w14:paraId="799BBB03">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赖积发</w:t>
            </w:r>
          </w:p>
        </w:tc>
        <w:tc>
          <w:tcPr>
            <w:tcW w:w="659" w:type="dxa"/>
            <w:tcBorders>
              <w:top w:val="nil"/>
              <w:left w:val="nil"/>
              <w:bottom w:val="single" w:color="auto" w:sz="4" w:space="0"/>
              <w:right w:val="single" w:color="auto" w:sz="4" w:space="0"/>
            </w:tcBorders>
            <w:vAlign w:val="center"/>
          </w:tcPr>
          <w:p w14:paraId="0B381C2F">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男</w:t>
            </w:r>
          </w:p>
        </w:tc>
        <w:tc>
          <w:tcPr>
            <w:tcW w:w="1371" w:type="dxa"/>
            <w:tcBorders>
              <w:top w:val="nil"/>
              <w:left w:val="nil"/>
              <w:bottom w:val="single" w:color="auto" w:sz="4" w:space="0"/>
              <w:right w:val="single" w:color="auto" w:sz="4" w:space="0"/>
            </w:tcBorders>
            <w:vAlign w:val="center"/>
          </w:tcPr>
          <w:p w14:paraId="08F82218">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有机化工</w:t>
            </w:r>
          </w:p>
        </w:tc>
        <w:tc>
          <w:tcPr>
            <w:tcW w:w="1815" w:type="dxa"/>
            <w:tcBorders>
              <w:top w:val="nil"/>
              <w:left w:val="nil"/>
              <w:bottom w:val="single" w:color="auto" w:sz="4" w:space="0"/>
              <w:right w:val="single" w:color="auto" w:sz="4" w:space="0"/>
            </w:tcBorders>
            <w:vAlign w:val="center"/>
          </w:tcPr>
          <w:p w14:paraId="23EBF344">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高级工程师</w:t>
            </w:r>
          </w:p>
        </w:tc>
        <w:tc>
          <w:tcPr>
            <w:tcW w:w="2370" w:type="dxa"/>
            <w:tcBorders>
              <w:top w:val="nil"/>
              <w:left w:val="nil"/>
              <w:bottom w:val="single" w:color="auto" w:sz="4" w:space="0"/>
              <w:right w:val="single" w:color="auto" w:sz="4" w:space="0"/>
            </w:tcBorders>
            <w:vAlign w:val="center"/>
          </w:tcPr>
          <w:p w14:paraId="1B12B012">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山东省化工研究院</w:t>
            </w:r>
          </w:p>
        </w:tc>
        <w:tc>
          <w:tcPr>
            <w:tcW w:w="2102" w:type="dxa"/>
            <w:tcBorders>
              <w:top w:val="nil"/>
              <w:left w:val="nil"/>
              <w:bottom w:val="single" w:color="auto" w:sz="4" w:space="0"/>
              <w:right w:val="single" w:color="auto" w:sz="4" w:space="0"/>
            </w:tcBorders>
            <w:vAlign w:val="center"/>
          </w:tcPr>
          <w:p w14:paraId="4053DA69">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13863855089</w:t>
            </w:r>
          </w:p>
        </w:tc>
      </w:tr>
      <w:tr w14:paraId="1E6594D1">
        <w:tblPrEx>
          <w:tblCellMar>
            <w:top w:w="0" w:type="dxa"/>
            <w:left w:w="108" w:type="dxa"/>
            <w:bottom w:w="0" w:type="dxa"/>
            <w:right w:w="108" w:type="dxa"/>
          </w:tblCellMar>
        </w:tblPrEx>
        <w:trPr>
          <w:trHeight w:val="45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70E9313D">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11</w:t>
            </w:r>
          </w:p>
        </w:tc>
        <w:tc>
          <w:tcPr>
            <w:tcW w:w="1075" w:type="dxa"/>
            <w:tcBorders>
              <w:top w:val="single" w:color="auto" w:sz="4" w:space="0"/>
              <w:left w:val="single" w:color="auto" w:sz="4" w:space="0"/>
              <w:bottom w:val="single" w:color="auto" w:sz="4" w:space="0"/>
              <w:right w:val="single" w:color="auto" w:sz="4" w:space="0"/>
            </w:tcBorders>
            <w:vAlign w:val="center"/>
          </w:tcPr>
          <w:p w14:paraId="7D96487C">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王文璧</w:t>
            </w:r>
          </w:p>
        </w:tc>
        <w:tc>
          <w:tcPr>
            <w:tcW w:w="659" w:type="dxa"/>
            <w:tcBorders>
              <w:top w:val="single" w:color="auto" w:sz="4" w:space="0"/>
              <w:left w:val="single" w:color="auto" w:sz="4" w:space="0"/>
              <w:bottom w:val="single" w:color="auto" w:sz="4" w:space="0"/>
              <w:right w:val="single" w:color="auto" w:sz="4" w:space="0"/>
            </w:tcBorders>
            <w:vAlign w:val="center"/>
          </w:tcPr>
          <w:p w14:paraId="27C2A408">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男</w:t>
            </w:r>
          </w:p>
        </w:tc>
        <w:tc>
          <w:tcPr>
            <w:tcW w:w="1371" w:type="dxa"/>
            <w:tcBorders>
              <w:top w:val="single" w:color="auto" w:sz="4" w:space="0"/>
              <w:left w:val="single" w:color="auto" w:sz="4" w:space="0"/>
              <w:bottom w:val="single" w:color="auto" w:sz="4" w:space="0"/>
              <w:right w:val="single" w:color="auto" w:sz="4" w:space="0"/>
            </w:tcBorders>
            <w:vAlign w:val="center"/>
          </w:tcPr>
          <w:p w14:paraId="0B8D7788">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安全储运</w:t>
            </w:r>
          </w:p>
        </w:tc>
        <w:tc>
          <w:tcPr>
            <w:tcW w:w="1815" w:type="dxa"/>
            <w:tcBorders>
              <w:top w:val="single" w:color="auto" w:sz="4" w:space="0"/>
              <w:left w:val="single" w:color="auto" w:sz="4" w:space="0"/>
              <w:bottom w:val="single" w:color="auto" w:sz="4" w:space="0"/>
              <w:right w:val="single" w:color="auto" w:sz="4" w:space="0"/>
            </w:tcBorders>
            <w:vAlign w:val="center"/>
          </w:tcPr>
          <w:p w14:paraId="7FDF2706">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安全经理/工程师</w:t>
            </w:r>
          </w:p>
        </w:tc>
        <w:tc>
          <w:tcPr>
            <w:tcW w:w="2370" w:type="dxa"/>
            <w:tcBorders>
              <w:top w:val="single" w:color="auto" w:sz="4" w:space="0"/>
              <w:left w:val="single" w:color="auto" w:sz="4" w:space="0"/>
              <w:bottom w:val="single" w:color="auto" w:sz="4" w:space="0"/>
              <w:right w:val="single" w:color="auto" w:sz="4" w:space="0"/>
            </w:tcBorders>
            <w:vAlign w:val="center"/>
          </w:tcPr>
          <w:p w14:paraId="384A2611">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中石油烟台销售分公司</w:t>
            </w:r>
          </w:p>
        </w:tc>
        <w:tc>
          <w:tcPr>
            <w:tcW w:w="2102" w:type="dxa"/>
            <w:tcBorders>
              <w:top w:val="single" w:color="auto" w:sz="4" w:space="0"/>
              <w:left w:val="single" w:color="auto" w:sz="4" w:space="0"/>
              <w:bottom w:val="single" w:color="auto" w:sz="4" w:space="0"/>
              <w:right w:val="single" w:color="auto" w:sz="4" w:space="0"/>
            </w:tcBorders>
            <w:vAlign w:val="center"/>
          </w:tcPr>
          <w:p w14:paraId="243BF192">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18660533866</w:t>
            </w:r>
          </w:p>
        </w:tc>
      </w:tr>
      <w:tr w14:paraId="15E48590">
        <w:tblPrEx>
          <w:tblCellMar>
            <w:top w:w="0" w:type="dxa"/>
            <w:left w:w="108" w:type="dxa"/>
            <w:bottom w:w="0" w:type="dxa"/>
            <w:right w:w="108" w:type="dxa"/>
          </w:tblCellMar>
        </w:tblPrEx>
        <w:trPr>
          <w:trHeight w:val="45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53F543A7">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12</w:t>
            </w:r>
          </w:p>
        </w:tc>
        <w:tc>
          <w:tcPr>
            <w:tcW w:w="1075" w:type="dxa"/>
            <w:tcBorders>
              <w:top w:val="single" w:color="auto" w:sz="4" w:space="0"/>
              <w:left w:val="single" w:color="auto" w:sz="4" w:space="0"/>
              <w:bottom w:val="single" w:color="auto" w:sz="4" w:space="0"/>
              <w:right w:val="single" w:color="auto" w:sz="4" w:space="0"/>
            </w:tcBorders>
            <w:vAlign w:val="center"/>
          </w:tcPr>
          <w:p w14:paraId="02E7AC66">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师广福</w:t>
            </w:r>
          </w:p>
        </w:tc>
        <w:tc>
          <w:tcPr>
            <w:tcW w:w="659" w:type="dxa"/>
            <w:tcBorders>
              <w:top w:val="single" w:color="auto" w:sz="4" w:space="0"/>
              <w:left w:val="single" w:color="auto" w:sz="4" w:space="0"/>
              <w:bottom w:val="single" w:color="auto" w:sz="4" w:space="0"/>
              <w:right w:val="single" w:color="auto" w:sz="4" w:space="0"/>
            </w:tcBorders>
            <w:vAlign w:val="center"/>
          </w:tcPr>
          <w:p w14:paraId="6F9BB0CD">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男</w:t>
            </w:r>
          </w:p>
        </w:tc>
        <w:tc>
          <w:tcPr>
            <w:tcW w:w="1371" w:type="dxa"/>
            <w:tcBorders>
              <w:top w:val="single" w:color="auto" w:sz="4" w:space="0"/>
              <w:left w:val="single" w:color="auto" w:sz="4" w:space="0"/>
              <w:bottom w:val="single" w:color="auto" w:sz="4" w:space="0"/>
              <w:right w:val="single" w:color="auto" w:sz="4" w:space="0"/>
            </w:tcBorders>
            <w:vAlign w:val="center"/>
          </w:tcPr>
          <w:p w14:paraId="142ED93C">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会计学</w:t>
            </w:r>
          </w:p>
        </w:tc>
        <w:tc>
          <w:tcPr>
            <w:tcW w:w="1815" w:type="dxa"/>
            <w:tcBorders>
              <w:top w:val="single" w:color="auto" w:sz="4" w:space="0"/>
              <w:left w:val="single" w:color="auto" w:sz="4" w:space="0"/>
              <w:bottom w:val="single" w:color="auto" w:sz="4" w:space="0"/>
              <w:right w:val="single" w:color="auto" w:sz="4" w:space="0"/>
            </w:tcBorders>
            <w:vAlign w:val="center"/>
          </w:tcPr>
          <w:p w14:paraId="317638D2">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安全总监/工程师</w:t>
            </w:r>
          </w:p>
        </w:tc>
        <w:tc>
          <w:tcPr>
            <w:tcW w:w="2370" w:type="dxa"/>
            <w:tcBorders>
              <w:top w:val="single" w:color="auto" w:sz="4" w:space="0"/>
              <w:left w:val="single" w:color="auto" w:sz="4" w:space="0"/>
              <w:bottom w:val="single" w:color="auto" w:sz="4" w:space="0"/>
              <w:right w:val="single" w:color="auto" w:sz="4" w:space="0"/>
            </w:tcBorders>
            <w:vAlign w:val="center"/>
          </w:tcPr>
          <w:p w14:paraId="5CC04CAC">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中石化烟台石油分公司</w:t>
            </w:r>
          </w:p>
        </w:tc>
        <w:tc>
          <w:tcPr>
            <w:tcW w:w="2102" w:type="dxa"/>
            <w:tcBorders>
              <w:top w:val="single" w:color="auto" w:sz="4" w:space="0"/>
              <w:left w:val="single" w:color="auto" w:sz="4" w:space="0"/>
              <w:bottom w:val="single" w:color="auto" w:sz="4" w:space="0"/>
              <w:right w:val="single" w:color="auto" w:sz="4" w:space="0"/>
            </w:tcBorders>
            <w:vAlign w:val="center"/>
          </w:tcPr>
          <w:p w14:paraId="7519469C">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18254508111</w:t>
            </w:r>
          </w:p>
        </w:tc>
      </w:tr>
      <w:tr w14:paraId="15A76F40">
        <w:tblPrEx>
          <w:tblCellMar>
            <w:top w:w="0" w:type="dxa"/>
            <w:left w:w="108" w:type="dxa"/>
            <w:bottom w:w="0" w:type="dxa"/>
            <w:right w:w="108" w:type="dxa"/>
          </w:tblCellMar>
        </w:tblPrEx>
        <w:trPr>
          <w:trHeight w:val="45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4BFE2442">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13</w:t>
            </w:r>
          </w:p>
        </w:tc>
        <w:tc>
          <w:tcPr>
            <w:tcW w:w="1075" w:type="dxa"/>
            <w:tcBorders>
              <w:top w:val="single" w:color="auto" w:sz="4" w:space="0"/>
              <w:left w:val="single" w:color="auto" w:sz="4" w:space="0"/>
              <w:bottom w:val="single" w:color="auto" w:sz="4" w:space="0"/>
              <w:right w:val="single" w:color="auto" w:sz="4" w:space="0"/>
            </w:tcBorders>
            <w:vAlign w:val="center"/>
          </w:tcPr>
          <w:p w14:paraId="2225BBA7">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张明起</w:t>
            </w:r>
          </w:p>
        </w:tc>
        <w:tc>
          <w:tcPr>
            <w:tcW w:w="659" w:type="dxa"/>
            <w:tcBorders>
              <w:top w:val="single" w:color="auto" w:sz="4" w:space="0"/>
              <w:left w:val="single" w:color="auto" w:sz="4" w:space="0"/>
              <w:bottom w:val="single" w:color="auto" w:sz="4" w:space="0"/>
              <w:right w:val="single" w:color="auto" w:sz="4" w:space="0"/>
            </w:tcBorders>
            <w:vAlign w:val="center"/>
          </w:tcPr>
          <w:p w14:paraId="77837DD2">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男</w:t>
            </w:r>
          </w:p>
        </w:tc>
        <w:tc>
          <w:tcPr>
            <w:tcW w:w="1371" w:type="dxa"/>
            <w:tcBorders>
              <w:top w:val="single" w:color="auto" w:sz="4" w:space="0"/>
              <w:left w:val="single" w:color="auto" w:sz="4" w:space="0"/>
              <w:bottom w:val="single" w:color="auto" w:sz="4" w:space="0"/>
              <w:right w:val="single" w:color="auto" w:sz="4" w:space="0"/>
            </w:tcBorders>
            <w:vAlign w:val="center"/>
          </w:tcPr>
          <w:p w14:paraId="484C881D">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化学化工</w:t>
            </w:r>
          </w:p>
        </w:tc>
        <w:tc>
          <w:tcPr>
            <w:tcW w:w="1815" w:type="dxa"/>
            <w:tcBorders>
              <w:top w:val="single" w:color="auto" w:sz="4" w:space="0"/>
              <w:left w:val="single" w:color="auto" w:sz="4" w:space="0"/>
              <w:bottom w:val="single" w:color="auto" w:sz="4" w:space="0"/>
              <w:right w:val="single" w:color="auto" w:sz="4" w:space="0"/>
            </w:tcBorders>
            <w:vAlign w:val="center"/>
          </w:tcPr>
          <w:p w14:paraId="2CE1AF28">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安全总监/工程师</w:t>
            </w:r>
          </w:p>
        </w:tc>
        <w:tc>
          <w:tcPr>
            <w:tcW w:w="2370" w:type="dxa"/>
            <w:tcBorders>
              <w:top w:val="single" w:color="auto" w:sz="4" w:space="0"/>
              <w:left w:val="single" w:color="auto" w:sz="4" w:space="0"/>
              <w:bottom w:val="single" w:color="auto" w:sz="4" w:space="0"/>
              <w:right w:val="single" w:color="auto" w:sz="4" w:space="0"/>
            </w:tcBorders>
            <w:vAlign w:val="center"/>
          </w:tcPr>
          <w:p w14:paraId="06586484">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烟台巨力精细化工股份有限公司</w:t>
            </w:r>
          </w:p>
        </w:tc>
        <w:tc>
          <w:tcPr>
            <w:tcW w:w="2102" w:type="dxa"/>
            <w:tcBorders>
              <w:top w:val="single" w:color="auto" w:sz="4" w:space="0"/>
              <w:left w:val="single" w:color="auto" w:sz="4" w:space="0"/>
              <w:bottom w:val="single" w:color="auto" w:sz="4" w:space="0"/>
              <w:right w:val="single" w:color="auto" w:sz="4" w:space="0"/>
            </w:tcBorders>
            <w:vAlign w:val="center"/>
          </w:tcPr>
          <w:p w14:paraId="3E0BF0E1">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18553568727</w:t>
            </w:r>
          </w:p>
        </w:tc>
      </w:tr>
      <w:tr w14:paraId="403148BB">
        <w:tblPrEx>
          <w:tblCellMar>
            <w:top w:w="0" w:type="dxa"/>
            <w:left w:w="108" w:type="dxa"/>
            <w:bottom w:w="0" w:type="dxa"/>
            <w:right w:w="108" w:type="dxa"/>
          </w:tblCellMar>
        </w:tblPrEx>
        <w:trPr>
          <w:trHeight w:val="67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4F9EFE28">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14</w:t>
            </w:r>
          </w:p>
        </w:tc>
        <w:tc>
          <w:tcPr>
            <w:tcW w:w="1075" w:type="dxa"/>
            <w:tcBorders>
              <w:top w:val="single" w:color="auto" w:sz="4" w:space="0"/>
              <w:left w:val="single" w:color="auto" w:sz="4" w:space="0"/>
              <w:bottom w:val="single" w:color="auto" w:sz="4" w:space="0"/>
              <w:right w:val="single" w:color="auto" w:sz="4" w:space="0"/>
            </w:tcBorders>
            <w:vAlign w:val="center"/>
          </w:tcPr>
          <w:p w14:paraId="2971F2E3">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张 玲</w:t>
            </w:r>
          </w:p>
        </w:tc>
        <w:tc>
          <w:tcPr>
            <w:tcW w:w="659" w:type="dxa"/>
            <w:tcBorders>
              <w:top w:val="single" w:color="auto" w:sz="4" w:space="0"/>
              <w:left w:val="single" w:color="auto" w:sz="4" w:space="0"/>
              <w:bottom w:val="single" w:color="auto" w:sz="4" w:space="0"/>
              <w:right w:val="single" w:color="auto" w:sz="4" w:space="0"/>
            </w:tcBorders>
            <w:vAlign w:val="center"/>
          </w:tcPr>
          <w:p w14:paraId="579229D0">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女</w:t>
            </w:r>
          </w:p>
        </w:tc>
        <w:tc>
          <w:tcPr>
            <w:tcW w:w="1371" w:type="dxa"/>
            <w:tcBorders>
              <w:top w:val="single" w:color="auto" w:sz="4" w:space="0"/>
              <w:left w:val="single" w:color="auto" w:sz="4" w:space="0"/>
              <w:bottom w:val="single" w:color="auto" w:sz="4" w:space="0"/>
              <w:right w:val="single" w:color="auto" w:sz="4" w:space="0"/>
            </w:tcBorders>
            <w:vAlign w:val="center"/>
          </w:tcPr>
          <w:p w14:paraId="309D5B5A">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化工工艺</w:t>
            </w:r>
          </w:p>
        </w:tc>
        <w:tc>
          <w:tcPr>
            <w:tcW w:w="1815" w:type="dxa"/>
            <w:tcBorders>
              <w:top w:val="single" w:color="auto" w:sz="4" w:space="0"/>
              <w:left w:val="single" w:color="auto" w:sz="4" w:space="0"/>
              <w:bottom w:val="single" w:color="auto" w:sz="4" w:space="0"/>
              <w:right w:val="single" w:color="auto" w:sz="4" w:space="0"/>
            </w:tcBorders>
            <w:vAlign w:val="center"/>
          </w:tcPr>
          <w:p w14:paraId="3F352F1B">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总工/高级工程师</w:t>
            </w:r>
          </w:p>
        </w:tc>
        <w:tc>
          <w:tcPr>
            <w:tcW w:w="2370" w:type="dxa"/>
            <w:tcBorders>
              <w:top w:val="single" w:color="auto" w:sz="4" w:space="0"/>
              <w:left w:val="single" w:color="auto" w:sz="4" w:space="0"/>
              <w:bottom w:val="single" w:color="auto" w:sz="4" w:space="0"/>
              <w:right w:val="single" w:color="auto" w:sz="4" w:space="0"/>
            </w:tcBorders>
            <w:vAlign w:val="center"/>
          </w:tcPr>
          <w:p w14:paraId="230FD68B">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山东福尔有限公司</w:t>
            </w:r>
          </w:p>
        </w:tc>
        <w:tc>
          <w:tcPr>
            <w:tcW w:w="2102" w:type="dxa"/>
            <w:tcBorders>
              <w:top w:val="single" w:color="auto" w:sz="4" w:space="0"/>
              <w:left w:val="single" w:color="auto" w:sz="4" w:space="0"/>
              <w:bottom w:val="single" w:color="auto" w:sz="4" w:space="0"/>
              <w:right w:val="single" w:color="auto" w:sz="4" w:space="0"/>
            </w:tcBorders>
            <w:vAlign w:val="center"/>
          </w:tcPr>
          <w:p w14:paraId="462060BD">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13562527333</w:t>
            </w:r>
          </w:p>
        </w:tc>
      </w:tr>
      <w:tr w14:paraId="47DFE3F7">
        <w:tblPrEx>
          <w:tblCellMar>
            <w:top w:w="0" w:type="dxa"/>
            <w:left w:w="108" w:type="dxa"/>
            <w:bottom w:w="0" w:type="dxa"/>
            <w:right w:w="108" w:type="dxa"/>
          </w:tblCellMar>
        </w:tblPrEx>
        <w:trPr>
          <w:trHeight w:val="67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7DF2BCF7">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15</w:t>
            </w:r>
          </w:p>
        </w:tc>
        <w:tc>
          <w:tcPr>
            <w:tcW w:w="1075" w:type="dxa"/>
            <w:tcBorders>
              <w:top w:val="single" w:color="auto" w:sz="4" w:space="0"/>
              <w:left w:val="single" w:color="auto" w:sz="4" w:space="0"/>
              <w:bottom w:val="single" w:color="auto" w:sz="4" w:space="0"/>
              <w:right w:val="single" w:color="auto" w:sz="4" w:space="0"/>
            </w:tcBorders>
            <w:vAlign w:val="center"/>
          </w:tcPr>
          <w:p w14:paraId="07C61E0A">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栾秀丽</w:t>
            </w:r>
          </w:p>
        </w:tc>
        <w:tc>
          <w:tcPr>
            <w:tcW w:w="659" w:type="dxa"/>
            <w:tcBorders>
              <w:top w:val="single" w:color="auto" w:sz="4" w:space="0"/>
              <w:left w:val="single" w:color="auto" w:sz="4" w:space="0"/>
              <w:bottom w:val="single" w:color="auto" w:sz="4" w:space="0"/>
              <w:right w:val="single" w:color="auto" w:sz="4" w:space="0"/>
            </w:tcBorders>
            <w:vAlign w:val="center"/>
          </w:tcPr>
          <w:p w14:paraId="2E8BE6D4">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女</w:t>
            </w:r>
          </w:p>
        </w:tc>
        <w:tc>
          <w:tcPr>
            <w:tcW w:w="1371" w:type="dxa"/>
            <w:tcBorders>
              <w:top w:val="single" w:color="auto" w:sz="4" w:space="0"/>
              <w:left w:val="single" w:color="auto" w:sz="4" w:space="0"/>
              <w:bottom w:val="single" w:color="auto" w:sz="4" w:space="0"/>
              <w:right w:val="single" w:color="auto" w:sz="4" w:space="0"/>
            </w:tcBorders>
            <w:vAlign w:val="center"/>
          </w:tcPr>
          <w:p w14:paraId="47CFBD7D">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生产过程自动化</w:t>
            </w:r>
          </w:p>
        </w:tc>
        <w:tc>
          <w:tcPr>
            <w:tcW w:w="1815" w:type="dxa"/>
            <w:tcBorders>
              <w:top w:val="single" w:color="auto" w:sz="4" w:space="0"/>
              <w:left w:val="single" w:color="auto" w:sz="4" w:space="0"/>
              <w:bottom w:val="single" w:color="auto" w:sz="4" w:space="0"/>
              <w:right w:val="single" w:color="auto" w:sz="4" w:space="0"/>
            </w:tcBorders>
            <w:vAlign w:val="center"/>
          </w:tcPr>
          <w:p w14:paraId="35125CAF">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技术部长/工程师</w:t>
            </w:r>
          </w:p>
        </w:tc>
        <w:tc>
          <w:tcPr>
            <w:tcW w:w="2370" w:type="dxa"/>
            <w:tcBorders>
              <w:top w:val="single" w:color="auto" w:sz="4" w:space="0"/>
              <w:left w:val="single" w:color="auto" w:sz="4" w:space="0"/>
              <w:bottom w:val="single" w:color="auto" w:sz="4" w:space="0"/>
              <w:right w:val="single" w:color="auto" w:sz="4" w:space="0"/>
            </w:tcBorders>
            <w:vAlign w:val="center"/>
          </w:tcPr>
          <w:p w14:paraId="185711EE">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山东福尔有限公司</w:t>
            </w:r>
          </w:p>
        </w:tc>
        <w:tc>
          <w:tcPr>
            <w:tcW w:w="2102" w:type="dxa"/>
            <w:tcBorders>
              <w:top w:val="single" w:color="auto" w:sz="4" w:space="0"/>
              <w:left w:val="single" w:color="auto" w:sz="4" w:space="0"/>
              <w:bottom w:val="single" w:color="auto" w:sz="4" w:space="0"/>
              <w:right w:val="single" w:color="auto" w:sz="4" w:space="0"/>
            </w:tcBorders>
            <w:vAlign w:val="center"/>
          </w:tcPr>
          <w:p w14:paraId="3ECBD765">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15064550029</w:t>
            </w:r>
          </w:p>
        </w:tc>
      </w:tr>
      <w:tr w14:paraId="3E4F899C">
        <w:tblPrEx>
          <w:tblCellMar>
            <w:top w:w="0" w:type="dxa"/>
            <w:left w:w="108" w:type="dxa"/>
            <w:bottom w:w="0" w:type="dxa"/>
            <w:right w:w="108" w:type="dxa"/>
          </w:tblCellMar>
        </w:tblPrEx>
        <w:trPr>
          <w:trHeight w:val="45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76A2C9FF">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16</w:t>
            </w:r>
          </w:p>
        </w:tc>
        <w:tc>
          <w:tcPr>
            <w:tcW w:w="1075" w:type="dxa"/>
            <w:tcBorders>
              <w:top w:val="single" w:color="auto" w:sz="4" w:space="0"/>
              <w:left w:val="single" w:color="auto" w:sz="4" w:space="0"/>
              <w:bottom w:val="single" w:color="auto" w:sz="4" w:space="0"/>
              <w:right w:val="single" w:color="auto" w:sz="4" w:space="0"/>
            </w:tcBorders>
            <w:vAlign w:val="center"/>
          </w:tcPr>
          <w:p w14:paraId="1206CFB9">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吕 烨</w:t>
            </w:r>
          </w:p>
        </w:tc>
        <w:tc>
          <w:tcPr>
            <w:tcW w:w="659" w:type="dxa"/>
            <w:tcBorders>
              <w:top w:val="single" w:color="auto" w:sz="4" w:space="0"/>
              <w:left w:val="single" w:color="auto" w:sz="4" w:space="0"/>
              <w:bottom w:val="single" w:color="auto" w:sz="4" w:space="0"/>
              <w:right w:val="single" w:color="auto" w:sz="4" w:space="0"/>
            </w:tcBorders>
            <w:vAlign w:val="center"/>
          </w:tcPr>
          <w:p w14:paraId="627090CD">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男</w:t>
            </w:r>
          </w:p>
        </w:tc>
        <w:tc>
          <w:tcPr>
            <w:tcW w:w="1371" w:type="dxa"/>
            <w:tcBorders>
              <w:top w:val="single" w:color="auto" w:sz="4" w:space="0"/>
              <w:left w:val="single" w:color="auto" w:sz="4" w:space="0"/>
              <w:bottom w:val="single" w:color="auto" w:sz="4" w:space="0"/>
              <w:right w:val="single" w:color="auto" w:sz="4" w:space="0"/>
            </w:tcBorders>
            <w:vAlign w:val="center"/>
          </w:tcPr>
          <w:p w14:paraId="19F40219">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高分子材料</w:t>
            </w:r>
          </w:p>
        </w:tc>
        <w:tc>
          <w:tcPr>
            <w:tcW w:w="1815" w:type="dxa"/>
            <w:tcBorders>
              <w:top w:val="single" w:color="auto" w:sz="4" w:space="0"/>
              <w:left w:val="single" w:color="auto" w:sz="4" w:space="0"/>
              <w:bottom w:val="single" w:color="auto" w:sz="4" w:space="0"/>
              <w:right w:val="single" w:color="auto" w:sz="4" w:space="0"/>
            </w:tcBorders>
            <w:vAlign w:val="center"/>
          </w:tcPr>
          <w:p w14:paraId="3E3EE107">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安全办公室主任</w:t>
            </w:r>
          </w:p>
        </w:tc>
        <w:tc>
          <w:tcPr>
            <w:tcW w:w="2370" w:type="dxa"/>
            <w:tcBorders>
              <w:top w:val="single" w:color="auto" w:sz="4" w:space="0"/>
              <w:left w:val="single" w:color="auto" w:sz="4" w:space="0"/>
              <w:bottom w:val="single" w:color="auto" w:sz="4" w:space="0"/>
              <w:right w:val="single" w:color="auto" w:sz="4" w:space="0"/>
            </w:tcBorders>
            <w:vAlign w:val="center"/>
          </w:tcPr>
          <w:p w14:paraId="26143852">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龙口港集团有限公司</w:t>
            </w:r>
          </w:p>
        </w:tc>
        <w:tc>
          <w:tcPr>
            <w:tcW w:w="2102" w:type="dxa"/>
            <w:tcBorders>
              <w:top w:val="single" w:color="auto" w:sz="4" w:space="0"/>
              <w:left w:val="single" w:color="auto" w:sz="4" w:space="0"/>
              <w:bottom w:val="single" w:color="auto" w:sz="4" w:space="0"/>
              <w:right w:val="single" w:color="auto" w:sz="4" w:space="0"/>
            </w:tcBorders>
            <w:vAlign w:val="center"/>
          </w:tcPr>
          <w:p w14:paraId="1DE17EF1">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13589841729</w:t>
            </w:r>
          </w:p>
        </w:tc>
      </w:tr>
      <w:tr w14:paraId="3ACF180A">
        <w:tblPrEx>
          <w:tblCellMar>
            <w:top w:w="0" w:type="dxa"/>
            <w:left w:w="108" w:type="dxa"/>
            <w:bottom w:w="0" w:type="dxa"/>
            <w:right w:w="108" w:type="dxa"/>
          </w:tblCellMar>
        </w:tblPrEx>
        <w:trPr>
          <w:trHeight w:val="67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084ECDCB">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17</w:t>
            </w:r>
          </w:p>
        </w:tc>
        <w:tc>
          <w:tcPr>
            <w:tcW w:w="1075" w:type="dxa"/>
            <w:tcBorders>
              <w:top w:val="single" w:color="auto" w:sz="4" w:space="0"/>
              <w:left w:val="single" w:color="auto" w:sz="4" w:space="0"/>
              <w:bottom w:val="single" w:color="auto" w:sz="4" w:space="0"/>
              <w:right w:val="single" w:color="auto" w:sz="4" w:space="0"/>
            </w:tcBorders>
            <w:vAlign w:val="center"/>
          </w:tcPr>
          <w:p w14:paraId="28CC9C96">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殷庆志</w:t>
            </w:r>
          </w:p>
        </w:tc>
        <w:tc>
          <w:tcPr>
            <w:tcW w:w="659" w:type="dxa"/>
            <w:tcBorders>
              <w:top w:val="single" w:color="auto" w:sz="4" w:space="0"/>
              <w:left w:val="single" w:color="auto" w:sz="4" w:space="0"/>
              <w:bottom w:val="single" w:color="auto" w:sz="4" w:space="0"/>
              <w:right w:val="single" w:color="auto" w:sz="4" w:space="0"/>
            </w:tcBorders>
            <w:vAlign w:val="center"/>
          </w:tcPr>
          <w:p w14:paraId="4BDF7D51">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男</w:t>
            </w:r>
          </w:p>
        </w:tc>
        <w:tc>
          <w:tcPr>
            <w:tcW w:w="1371" w:type="dxa"/>
            <w:tcBorders>
              <w:top w:val="single" w:color="auto" w:sz="4" w:space="0"/>
              <w:left w:val="single" w:color="auto" w:sz="4" w:space="0"/>
              <w:bottom w:val="single" w:color="auto" w:sz="4" w:space="0"/>
              <w:right w:val="single" w:color="auto" w:sz="4" w:space="0"/>
            </w:tcBorders>
            <w:vAlign w:val="center"/>
          </w:tcPr>
          <w:p w14:paraId="730630A7">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安全管理</w:t>
            </w:r>
          </w:p>
        </w:tc>
        <w:tc>
          <w:tcPr>
            <w:tcW w:w="1815" w:type="dxa"/>
            <w:tcBorders>
              <w:top w:val="single" w:color="auto" w:sz="4" w:space="0"/>
              <w:left w:val="single" w:color="auto" w:sz="4" w:space="0"/>
              <w:bottom w:val="single" w:color="auto" w:sz="4" w:space="0"/>
              <w:right w:val="single" w:color="auto" w:sz="4" w:space="0"/>
            </w:tcBorders>
            <w:vAlign w:val="center"/>
          </w:tcPr>
          <w:p w14:paraId="7C3D903D">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安技部经理/工程师</w:t>
            </w:r>
          </w:p>
        </w:tc>
        <w:tc>
          <w:tcPr>
            <w:tcW w:w="2370" w:type="dxa"/>
            <w:tcBorders>
              <w:top w:val="single" w:color="auto" w:sz="4" w:space="0"/>
              <w:left w:val="single" w:color="auto" w:sz="4" w:space="0"/>
              <w:bottom w:val="single" w:color="auto" w:sz="4" w:space="0"/>
              <w:right w:val="single" w:color="auto" w:sz="4" w:space="0"/>
            </w:tcBorders>
            <w:vAlign w:val="center"/>
          </w:tcPr>
          <w:p w14:paraId="4BF1C7ED">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龙口滨港液体化工码头有限公司</w:t>
            </w:r>
          </w:p>
        </w:tc>
        <w:tc>
          <w:tcPr>
            <w:tcW w:w="2102" w:type="dxa"/>
            <w:tcBorders>
              <w:top w:val="single" w:color="auto" w:sz="4" w:space="0"/>
              <w:left w:val="single" w:color="auto" w:sz="4" w:space="0"/>
              <w:bottom w:val="single" w:color="auto" w:sz="4" w:space="0"/>
              <w:right w:val="single" w:color="auto" w:sz="4" w:space="0"/>
            </w:tcBorders>
            <w:vAlign w:val="center"/>
          </w:tcPr>
          <w:p w14:paraId="22A06897">
            <w:pPr>
              <w:widowControl/>
              <w:spacing w:line="500" w:lineRule="exact"/>
              <w:jc w:val="center"/>
              <w:rPr>
                <w:rFonts w:ascii="仿宋_GB2312" w:hAnsi="宋体" w:eastAsia="仿宋_GB2312" w:cs="宋体"/>
                <w:kern w:val="0"/>
                <w:sz w:val="24"/>
              </w:rPr>
            </w:pPr>
            <w:r>
              <w:rPr>
                <w:rFonts w:hint="eastAsia" w:ascii="仿宋_GB2312" w:hAnsi="宋体" w:eastAsia="仿宋_GB2312" w:cs="宋体"/>
                <w:kern w:val="0"/>
                <w:sz w:val="24"/>
              </w:rPr>
              <w:t>13573571246</w:t>
            </w:r>
          </w:p>
        </w:tc>
      </w:tr>
    </w:tbl>
    <w:p w14:paraId="0794B36C">
      <w:pPr>
        <w:spacing w:line="360" w:lineRule="auto"/>
        <w:ind w:firstLine="464" w:firstLineChars="200"/>
        <w:rPr>
          <w:rFonts w:ascii="仿宋_GB2312" w:eastAsia="仿宋_GB2312" w:cs="宋体"/>
          <w:kern w:val="0"/>
          <w:sz w:val="24"/>
        </w:rPr>
      </w:pPr>
    </w:p>
    <w:p w14:paraId="4E980AD9">
      <w:pPr>
        <w:pStyle w:val="6"/>
        <w:rPr>
          <w:rFonts w:hAnsi="宋体" w:cs="宋体"/>
        </w:rPr>
      </w:pPr>
    </w:p>
    <w:p w14:paraId="082D3F00"/>
    <w:p w14:paraId="753BAE40">
      <w:pPr>
        <w:pStyle w:val="9"/>
      </w:pPr>
    </w:p>
    <w:p w14:paraId="4B1859B6"/>
    <w:p w14:paraId="7A0BB349">
      <w:pPr>
        <w:pStyle w:val="9"/>
      </w:pPr>
    </w:p>
    <w:p w14:paraId="2A490EE2"/>
    <w:p w14:paraId="34E8D204">
      <w:pPr>
        <w:pStyle w:val="9"/>
      </w:pPr>
    </w:p>
    <w:p w14:paraId="3CA7B723">
      <w:pPr>
        <w:spacing w:line="700" w:lineRule="exact"/>
        <w:jc w:val="center"/>
        <w:outlineLvl w:val="0"/>
        <w:rPr>
          <w:rFonts w:ascii="方正小标宋简体" w:hAnsi="新宋体-18030" w:eastAsia="方正小标宋简体" w:cs="新宋体-18030"/>
          <w:sz w:val="44"/>
          <w:szCs w:val="44"/>
        </w:rPr>
      </w:pPr>
      <w:r>
        <w:rPr>
          <w:rFonts w:hint="eastAsia" w:ascii="方正小标宋简体" w:hAnsi="新宋体-18030" w:eastAsia="方正小标宋简体" w:cs="新宋体-18030"/>
          <w:sz w:val="44"/>
          <w:szCs w:val="44"/>
        </w:rPr>
        <w:t>烟台高新区工贸行业生产安全事故</w:t>
      </w:r>
    </w:p>
    <w:p w14:paraId="56D6FA98">
      <w:pPr>
        <w:spacing w:afterLines="100" w:line="700" w:lineRule="exact"/>
        <w:jc w:val="center"/>
        <w:outlineLvl w:val="0"/>
        <w:rPr>
          <w:rFonts w:ascii="方正小标宋简体" w:hAnsi="方正小标宋简体" w:eastAsia="方正小标宋简体" w:cs="方正小标宋简体"/>
          <w:sz w:val="44"/>
          <w:szCs w:val="44"/>
        </w:rPr>
      </w:pPr>
      <w:r>
        <w:rPr>
          <w:rFonts w:hint="eastAsia" w:ascii="方正小标宋简体" w:hAnsi="Helvetica" w:eastAsia="方正小标宋简体" w:cs="Helvetica"/>
          <w:sz w:val="44"/>
          <w:szCs w:val="44"/>
        </w:rPr>
        <w:t>专项</w:t>
      </w:r>
      <w:r>
        <w:rPr>
          <w:rFonts w:hint="eastAsia" w:ascii="方正小标宋简体" w:hAnsi="新宋体-18030" w:eastAsia="方正小标宋简体" w:cs="新宋体-18030"/>
          <w:sz w:val="44"/>
          <w:szCs w:val="44"/>
        </w:rPr>
        <w:t>应急预案</w:t>
      </w:r>
    </w:p>
    <w:p w14:paraId="5ECAC79A">
      <w:pPr>
        <w:spacing w:line="560" w:lineRule="exact"/>
        <w:ind w:firstLine="624" w:firstLineChars="200"/>
        <w:rPr>
          <w:rFonts w:ascii="黑体" w:hAnsi="黑体" w:eastAsia="黑体" w:cs="黑体"/>
          <w:sz w:val="32"/>
          <w:szCs w:val="32"/>
        </w:rPr>
      </w:pPr>
      <w:r>
        <w:rPr>
          <w:rFonts w:hint="eastAsia" w:ascii="黑体" w:hAnsi="黑体" w:eastAsia="黑体" w:cs="黑体"/>
          <w:sz w:val="32"/>
          <w:szCs w:val="32"/>
        </w:rPr>
        <w:t>1  总则</w:t>
      </w:r>
    </w:p>
    <w:p w14:paraId="094E08BD">
      <w:pPr>
        <w:spacing w:line="560" w:lineRule="exact"/>
        <w:ind w:firstLine="624" w:firstLineChars="200"/>
        <w:rPr>
          <w:rFonts w:ascii="Arial" w:hAnsi="Arial" w:eastAsia="楷体_GB2312"/>
          <w:bCs/>
          <w:sz w:val="32"/>
          <w:szCs w:val="32"/>
        </w:rPr>
      </w:pPr>
      <w:r>
        <w:rPr>
          <w:rFonts w:eastAsia="楷体_GB2312"/>
          <w:bCs/>
          <w:sz w:val="32"/>
          <w:szCs w:val="32"/>
        </w:rPr>
        <w:t>1.1</w:t>
      </w:r>
      <w:r>
        <w:rPr>
          <w:rFonts w:hint="eastAsia" w:eastAsia="楷体_GB2312"/>
          <w:bCs/>
          <w:sz w:val="32"/>
          <w:szCs w:val="32"/>
        </w:rPr>
        <w:t xml:space="preserve">  </w:t>
      </w:r>
      <w:r>
        <w:rPr>
          <w:rFonts w:hint="eastAsia" w:ascii="Arial" w:hAnsi="Arial" w:eastAsia="楷体_GB2312"/>
          <w:bCs/>
          <w:sz w:val="32"/>
          <w:szCs w:val="32"/>
        </w:rPr>
        <w:t>编制目的</w:t>
      </w:r>
    </w:p>
    <w:p w14:paraId="44000608">
      <w:pPr>
        <w:spacing w:line="560" w:lineRule="exact"/>
        <w:ind w:firstLine="624" w:firstLineChars="200"/>
        <w:rPr>
          <w:sz w:val="32"/>
          <w:szCs w:val="32"/>
        </w:rPr>
      </w:pPr>
      <w:r>
        <w:rPr>
          <w:rFonts w:ascii="仿宋_GB2312" w:hAnsi="仿宋_GB2312" w:eastAsia="仿宋_GB2312" w:cs="仿宋_GB2312"/>
          <w:kern w:val="0"/>
          <w:sz w:val="32"/>
          <w:szCs w:val="32"/>
        </w:rPr>
        <w:t>建立健全</w:t>
      </w:r>
      <w:r>
        <w:rPr>
          <w:rFonts w:hint="eastAsia" w:ascii="仿宋_GB2312" w:hAnsi="仿宋_GB2312" w:eastAsia="仿宋_GB2312" w:cs="仿宋_GB2312"/>
          <w:kern w:val="0"/>
          <w:sz w:val="32"/>
          <w:szCs w:val="32"/>
        </w:rPr>
        <w:t>烟台高新区</w:t>
      </w:r>
      <w:r>
        <w:rPr>
          <w:rFonts w:ascii="仿宋_GB2312" w:hAnsi="仿宋_GB2312" w:eastAsia="仿宋_GB2312" w:cs="仿宋_GB2312"/>
          <w:kern w:val="0"/>
          <w:sz w:val="32"/>
          <w:szCs w:val="32"/>
        </w:rPr>
        <w:t>工贸行业生产安全事故应急预案体系，规范工贸行业</w:t>
      </w:r>
      <w:r>
        <w:rPr>
          <w:rFonts w:hint="eastAsia" w:ascii="仿宋_GB2312" w:hAnsi="仿宋_GB2312" w:eastAsia="仿宋_GB2312" w:cs="仿宋_GB2312"/>
          <w:kern w:val="0"/>
          <w:sz w:val="32"/>
          <w:szCs w:val="32"/>
        </w:rPr>
        <w:t>一般</w:t>
      </w:r>
      <w:r>
        <w:rPr>
          <w:rFonts w:ascii="仿宋_GB2312" w:hAnsi="仿宋_GB2312" w:eastAsia="仿宋_GB2312" w:cs="仿宋_GB2312"/>
          <w:kern w:val="0"/>
          <w:sz w:val="32"/>
          <w:szCs w:val="32"/>
        </w:rPr>
        <w:t>生产安全事故的应急管理和应急响应程序，增强应对、防范工贸行业事故风险和事故灾难的能力，实现防范系统有效、决策科学合理、应急指挥顺畅、应急保障有力，最大限度地减少事故灾难造成的人员伤亡和财产损失，维护人民群众的生命安全和社会稳定</w:t>
      </w:r>
      <w:r>
        <w:rPr>
          <w:rFonts w:hint="eastAsia" w:ascii="仿宋_GB2312" w:hAnsi="仿宋_GB2312" w:eastAsia="仿宋_GB2312" w:cs="仿宋_GB2312"/>
          <w:kern w:val="0"/>
          <w:sz w:val="32"/>
          <w:szCs w:val="32"/>
        </w:rPr>
        <w:t>。</w:t>
      </w:r>
    </w:p>
    <w:p w14:paraId="53D85725">
      <w:pPr>
        <w:spacing w:line="560" w:lineRule="exact"/>
        <w:ind w:firstLine="624" w:firstLineChars="200"/>
        <w:rPr>
          <w:rFonts w:ascii="Arial" w:hAnsi="Arial" w:eastAsia="楷体_GB2312"/>
          <w:bCs/>
          <w:sz w:val="32"/>
          <w:szCs w:val="32"/>
        </w:rPr>
      </w:pPr>
      <w:r>
        <w:rPr>
          <w:rFonts w:hint="eastAsia" w:eastAsia="楷体_GB2312"/>
          <w:bCs/>
          <w:sz w:val="32"/>
          <w:szCs w:val="32"/>
        </w:rPr>
        <w:t xml:space="preserve">1.2  </w:t>
      </w:r>
      <w:r>
        <w:rPr>
          <w:rFonts w:hint="eastAsia" w:ascii="Arial" w:hAnsi="Arial" w:eastAsia="楷体_GB2312"/>
          <w:bCs/>
          <w:sz w:val="32"/>
          <w:szCs w:val="32"/>
        </w:rPr>
        <w:t>编制依据</w:t>
      </w:r>
    </w:p>
    <w:p w14:paraId="0128ACCF">
      <w:pPr>
        <w:spacing w:line="560" w:lineRule="exact"/>
        <w:ind w:firstLine="624" w:firstLineChars="200"/>
        <w:rPr>
          <w:rFonts w:ascii="仿宋_GB2312" w:hAnsi="仿宋_GB2312" w:eastAsia="仿宋_GB2312" w:cs="仿宋_GB2312"/>
          <w:kern w:val="0"/>
          <w:sz w:val="31"/>
          <w:szCs w:val="31"/>
        </w:rPr>
      </w:pPr>
      <w:r>
        <w:rPr>
          <w:rFonts w:ascii="仿宋_GB2312" w:hAnsi="仿宋_GB2312" w:eastAsia="仿宋_GB2312" w:cs="仿宋_GB2312"/>
          <w:kern w:val="0"/>
          <w:sz w:val="32"/>
          <w:szCs w:val="32"/>
        </w:rPr>
        <w:t>依据《中华人民共和国安全生产法》《中华人民共和国突发事件应对法》《生产安全事故报告和调查处理条例》《生产安全事故应急预案管理办法》《生产安全事故应急条例》《山东省突发事件应对条例》《山东省突发事件总体应急预案》《山东省安全生产</w:t>
      </w:r>
      <w:r>
        <w:rPr>
          <w:rFonts w:hint="eastAsia" w:ascii="仿宋_GB2312" w:hAnsi="仿宋_GB2312" w:eastAsia="仿宋_GB2312" w:cs="仿宋_GB2312"/>
          <w:kern w:val="0"/>
          <w:sz w:val="32"/>
          <w:szCs w:val="32"/>
          <w:lang w:eastAsia="zh-CN"/>
        </w:rPr>
        <w:t>条例》</w:t>
      </w:r>
      <w:r>
        <w:rPr>
          <w:rFonts w:ascii="仿宋_GB2312" w:hAnsi="仿宋_GB2312" w:eastAsia="仿宋_GB2312" w:cs="仿宋_GB2312"/>
          <w:kern w:val="0"/>
          <w:sz w:val="32"/>
          <w:szCs w:val="32"/>
        </w:rPr>
        <w:t>《冶金企业和有色金属企业安全生产规定》《工贸企业粉尘防爆安全规定》</w:t>
      </w:r>
      <w:r>
        <w:rPr>
          <w:rFonts w:hint="eastAsia" w:ascii="仿宋_GB2312" w:hAnsi="仿宋_GB2312" w:eastAsia="仿宋_GB2312" w:cs="仿宋_GB2312"/>
          <w:kern w:val="0"/>
          <w:sz w:val="32"/>
          <w:szCs w:val="32"/>
        </w:rPr>
        <w:t>《烟台高新区突发事件总体应急预案》</w:t>
      </w:r>
      <w:r>
        <w:rPr>
          <w:rFonts w:ascii="仿宋_GB2312" w:hAnsi="仿宋_GB2312" w:eastAsia="仿宋_GB2312" w:cs="仿宋_GB2312"/>
          <w:kern w:val="0"/>
          <w:sz w:val="32"/>
          <w:szCs w:val="32"/>
        </w:rPr>
        <w:t>等法律法规及有关规定，制定本预案。</w:t>
      </w:r>
      <w:r>
        <w:rPr>
          <w:rFonts w:ascii="仿宋_GB2312" w:hAnsi="仿宋_GB2312" w:eastAsia="仿宋_GB2312" w:cs="仿宋_GB2312"/>
          <w:kern w:val="0"/>
          <w:sz w:val="31"/>
          <w:szCs w:val="31"/>
        </w:rPr>
        <w:t xml:space="preserve"> </w:t>
      </w:r>
    </w:p>
    <w:p w14:paraId="6878F604">
      <w:pPr>
        <w:spacing w:line="560" w:lineRule="exact"/>
        <w:ind w:firstLine="624" w:firstLineChars="200"/>
      </w:pPr>
      <w:r>
        <w:rPr>
          <w:rFonts w:hint="eastAsia" w:eastAsia="楷体_GB2312"/>
          <w:bCs/>
          <w:sz w:val="32"/>
          <w:szCs w:val="32"/>
        </w:rPr>
        <w:t xml:space="preserve">1.3  </w:t>
      </w:r>
      <w:r>
        <w:rPr>
          <w:rFonts w:hint="eastAsia" w:ascii="Arial" w:hAnsi="Arial" w:eastAsia="楷体_GB2312"/>
          <w:bCs/>
          <w:sz w:val="32"/>
          <w:szCs w:val="32"/>
        </w:rPr>
        <w:t>适用范围</w:t>
      </w:r>
    </w:p>
    <w:p w14:paraId="70C369EA">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高新区辖区内</w:t>
      </w:r>
      <w:r>
        <w:rPr>
          <w:rFonts w:ascii="仿宋_GB2312" w:hAnsi="仿宋_GB2312" w:eastAsia="仿宋_GB2312" w:cs="仿宋_GB2312"/>
          <w:kern w:val="0"/>
          <w:sz w:val="32"/>
          <w:szCs w:val="32"/>
        </w:rPr>
        <w:t>工贸行业</w:t>
      </w:r>
      <w:r>
        <w:rPr>
          <w:rFonts w:hint="eastAsia" w:ascii="仿宋_GB2312" w:hAnsi="仿宋_GB2312" w:eastAsia="仿宋_GB2312" w:cs="仿宋_GB2312"/>
          <w:kern w:val="0"/>
          <w:sz w:val="32"/>
          <w:szCs w:val="32"/>
        </w:rPr>
        <w:t>一般</w:t>
      </w:r>
      <w:r>
        <w:rPr>
          <w:rFonts w:ascii="仿宋_GB2312" w:hAnsi="仿宋_GB2312" w:eastAsia="仿宋_GB2312" w:cs="仿宋_GB2312"/>
          <w:kern w:val="0"/>
          <w:sz w:val="32"/>
          <w:szCs w:val="32"/>
        </w:rPr>
        <w:t>生产安全事故的应急救援，适用本预案</w:t>
      </w:r>
      <w:r>
        <w:rPr>
          <w:rFonts w:hint="eastAsia" w:ascii="仿宋_GB2312" w:hAnsi="仿宋_GB2312" w:eastAsia="仿宋_GB2312" w:cs="仿宋_GB2312"/>
          <w:kern w:val="0"/>
          <w:sz w:val="32"/>
          <w:szCs w:val="32"/>
        </w:rPr>
        <w:t>。</w:t>
      </w:r>
    </w:p>
    <w:p w14:paraId="1216C983">
      <w:pPr>
        <w:spacing w:line="560" w:lineRule="exact"/>
        <w:ind w:firstLine="624" w:firstLineChars="200"/>
        <w:rPr>
          <w:rFonts w:ascii="仿宋_GB2312" w:hAnsi="仿宋_GB2312" w:eastAsia="仿宋_GB2312" w:cs="仿宋_GB2312"/>
          <w:kern w:val="0"/>
          <w:sz w:val="31"/>
          <w:szCs w:val="31"/>
        </w:rPr>
      </w:pPr>
      <w:r>
        <w:rPr>
          <w:rFonts w:hint="eastAsia" w:eastAsia="楷体_GB2312"/>
          <w:bCs/>
          <w:sz w:val="32"/>
          <w:szCs w:val="32"/>
        </w:rPr>
        <w:t xml:space="preserve">1.4  </w:t>
      </w:r>
      <w:r>
        <w:rPr>
          <w:rFonts w:hint="eastAsia" w:ascii="Arial" w:hAnsi="Arial" w:eastAsia="楷体_GB2312"/>
          <w:bCs/>
          <w:sz w:val="32"/>
          <w:szCs w:val="32"/>
        </w:rPr>
        <w:t>工作原则</w:t>
      </w:r>
    </w:p>
    <w:p w14:paraId="40ADAD2F">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以人为本、科学施救。始终把保障人民群众的生命安全和健康放在首位，最大限度地减少人员伤亡，坚持先避险后抢险、先救人再救物，穷尽一切手段、力量和方法，遵循科学原理、制定施救方案，确保不发生任何次生灾害。 </w:t>
      </w:r>
    </w:p>
    <w:p w14:paraId="3BFC9FFB">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预防为主、防救结合。坚持应急救援与事前预防相结合，加强重点风险的管控，加大教育培训力度，夯实基础建设，做到演练常态化、实战化，常备不懈。采用先进预测、预警、预防和应急处置技术，强化监测预警分析，做到早发现、早报告、早控制。</w:t>
      </w:r>
    </w:p>
    <w:p w14:paraId="37080EB0">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快速响应，果断处置。第一时间报告信息，第一时间赶赴现场、处置应对，第一时间向上级党委、政府如实报告、争取支持，第一时间发布权威信息，第一时间依法查处造谣生事者并向社会公开揭露曝光，第一时间疏散无关聚集人群。</w:t>
      </w:r>
    </w:p>
    <w:p w14:paraId="0584F140">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统一领导、协调联动。在区工委、管委的统一领导下，坚持“统一组织、统一指挥、统一调度、统一方案、统一实施”的协调联动机制，确保人力、物资、设备、技术和信息有机配置，快速高效开展应急救援工作。</w:t>
      </w:r>
    </w:p>
    <w:p w14:paraId="33874E8E">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（5）全面防控、保持稳定。全面排查评估风险，避免事故升级或次生、衍生灾害；妥善安置伤亡人员，抚慰伤亡者家属，  必要时做好相关心理疏导；确保水、电、食品、帐篷等应急物资供应，尽快恢复生产生活秩序，保持社会稳定。</w:t>
      </w:r>
      <w:bookmarkStart w:id="195" w:name="page7"/>
      <w:bookmarkEnd w:id="195"/>
    </w:p>
    <w:p w14:paraId="70E10CF2">
      <w:pPr>
        <w:spacing w:line="560" w:lineRule="exact"/>
        <w:ind w:firstLine="624" w:firstLineChars="200"/>
        <w:rPr>
          <w:rFonts w:ascii="黑体" w:hAnsi="黑体" w:eastAsia="黑体" w:cs="黑体"/>
          <w:sz w:val="32"/>
          <w:szCs w:val="32"/>
        </w:rPr>
      </w:pPr>
      <w:r>
        <w:rPr>
          <w:rFonts w:hint="eastAsia" w:ascii="黑体" w:hAnsi="黑体" w:eastAsia="黑体" w:cs="黑体"/>
          <w:sz w:val="32"/>
          <w:szCs w:val="32"/>
        </w:rPr>
        <w:t>2  事故风险描述</w:t>
      </w:r>
    </w:p>
    <w:p w14:paraId="60D0AB14">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贸行业包括冶金、有色、建材、机械、轻工、纺织、烟草、商贸等八大行业，事故类型涵盖中毒和窒息、其他爆炸、灼烫、坍塌、火灾、高处坠落、物体打击、触电、车辆伤害、起重伤害等，具有事故类别多、涉及范围广、次生灾害多等特点。工贸行业企业数量众多，分布广泛，遍布全区。综合分析，可能发生的事故风险主要集中在以下五种类型：</w:t>
      </w:r>
    </w:p>
    <w:p w14:paraId="0DFF3BF0">
      <w:pPr>
        <w:spacing w:line="560" w:lineRule="exact"/>
        <w:ind w:firstLine="624" w:firstLineChars="200"/>
        <w:rPr>
          <w:rFonts w:ascii="楷体_GB2312" w:hAnsi="楷体_GB2312" w:eastAsia="楷体_GB2312" w:cs="楷体_GB2312"/>
          <w:bCs/>
          <w:sz w:val="32"/>
          <w:szCs w:val="32"/>
        </w:rPr>
      </w:pPr>
      <w:bookmarkStart w:id="196" w:name="_Toc15154"/>
      <w:r>
        <w:rPr>
          <w:rFonts w:hint="eastAsia" w:ascii="楷体_GB2312" w:hAnsi="楷体_GB2312" w:eastAsia="楷体_GB2312" w:cs="楷体_GB2312"/>
          <w:bCs/>
          <w:sz w:val="32"/>
          <w:szCs w:val="32"/>
        </w:rPr>
        <w:t>2.1  煤气等可燃气体导致的中毒、爆炸、火灾</w:t>
      </w:r>
      <w:bookmarkEnd w:id="196"/>
    </w:p>
    <w:p w14:paraId="5556F38E">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工贸行业涉及的煤气等可燃气体具有易燃易爆、有毒有害等特点。煤气的生产、回收、输配、贮存、使用等过程中，存在泄漏、爆炸风险，易引发中毒、爆炸、火灾等事故，可能造成人员伤亡和财产损失。</w:t>
      </w:r>
    </w:p>
    <w:p w14:paraId="47D94C5F">
      <w:pPr>
        <w:spacing w:line="560" w:lineRule="exact"/>
        <w:ind w:firstLine="624"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2.2  高温熔融金属导致的灼烫、其他爆炸、火灾</w:t>
      </w:r>
    </w:p>
    <w:p w14:paraId="06D720C5">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金属冶炼行业中钢水、铁水及其他高温液态金属，具有极高的温度，在生产过程中存在炉内进水、炉缸烧穿、高温熔融金属容器泄漏、倾覆等风险，易引发灼烫、其他爆炸、火灾等事故，特别是液态高温熔融金属遇水混合极易引发喷爆事故，可能造成人员伤亡和财产损失。</w:t>
      </w:r>
    </w:p>
    <w:p w14:paraId="3F2EF29F">
      <w:pPr>
        <w:spacing w:line="560" w:lineRule="exact"/>
        <w:ind w:firstLine="624"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2.3  粉尘爆炸</w:t>
      </w:r>
    </w:p>
    <w:p w14:paraId="499C2D17">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金属、合成材料、粮食、农副产品、木质、煤尘、饲料等生产、加工、储存等企业作业场所，存在可燃性粉尘，粉尘达到一定的浓度、与空气（氧气）混合达到爆炸极限，遇到明火或表面温度超过引燃温度的高温物体等可能发生粉尘爆炸，且易产生二次爆炸，极易造成群死群伤。</w:t>
      </w:r>
    </w:p>
    <w:p w14:paraId="21446B98">
      <w:pPr>
        <w:spacing w:line="560" w:lineRule="exact"/>
        <w:ind w:firstLine="624"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2.4  液氨</w:t>
      </w:r>
      <w:r>
        <w:rPr>
          <w:rFonts w:hint="eastAsia" w:ascii="楷体_GB2312" w:hAnsi="楷体_GB2312" w:eastAsia="楷体_GB2312" w:cs="楷体_GB2312"/>
          <w:bCs/>
          <w:sz w:val="32"/>
          <w:szCs w:val="32"/>
          <w:lang w:eastAsia="zh-CN"/>
        </w:rPr>
        <w:t>泄漏</w:t>
      </w:r>
      <w:r>
        <w:rPr>
          <w:rFonts w:hint="eastAsia" w:ascii="楷体_GB2312" w:hAnsi="楷体_GB2312" w:eastAsia="楷体_GB2312" w:cs="楷体_GB2312"/>
          <w:bCs/>
          <w:sz w:val="32"/>
          <w:szCs w:val="32"/>
        </w:rPr>
        <w:t>导致的中毒、火灾和爆炸</w:t>
      </w:r>
    </w:p>
    <w:p w14:paraId="66A806F7">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贸行业涉及制冷的多数采用的是涉氨制冷，液氨易挥发、具有腐蚀性，爆炸极限15.7-27.4%，液氨泄漏时迅速气化膨胀，与空气混合能形成爆炸性混合物，遇明火、高热能引起燃烧爆炸。若遇高热，容器内压增大，有开裂和爆炸的危险，极易引发群死群伤的中毒、火灾和爆炸事故。</w:t>
      </w:r>
    </w:p>
    <w:p w14:paraId="384BC103">
      <w:pPr>
        <w:spacing w:line="560" w:lineRule="exact"/>
        <w:ind w:firstLine="624" w:firstLineChars="200"/>
        <w:rPr>
          <w:rFonts w:ascii="黑体" w:hAnsi="黑体" w:eastAsia="黑体" w:cs="黑体"/>
          <w:sz w:val="32"/>
          <w:szCs w:val="32"/>
        </w:rPr>
      </w:pPr>
      <w:r>
        <w:rPr>
          <w:rFonts w:hint="eastAsia" w:ascii="黑体" w:hAnsi="黑体" w:eastAsia="黑体" w:cs="黑体"/>
          <w:sz w:val="32"/>
          <w:szCs w:val="32"/>
        </w:rPr>
        <w:t xml:space="preserve">3  组织机构与职责 </w:t>
      </w:r>
    </w:p>
    <w:p w14:paraId="69616991">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发生工贸行业一般生产安全事故，由区工委、管委决定成立临时性指挥机构“烟台高新区生产安全事故应急救援指挥部”（以下简称“指挥部”），指挥部设 7 个工作组。根据需要，可设立应急救援现场指挥部。</w:t>
      </w:r>
    </w:p>
    <w:p w14:paraId="4174607C">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3.1 指挥部及职责</w:t>
      </w:r>
    </w:p>
    <w:p w14:paraId="293A00A5">
      <w:pPr>
        <w:spacing w:line="560" w:lineRule="exact"/>
        <w:ind w:firstLine="624"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总指挥：</w:t>
      </w:r>
      <w:r>
        <w:rPr>
          <w:rFonts w:hint="eastAsia" w:ascii="仿宋_GB2312" w:hAnsi="仿宋_GB2312" w:eastAsia="仿宋_GB2312" w:cs="仿宋_GB2312"/>
          <w:kern w:val="0"/>
          <w:sz w:val="32"/>
          <w:szCs w:val="32"/>
        </w:rPr>
        <w:t>管委分管副主任</w:t>
      </w:r>
    </w:p>
    <w:p w14:paraId="6EE896E4">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成  </w:t>
      </w:r>
      <w:r>
        <w:rPr>
          <w:rFonts w:ascii="仿宋_GB2312" w:hAnsi="仿宋_GB2312" w:eastAsia="仿宋_GB2312" w:cs="仿宋_GB2312"/>
          <w:kern w:val="0"/>
          <w:sz w:val="32"/>
          <w:szCs w:val="32"/>
        </w:rPr>
        <w:t>员：</w:t>
      </w:r>
      <w:r>
        <w:rPr>
          <w:rFonts w:hint="eastAsia" w:ascii="仿宋_GB2312" w:hAnsi="仿宋_GB2312" w:eastAsia="仿宋_GB2312" w:cs="仿宋_GB2312"/>
          <w:kern w:val="0"/>
          <w:sz w:val="32"/>
          <w:szCs w:val="32"/>
        </w:rPr>
        <w:t>区综合管理部</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党群工作部</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经济发展部</w:t>
      </w:r>
      <w:r>
        <w:rPr>
          <w:rFonts w:ascii="仿宋_GB2312" w:hAnsi="仿宋_GB2312" w:eastAsia="仿宋_GB2312" w:cs="仿宋_GB2312"/>
          <w:kern w:val="0"/>
          <w:sz w:val="32"/>
          <w:szCs w:val="32"/>
        </w:rPr>
        <w:t>、生态环境</w:t>
      </w:r>
      <w:r>
        <w:rPr>
          <w:rFonts w:hint="eastAsia" w:ascii="仿宋_GB2312" w:hAnsi="仿宋_GB2312" w:eastAsia="仿宋_GB2312" w:cs="仿宋_GB2312"/>
          <w:kern w:val="0"/>
          <w:sz w:val="32"/>
          <w:szCs w:val="32"/>
        </w:rPr>
        <w:t>分局</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规划国土建设部、</w:t>
      </w:r>
      <w:r>
        <w:rPr>
          <w:rFonts w:ascii="仿宋_GB2312" w:hAnsi="仿宋_GB2312" w:eastAsia="仿宋_GB2312" w:cs="仿宋_GB2312"/>
          <w:kern w:val="0"/>
          <w:sz w:val="32"/>
          <w:szCs w:val="32"/>
        </w:rPr>
        <w:t>卫生健康</w:t>
      </w:r>
      <w:r>
        <w:rPr>
          <w:rFonts w:hint="eastAsia" w:ascii="仿宋_GB2312" w:hAnsi="仿宋_GB2312" w:eastAsia="仿宋_GB2312" w:cs="仿宋_GB2312"/>
          <w:kern w:val="0"/>
          <w:sz w:val="32"/>
          <w:szCs w:val="32"/>
        </w:rPr>
        <w:t>管理办公室</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区</w:t>
      </w:r>
      <w:r>
        <w:rPr>
          <w:rFonts w:ascii="仿宋_GB2312" w:hAnsi="仿宋_GB2312" w:eastAsia="仿宋_GB2312" w:cs="仿宋_GB2312"/>
          <w:kern w:val="0"/>
          <w:sz w:val="32"/>
          <w:szCs w:val="32"/>
        </w:rPr>
        <w:t>应急</w:t>
      </w:r>
      <w:r>
        <w:rPr>
          <w:rFonts w:hint="eastAsia" w:ascii="仿宋_GB2312" w:hAnsi="仿宋_GB2312" w:eastAsia="仿宋_GB2312" w:cs="仿宋_GB2312"/>
          <w:kern w:val="0"/>
          <w:sz w:val="32"/>
          <w:szCs w:val="32"/>
        </w:rPr>
        <w:t>管理分局</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社会事业管理服务中心</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区</w:t>
      </w:r>
      <w:r>
        <w:rPr>
          <w:rFonts w:ascii="仿宋_GB2312" w:hAnsi="仿宋_GB2312" w:eastAsia="仿宋_GB2312" w:cs="仿宋_GB2312"/>
          <w:kern w:val="0"/>
          <w:sz w:val="32"/>
          <w:szCs w:val="32"/>
        </w:rPr>
        <w:t>公安</w:t>
      </w:r>
      <w:r>
        <w:rPr>
          <w:rFonts w:hint="eastAsia" w:ascii="仿宋_GB2312" w:hAnsi="仿宋_GB2312" w:eastAsia="仿宋_GB2312" w:cs="仿宋_GB2312"/>
          <w:kern w:val="0"/>
          <w:sz w:val="32"/>
          <w:szCs w:val="32"/>
        </w:rPr>
        <w:t>分局、交警五大队、区消防</w:t>
      </w:r>
      <w:r>
        <w:rPr>
          <w:rFonts w:ascii="仿宋_GB2312" w:hAnsi="仿宋_GB2312" w:eastAsia="仿宋_GB2312" w:cs="仿宋_GB2312"/>
          <w:kern w:val="0"/>
          <w:sz w:val="32"/>
          <w:szCs w:val="32"/>
        </w:rPr>
        <w:t>救援</w:t>
      </w:r>
      <w:r>
        <w:rPr>
          <w:rFonts w:hint="eastAsia" w:ascii="仿宋_GB2312" w:hAnsi="仿宋_GB2312" w:eastAsia="仿宋_GB2312" w:cs="仿宋_GB2312"/>
          <w:kern w:val="0"/>
          <w:sz w:val="32"/>
          <w:szCs w:val="32"/>
        </w:rPr>
        <w:t>大</w:t>
      </w:r>
      <w:r>
        <w:rPr>
          <w:rFonts w:ascii="仿宋_GB2312" w:hAnsi="仿宋_GB2312" w:eastAsia="仿宋_GB2312" w:cs="仿宋_GB2312"/>
          <w:kern w:val="0"/>
          <w:sz w:val="32"/>
          <w:szCs w:val="32"/>
        </w:rPr>
        <w:t>队等部门、单位负责同志，</w:t>
      </w:r>
      <w:r>
        <w:rPr>
          <w:rFonts w:hint="eastAsia" w:ascii="仿宋_GB2312" w:hAnsi="仿宋_GB2312" w:eastAsia="仿宋_GB2312" w:cs="仿宋_GB2312"/>
          <w:kern w:val="0"/>
          <w:sz w:val="32"/>
          <w:szCs w:val="32"/>
        </w:rPr>
        <w:t>区</w:t>
      </w:r>
      <w:r>
        <w:rPr>
          <w:rFonts w:ascii="仿宋_GB2312" w:hAnsi="仿宋_GB2312" w:eastAsia="仿宋_GB2312" w:cs="仿宋_GB2312"/>
          <w:kern w:val="0"/>
          <w:sz w:val="32"/>
          <w:szCs w:val="32"/>
        </w:rPr>
        <w:t>供电公司、移动</w:t>
      </w:r>
      <w:r>
        <w:rPr>
          <w:rFonts w:hint="eastAsia" w:ascii="仿宋_GB2312" w:hAnsi="仿宋_GB2312" w:eastAsia="仿宋_GB2312" w:cs="仿宋_GB2312"/>
          <w:kern w:val="0"/>
          <w:sz w:val="32"/>
          <w:szCs w:val="32"/>
        </w:rPr>
        <w:t>分</w:t>
      </w:r>
      <w:r>
        <w:rPr>
          <w:rFonts w:ascii="仿宋_GB2312" w:hAnsi="仿宋_GB2312" w:eastAsia="仿宋_GB2312" w:cs="仿宋_GB2312"/>
          <w:kern w:val="0"/>
          <w:sz w:val="32"/>
          <w:szCs w:val="32"/>
        </w:rPr>
        <w:t>公司、联通</w:t>
      </w:r>
      <w:r>
        <w:rPr>
          <w:rFonts w:hint="eastAsia" w:ascii="仿宋_GB2312" w:hAnsi="仿宋_GB2312" w:eastAsia="仿宋_GB2312" w:cs="仿宋_GB2312"/>
          <w:kern w:val="0"/>
          <w:sz w:val="32"/>
          <w:szCs w:val="32"/>
        </w:rPr>
        <w:t>分</w:t>
      </w:r>
      <w:r>
        <w:rPr>
          <w:rFonts w:ascii="仿宋_GB2312" w:hAnsi="仿宋_GB2312" w:eastAsia="仿宋_GB2312" w:cs="仿宋_GB2312"/>
          <w:kern w:val="0"/>
          <w:sz w:val="32"/>
          <w:szCs w:val="32"/>
        </w:rPr>
        <w:t>公司、电信</w:t>
      </w:r>
      <w:r>
        <w:rPr>
          <w:rFonts w:hint="eastAsia" w:ascii="仿宋_GB2312" w:hAnsi="仿宋_GB2312" w:eastAsia="仿宋_GB2312" w:cs="仿宋_GB2312"/>
          <w:kern w:val="0"/>
          <w:sz w:val="32"/>
          <w:szCs w:val="32"/>
        </w:rPr>
        <w:t>分</w:t>
      </w:r>
      <w:r>
        <w:rPr>
          <w:rFonts w:ascii="仿宋_GB2312" w:hAnsi="仿宋_GB2312" w:eastAsia="仿宋_GB2312" w:cs="仿宋_GB2312"/>
          <w:kern w:val="0"/>
          <w:sz w:val="32"/>
          <w:szCs w:val="32"/>
        </w:rPr>
        <w:t>公司</w:t>
      </w:r>
      <w:r>
        <w:rPr>
          <w:rFonts w:hint="eastAsia" w:ascii="仿宋_GB2312" w:hAnsi="仿宋_GB2312" w:eastAsia="仿宋_GB2312" w:cs="仿宋_GB2312"/>
          <w:kern w:val="0"/>
          <w:sz w:val="32"/>
          <w:szCs w:val="32"/>
        </w:rPr>
        <w:t>负责人，</w:t>
      </w:r>
      <w:r>
        <w:rPr>
          <w:rFonts w:ascii="仿宋_GB2312" w:hAnsi="仿宋_GB2312" w:eastAsia="仿宋_GB2312" w:cs="仿宋_GB2312"/>
          <w:kern w:val="0"/>
          <w:sz w:val="32"/>
          <w:szCs w:val="32"/>
        </w:rPr>
        <w:t>事发地</w:t>
      </w:r>
      <w:r>
        <w:rPr>
          <w:rFonts w:hint="eastAsia" w:ascii="仿宋_GB2312" w:hAnsi="仿宋_GB2312" w:eastAsia="仿宋_GB2312" w:cs="仿宋_GB2312"/>
          <w:kern w:val="0"/>
          <w:sz w:val="32"/>
          <w:szCs w:val="32"/>
        </w:rPr>
        <w:t>管理处</w:t>
      </w:r>
      <w:r>
        <w:rPr>
          <w:rFonts w:ascii="仿宋_GB2312" w:hAnsi="仿宋_GB2312" w:eastAsia="仿宋_GB2312" w:cs="仿宋_GB2312"/>
          <w:kern w:val="0"/>
          <w:sz w:val="32"/>
          <w:szCs w:val="32"/>
        </w:rPr>
        <w:t>负责人</w:t>
      </w:r>
      <w:r>
        <w:rPr>
          <w:rFonts w:hint="eastAsia" w:ascii="仿宋_GB2312" w:hAnsi="仿宋_GB2312" w:eastAsia="仿宋_GB2312" w:cs="仿宋_GB2312"/>
          <w:kern w:val="0"/>
          <w:sz w:val="32"/>
          <w:szCs w:val="32"/>
        </w:rPr>
        <w:t>。</w:t>
      </w:r>
    </w:p>
    <w:p w14:paraId="7298BC0B">
      <w:pPr>
        <w:spacing w:line="560" w:lineRule="exact"/>
        <w:ind w:firstLine="624"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主要职责： </w:t>
      </w:r>
    </w:p>
    <w:p w14:paraId="3A89A62E">
      <w:pPr>
        <w:spacing w:line="560" w:lineRule="exact"/>
        <w:ind w:firstLine="624"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（1）执行国家有关事故应急救援工作的法规和政策，</w:t>
      </w:r>
      <w:r>
        <w:rPr>
          <w:rFonts w:hint="eastAsia" w:ascii="仿宋_GB2312" w:hAnsi="仿宋_GB2312" w:eastAsia="仿宋_GB2312" w:cs="仿宋_GB2312"/>
          <w:kern w:val="0"/>
          <w:sz w:val="32"/>
          <w:szCs w:val="32"/>
        </w:rPr>
        <w:t>贯彻</w:t>
      </w:r>
      <w:r>
        <w:rPr>
          <w:rFonts w:ascii="仿宋_GB2312" w:hAnsi="仿宋_GB2312" w:eastAsia="仿宋_GB2312" w:cs="仿宋_GB2312"/>
          <w:kern w:val="0"/>
          <w:sz w:val="32"/>
          <w:szCs w:val="32"/>
        </w:rPr>
        <w:t>落实</w:t>
      </w:r>
      <w:r>
        <w:rPr>
          <w:rFonts w:hint="eastAsia" w:ascii="仿宋_GB2312" w:hAnsi="仿宋_GB2312" w:eastAsia="仿宋_GB2312" w:cs="仿宋_GB2312"/>
          <w:kern w:val="0"/>
          <w:sz w:val="32"/>
          <w:szCs w:val="32"/>
        </w:rPr>
        <w:t>区工委、管委和市委、市政府</w:t>
      </w:r>
      <w:r>
        <w:rPr>
          <w:rFonts w:ascii="仿宋_GB2312" w:hAnsi="仿宋_GB2312" w:eastAsia="仿宋_GB2312" w:cs="仿宋_GB2312"/>
          <w:kern w:val="0"/>
          <w:sz w:val="32"/>
          <w:szCs w:val="32"/>
        </w:rPr>
        <w:t xml:space="preserve">有关应急救援指示批示精神； </w:t>
      </w:r>
    </w:p>
    <w:p w14:paraId="7A7C3FCB">
      <w:pPr>
        <w:spacing w:line="560" w:lineRule="exact"/>
        <w:ind w:firstLine="624"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（2）研究制定应对工贸行业生产安全事故的政策</w:t>
      </w:r>
      <w:r>
        <w:rPr>
          <w:rFonts w:hint="eastAsia" w:ascii="仿宋_GB2312" w:hAnsi="仿宋_GB2312" w:eastAsia="仿宋_GB2312" w:cs="仿宋_GB2312"/>
          <w:kern w:val="0"/>
          <w:sz w:val="32"/>
          <w:szCs w:val="32"/>
        </w:rPr>
        <w:t>措</w:t>
      </w:r>
      <w:r>
        <w:rPr>
          <w:rFonts w:ascii="仿宋_GB2312" w:hAnsi="仿宋_GB2312" w:eastAsia="仿宋_GB2312" w:cs="仿宋_GB2312"/>
          <w:kern w:val="0"/>
          <w:sz w:val="32"/>
          <w:szCs w:val="32"/>
        </w:rPr>
        <w:t>施和指导意见</w:t>
      </w:r>
      <w:r>
        <w:rPr>
          <w:rFonts w:hint="eastAsia" w:ascii="仿宋_GB2312" w:hAnsi="仿宋_GB2312" w:eastAsia="仿宋_GB2312" w:cs="仿宋_GB2312"/>
          <w:kern w:val="0"/>
          <w:sz w:val="32"/>
          <w:szCs w:val="32"/>
        </w:rPr>
        <w:t>；</w:t>
      </w:r>
    </w:p>
    <w:p w14:paraId="5CCFF2CD">
      <w:pPr>
        <w:spacing w:line="560" w:lineRule="exact"/>
        <w:ind w:firstLine="624"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（3）发生事故时，负责应急救援工作的组织和指挥</w:t>
      </w:r>
      <w:r>
        <w:rPr>
          <w:rFonts w:hint="eastAsia" w:ascii="仿宋_GB2312" w:hAnsi="仿宋_GB2312" w:eastAsia="仿宋_GB2312" w:cs="仿宋_GB2312"/>
          <w:kern w:val="0"/>
          <w:sz w:val="32"/>
          <w:szCs w:val="32"/>
        </w:rPr>
        <w:t>，向各</w:t>
      </w:r>
      <w:r>
        <w:rPr>
          <w:rFonts w:ascii="仿宋_GB2312" w:hAnsi="仿宋_GB2312" w:eastAsia="仿宋_GB2312" w:cs="仿宋_GB2312"/>
          <w:kern w:val="0"/>
          <w:sz w:val="32"/>
          <w:szCs w:val="32"/>
        </w:rPr>
        <w:t>工作组发出救援指令，指挥、调度有关部门（单位）参加事故</w:t>
      </w:r>
      <w:r>
        <w:rPr>
          <w:rFonts w:hint="eastAsia" w:ascii="仿宋_GB2312" w:hAnsi="仿宋_GB2312" w:eastAsia="仿宋_GB2312" w:cs="仿宋_GB2312"/>
          <w:kern w:val="0"/>
          <w:sz w:val="32"/>
          <w:szCs w:val="32"/>
        </w:rPr>
        <w:t>应</w:t>
      </w:r>
      <w:r>
        <w:rPr>
          <w:rFonts w:ascii="仿宋_GB2312" w:hAnsi="仿宋_GB2312" w:eastAsia="仿宋_GB2312" w:cs="仿宋_GB2312"/>
          <w:kern w:val="0"/>
          <w:sz w:val="32"/>
          <w:szCs w:val="32"/>
        </w:rPr>
        <w:t xml:space="preserve">急救援，紧急调度应急储备物资、交通工具以及相关设施设备； </w:t>
      </w:r>
    </w:p>
    <w:p w14:paraId="206049BE">
      <w:pPr>
        <w:spacing w:line="560" w:lineRule="exact"/>
        <w:ind w:firstLine="624"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（4）确定各部门的职责，协调各部门之间的关系，检查督促各救援工作组及部门的工作，及时提出指导和改进意见。</w:t>
      </w:r>
      <w:r>
        <w:rPr>
          <w:rFonts w:hint="eastAsia" w:ascii="仿宋_GB2312" w:hAnsi="仿宋_GB2312" w:eastAsia="仿宋_GB2312" w:cs="仿宋_GB2312"/>
          <w:kern w:val="0"/>
          <w:sz w:val="32"/>
          <w:szCs w:val="32"/>
        </w:rPr>
        <w:t>适时</w:t>
      </w:r>
      <w:r>
        <w:rPr>
          <w:rFonts w:ascii="仿宋_GB2312" w:hAnsi="仿宋_GB2312" w:eastAsia="仿宋_GB2312" w:cs="仿宋_GB2312"/>
          <w:kern w:val="0"/>
          <w:sz w:val="32"/>
          <w:szCs w:val="32"/>
        </w:rPr>
        <w:t xml:space="preserve">调整应急救援人员组成，保证救援机构正常工作； </w:t>
      </w:r>
    </w:p>
    <w:p w14:paraId="5B5C91F2">
      <w:pPr>
        <w:spacing w:line="560" w:lineRule="exact"/>
        <w:ind w:firstLine="624"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（5）负责内外信息的接收和发布，向上级汇报事故救援情况； </w:t>
      </w:r>
    </w:p>
    <w:p w14:paraId="30924261">
      <w:pPr>
        <w:spacing w:line="560" w:lineRule="exact"/>
        <w:ind w:firstLine="624"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（6）负责向上级部门提交事故及救援报告。</w:t>
      </w:r>
    </w:p>
    <w:p w14:paraId="492ED27C">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3.2 工作组组成及职责</w:t>
      </w:r>
    </w:p>
    <w:p w14:paraId="653A489B">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3.2.1 综合协调组</w:t>
      </w:r>
    </w:p>
    <w:p w14:paraId="2179D32C">
      <w:pPr>
        <w:spacing w:line="560" w:lineRule="exact"/>
        <w:ind w:firstLine="624" w:firstLineChars="200"/>
        <w:rPr>
          <w:sz w:val="32"/>
          <w:szCs w:val="32"/>
        </w:rPr>
      </w:pPr>
      <w:r>
        <w:rPr>
          <w:rFonts w:ascii="仿宋_GB2312" w:hAnsi="仿宋_GB2312" w:eastAsia="仿宋_GB2312" w:cs="仿宋_GB2312"/>
          <w:kern w:val="0"/>
          <w:sz w:val="32"/>
          <w:szCs w:val="32"/>
        </w:rPr>
        <w:t>组</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长</w:t>
      </w:r>
      <w:r>
        <w:rPr>
          <w:rFonts w:hint="eastAsia" w:ascii="仿宋_GB2312" w:hAnsi="仿宋_GB2312" w:eastAsia="仿宋_GB2312" w:cs="仿宋_GB2312"/>
          <w:kern w:val="0"/>
          <w:sz w:val="32"/>
          <w:szCs w:val="32"/>
        </w:rPr>
        <w:t>：综合管理部分管负责人</w:t>
      </w:r>
    </w:p>
    <w:p w14:paraId="4D85AAD6">
      <w:pPr>
        <w:spacing w:line="560" w:lineRule="exact"/>
        <w:ind w:firstLine="624" w:firstLineChars="200"/>
        <w:rPr>
          <w:sz w:val="32"/>
          <w:szCs w:val="32"/>
        </w:rPr>
      </w:pPr>
      <w:r>
        <w:rPr>
          <w:rFonts w:ascii="仿宋_GB2312" w:hAnsi="仿宋_GB2312" w:eastAsia="仿宋_GB2312" w:cs="仿宋_GB2312"/>
          <w:kern w:val="0"/>
          <w:sz w:val="32"/>
          <w:szCs w:val="32"/>
        </w:rPr>
        <w:t>成</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员：</w:t>
      </w:r>
      <w:r>
        <w:rPr>
          <w:rFonts w:hint="eastAsia" w:ascii="仿宋_GB2312" w:hAnsi="仿宋_GB2312" w:eastAsia="仿宋_GB2312" w:cs="仿宋_GB2312"/>
          <w:kern w:val="0"/>
          <w:sz w:val="32"/>
          <w:szCs w:val="32"/>
        </w:rPr>
        <w:t>区综合管理部</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区</w:t>
      </w:r>
      <w:r>
        <w:rPr>
          <w:rFonts w:ascii="仿宋_GB2312" w:hAnsi="仿宋_GB2312" w:eastAsia="仿宋_GB2312" w:cs="仿宋_GB2312"/>
          <w:kern w:val="0"/>
          <w:sz w:val="32"/>
          <w:szCs w:val="32"/>
        </w:rPr>
        <w:t>应急</w:t>
      </w:r>
      <w:r>
        <w:rPr>
          <w:rFonts w:hint="eastAsia" w:ascii="仿宋_GB2312" w:hAnsi="仿宋_GB2312" w:eastAsia="仿宋_GB2312" w:cs="仿宋_GB2312"/>
          <w:kern w:val="0"/>
          <w:sz w:val="32"/>
          <w:szCs w:val="32"/>
        </w:rPr>
        <w:t>管理分局</w:t>
      </w:r>
      <w:r>
        <w:rPr>
          <w:rFonts w:ascii="仿宋_GB2312" w:hAnsi="仿宋_GB2312" w:eastAsia="仿宋_GB2312" w:cs="仿宋_GB2312"/>
          <w:kern w:val="0"/>
          <w:sz w:val="32"/>
          <w:szCs w:val="32"/>
        </w:rPr>
        <w:t>等部门相关处室以及</w:t>
      </w:r>
      <w:r>
        <w:rPr>
          <w:rFonts w:hint="eastAsia" w:ascii="仿宋_GB2312" w:hAnsi="仿宋_GB2312" w:eastAsia="仿宋_GB2312" w:cs="仿宋_GB2312"/>
          <w:kern w:val="0"/>
          <w:sz w:val="32"/>
          <w:szCs w:val="32"/>
        </w:rPr>
        <w:t>事发地管理处</w:t>
      </w:r>
      <w:r>
        <w:rPr>
          <w:rFonts w:ascii="仿宋_GB2312" w:hAnsi="仿宋_GB2312" w:eastAsia="仿宋_GB2312" w:cs="仿宋_GB2312"/>
          <w:kern w:val="0"/>
          <w:sz w:val="32"/>
          <w:szCs w:val="32"/>
        </w:rPr>
        <w:t>的负责人</w:t>
      </w:r>
    </w:p>
    <w:p w14:paraId="182096AC">
      <w:pPr>
        <w:spacing w:line="560" w:lineRule="exact"/>
        <w:ind w:firstLine="624"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职</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责：起草工作专报、领导讲话等文稿以及指挥部工作专 报，整理指挥部大事记，按程序报送相关领导；向</w:t>
      </w:r>
      <w:r>
        <w:rPr>
          <w:rFonts w:hint="eastAsia" w:ascii="仿宋_GB2312" w:hAnsi="仿宋_GB2312" w:eastAsia="仿宋_GB2312" w:cs="仿宋_GB2312"/>
          <w:kern w:val="0"/>
          <w:sz w:val="32"/>
          <w:szCs w:val="32"/>
        </w:rPr>
        <w:t>上级</w:t>
      </w:r>
      <w:r>
        <w:rPr>
          <w:rFonts w:ascii="仿宋_GB2312" w:hAnsi="仿宋_GB2312" w:eastAsia="仿宋_GB2312" w:cs="仿宋_GB2312"/>
          <w:kern w:val="0"/>
          <w:sz w:val="32"/>
          <w:szCs w:val="32"/>
        </w:rPr>
        <w:t>应急管理</w:t>
      </w:r>
      <w:r>
        <w:rPr>
          <w:rFonts w:hint="eastAsia" w:ascii="仿宋_GB2312" w:hAnsi="仿宋_GB2312" w:eastAsia="仿宋_GB2312" w:cs="仿宋_GB2312"/>
          <w:kern w:val="0"/>
          <w:sz w:val="32"/>
          <w:szCs w:val="32"/>
        </w:rPr>
        <w:t>部门</w:t>
      </w:r>
      <w:r>
        <w:rPr>
          <w:rFonts w:ascii="仿宋_GB2312" w:hAnsi="仿宋_GB2312" w:eastAsia="仿宋_GB2312" w:cs="仿宋_GB2312"/>
          <w:kern w:val="0"/>
          <w:sz w:val="32"/>
          <w:szCs w:val="32"/>
        </w:rPr>
        <w:t>报送相关信息；整理指挥部会议记录，形成会议纪要和领导同志讲话整理稿；按照指挥部的部署和要求，协调其他相关工作</w:t>
      </w:r>
      <w:r>
        <w:rPr>
          <w:rFonts w:hint="eastAsia" w:ascii="仿宋_GB2312" w:hAnsi="仿宋_GB2312" w:eastAsia="仿宋_GB2312" w:cs="仿宋_GB2312"/>
          <w:kern w:val="0"/>
          <w:sz w:val="32"/>
          <w:szCs w:val="32"/>
        </w:rPr>
        <w:t>。</w:t>
      </w:r>
    </w:p>
    <w:p w14:paraId="772A06F8">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3.2.2 现场救援组</w:t>
      </w:r>
    </w:p>
    <w:p w14:paraId="46A1D75B">
      <w:pPr>
        <w:spacing w:line="560" w:lineRule="exact"/>
        <w:ind w:firstLine="624" w:firstLineChars="200"/>
        <w:rPr>
          <w:sz w:val="32"/>
          <w:szCs w:val="32"/>
        </w:rPr>
      </w:pPr>
      <w:r>
        <w:rPr>
          <w:rFonts w:ascii="仿宋_GB2312" w:hAnsi="仿宋_GB2312" w:eastAsia="仿宋_GB2312" w:cs="仿宋_GB2312"/>
          <w:kern w:val="0"/>
          <w:sz w:val="32"/>
          <w:szCs w:val="32"/>
        </w:rPr>
        <w:t>组</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长</w:t>
      </w:r>
      <w:r>
        <w:rPr>
          <w:rFonts w:hint="eastAsia" w:ascii="仿宋_GB2312" w:hAnsi="仿宋_GB2312" w:eastAsia="仿宋_GB2312" w:cs="仿宋_GB2312"/>
          <w:kern w:val="0"/>
          <w:sz w:val="32"/>
          <w:szCs w:val="32"/>
        </w:rPr>
        <w:t>：区应急管理分局局长</w:t>
      </w:r>
    </w:p>
    <w:p w14:paraId="27459AAC">
      <w:pPr>
        <w:spacing w:line="560" w:lineRule="exact"/>
        <w:ind w:firstLine="624" w:firstLineChars="200"/>
        <w:rPr>
          <w:sz w:val="32"/>
          <w:szCs w:val="32"/>
        </w:rPr>
      </w:pPr>
      <w:r>
        <w:rPr>
          <w:rFonts w:ascii="仿宋_GB2312" w:hAnsi="仿宋_GB2312" w:eastAsia="仿宋_GB2312" w:cs="仿宋_GB2312"/>
          <w:kern w:val="0"/>
          <w:sz w:val="32"/>
          <w:szCs w:val="32"/>
        </w:rPr>
        <w:t>成</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员：</w:t>
      </w:r>
      <w:r>
        <w:rPr>
          <w:rFonts w:hint="eastAsia" w:ascii="仿宋_GB2312" w:hAnsi="仿宋_GB2312" w:eastAsia="仿宋_GB2312" w:cs="仿宋_GB2312"/>
          <w:kern w:val="0"/>
          <w:sz w:val="32"/>
          <w:szCs w:val="32"/>
        </w:rPr>
        <w:t>区应急分局、区消防救援大队、主管部门负责人和相关科室负责人、救援工作组、专家组负责人、事故企业负责人等。</w:t>
      </w:r>
    </w:p>
    <w:p w14:paraId="20D84560">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职  责：对事故危害程度和范围、发展趋势进行分析预判；负责研究制定落实救援技术方案、安全措施及应急救援各项工作制度；负责实施指挥部批准的应急救援方案；组织召开现场救援调度工作会议；汇总救援工作组和专家组工作情况，分析存在问题，根据应急救援中存在的问题及时提出优化完善措施，报指挥部审定。</w:t>
      </w:r>
    </w:p>
    <w:p w14:paraId="40D628A4">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3.2.3 医疗卫生组</w:t>
      </w:r>
    </w:p>
    <w:p w14:paraId="3685E2A8">
      <w:pPr>
        <w:spacing w:line="560" w:lineRule="exact"/>
        <w:ind w:firstLine="624" w:firstLineChars="200"/>
        <w:rPr>
          <w:sz w:val="32"/>
          <w:szCs w:val="32"/>
        </w:rPr>
      </w:pPr>
      <w:r>
        <w:rPr>
          <w:rFonts w:ascii="仿宋_GB2312" w:hAnsi="仿宋_GB2312" w:eastAsia="仿宋_GB2312" w:cs="仿宋_GB2312"/>
          <w:kern w:val="0"/>
          <w:sz w:val="32"/>
          <w:szCs w:val="32"/>
        </w:rPr>
        <w:t>组</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长</w:t>
      </w:r>
      <w:r>
        <w:rPr>
          <w:rFonts w:hint="eastAsia" w:ascii="仿宋_GB2312" w:hAnsi="仿宋_GB2312" w:eastAsia="仿宋_GB2312" w:cs="仿宋_GB2312"/>
          <w:kern w:val="0"/>
          <w:sz w:val="32"/>
          <w:szCs w:val="32"/>
        </w:rPr>
        <w:t>：区卫生健康管理办公室负责人</w:t>
      </w:r>
    </w:p>
    <w:p w14:paraId="7EE4A768">
      <w:pPr>
        <w:spacing w:line="560" w:lineRule="exact"/>
        <w:ind w:firstLine="624" w:firstLineChars="200"/>
        <w:rPr>
          <w:sz w:val="32"/>
          <w:szCs w:val="32"/>
        </w:rPr>
      </w:pPr>
      <w:r>
        <w:rPr>
          <w:rFonts w:ascii="仿宋_GB2312" w:hAnsi="仿宋_GB2312" w:eastAsia="仿宋_GB2312" w:cs="仿宋_GB2312"/>
          <w:kern w:val="0"/>
          <w:sz w:val="32"/>
          <w:szCs w:val="32"/>
        </w:rPr>
        <w:t>成</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员：</w:t>
      </w:r>
      <w:r>
        <w:rPr>
          <w:rFonts w:hint="eastAsia" w:ascii="仿宋_GB2312" w:hAnsi="仿宋_GB2312" w:eastAsia="仿宋_GB2312" w:cs="仿宋_GB2312"/>
          <w:kern w:val="0"/>
          <w:sz w:val="32"/>
          <w:szCs w:val="32"/>
        </w:rPr>
        <w:t>区卫生健康管理办公室、定点医院负责人</w:t>
      </w:r>
    </w:p>
    <w:p w14:paraId="3071183A">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职  责：综合协调指导医疗救治工作，组织现场救治工作，确定定点医院，负责救护车辆的调派和伤患者的转运工作，负责根据需要做好卫生防疫工作，指导事发企业做好职业健康防护。 </w:t>
      </w:r>
    </w:p>
    <w:p w14:paraId="356E5799">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3.2.4 环境监测组</w:t>
      </w:r>
    </w:p>
    <w:p w14:paraId="0FB2F312">
      <w:pPr>
        <w:spacing w:line="560" w:lineRule="exact"/>
        <w:ind w:firstLine="624" w:firstLineChars="200"/>
        <w:rPr>
          <w:sz w:val="32"/>
          <w:szCs w:val="32"/>
        </w:rPr>
      </w:pPr>
      <w:r>
        <w:rPr>
          <w:rFonts w:ascii="仿宋_GB2312" w:hAnsi="仿宋_GB2312" w:eastAsia="仿宋_GB2312" w:cs="仿宋_GB2312"/>
          <w:kern w:val="0"/>
          <w:sz w:val="32"/>
          <w:szCs w:val="32"/>
        </w:rPr>
        <w:t>组</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长</w:t>
      </w:r>
      <w:r>
        <w:rPr>
          <w:rFonts w:hint="eastAsia" w:ascii="仿宋_GB2312" w:hAnsi="仿宋_GB2312" w:eastAsia="仿宋_GB2312" w:cs="仿宋_GB2312"/>
          <w:kern w:val="0"/>
          <w:sz w:val="32"/>
          <w:szCs w:val="32"/>
        </w:rPr>
        <w:t>：区生态环境分局负责人</w:t>
      </w:r>
      <w:r>
        <w:rPr>
          <w:rFonts w:ascii="仿宋_GB2312" w:hAnsi="仿宋_GB2312" w:eastAsia="仿宋_GB2312" w:cs="仿宋_GB2312"/>
          <w:kern w:val="0"/>
          <w:sz w:val="32"/>
          <w:szCs w:val="32"/>
        </w:rPr>
        <w:t xml:space="preserve"> </w:t>
      </w:r>
    </w:p>
    <w:p w14:paraId="50F2C303">
      <w:pPr>
        <w:spacing w:line="560" w:lineRule="exact"/>
        <w:ind w:firstLine="624"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成</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员：</w:t>
      </w:r>
      <w:r>
        <w:rPr>
          <w:rFonts w:hint="eastAsia" w:ascii="仿宋_GB2312" w:hAnsi="仿宋_GB2312" w:eastAsia="仿宋_GB2312" w:cs="仿宋_GB2312"/>
          <w:kern w:val="0"/>
          <w:sz w:val="32"/>
          <w:szCs w:val="32"/>
        </w:rPr>
        <w:t>区生态环境分局、社会事业管理服务中心、单位分管负责人、事发地管理处负责人</w:t>
      </w:r>
    </w:p>
    <w:p w14:paraId="148B3880">
      <w:pPr>
        <w:spacing w:line="560" w:lineRule="exact"/>
        <w:ind w:firstLine="624" w:firstLineChars="200"/>
      </w:pPr>
      <w:r>
        <w:rPr>
          <w:rFonts w:hint="eastAsia" w:ascii="仿宋_GB2312" w:hAnsi="仿宋_GB2312" w:eastAsia="仿宋_GB2312" w:cs="仿宋_GB2312"/>
          <w:kern w:val="0"/>
          <w:sz w:val="32"/>
          <w:szCs w:val="32"/>
        </w:rPr>
        <w:t>职  责：负责组织指导事发地环境质量应急监测，分析研判现场污染状况及变化趋势，指导因生产安全事故次生、衍生的环境污染处置；负责根据事故分析和应急救援需要组织提供天气监测预报预警气象服务。</w:t>
      </w:r>
    </w:p>
    <w:p w14:paraId="6F19EAEC">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3.2.5 新闻工作组</w:t>
      </w:r>
    </w:p>
    <w:p w14:paraId="6B0DEB99">
      <w:pPr>
        <w:spacing w:line="560" w:lineRule="exact"/>
        <w:ind w:firstLine="624" w:firstLineChars="200"/>
        <w:rPr>
          <w:sz w:val="32"/>
          <w:szCs w:val="32"/>
        </w:rPr>
      </w:pPr>
      <w:r>
        <w:rPr>
          <w:rFonts w:ascii="仿宋_GB2312" w:hAnsi="仿宋_GB2312" w:eastAsia="仿宋_GB2312" w:cs="仿宋_GB2312"/>
          <w:kern w:val="0"/>
          <w:sz w:val="32"/>
          <w:szCs w:val="32"/>
        </w:rPr>
        <w:t>组</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长</w:t>
      </w:r>
      <w:r>
        <w:rPr>
          <w:rFonts w:hint="eastAsia" w:ascii="仿宋_GB2312" w:hAnsi="仿宋_GB2312" w:eastAsia="仿宋_GB2312" w:cs="仿宋_GB2312"/>
          <w:kern w:val="0"/>
          <w:sz w:val="32"/>
          <w:szCs w:val="32"/>
        </w:rPr>
        <w:t>：区综合管理部分管负责人</w:t>
      </w:r>
    </w:p>
    <w:p w14:paraId="4FF038EE">
      <w:pPr>
        <w:spacing w:line="560" w:lineRule="exact"/>
        <w:ind w:firstLine="624"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成</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员：</w:t>
      </w:r>
      <w:r>
        <w:rPr>
          <w:rFonts w:hint="eastAsia" w:ascii="仿宋_GB2312" w:hAnsi="仿宋_GB2312" w:eastAsia="仿宋_GB2312" w:cs="仿宋_GB2312"/>
          <w:kern w:val="0"/>
          <w:sz w:val="32"/>
          <w:szCs w:val="32"/>
        </w:rPr>
        <w:t>区综合管理部、事发地管理处及事故企业（集团公司）有关负责人。</w:t>
      </w:r>
    </w:p>
    <w:p w14:paraId="52B9A897">
      <w:pPr>
        <w:spacing w:line="560" w:lineRule="exact"/>
        <w:ind w:firstLine="624"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职</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责：科学做好权威信息发布</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严密监测网上舆情动态</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稳妥做好舆论引导工作</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加强负面敏感信息管控处置，</w:t>
      </w:r>
      <w:r>
        <w:rPr>
          <w:rFonts w:hint="eastAsia" w:ascii="仿宋_GB2312" w:hAnsi="仿宋_GB2312" w:eastAsia="仿宋_GB2312" w:cs="仿宋_GB2312"/>
          <w:kern w:val="0"/>
          <w:sz w:val="32"/>
          <w:szCs w:val="32"/>
        </w:rPr>
        <w:t>及时</w:t>
      </w:r>
      <w:r>
        <w:rPr>
          <w:rFonts w:ascii="仿宋_GB2312" w:hAnsi="仿宋_GB2312" w:eastAsia="仿宋_GB2312" w:cs="仿宋_GB2312"/>
          <w:kern w:val="0"/>
          <w:sz w:val="32"/>
          <w:szCs w:val="32"/>
        </w:rPr>
        <w:t>清理有害信息。</w:t>
      </w:r>
    </w:p>
    <w:p w14:paraId="3063A28C">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3.2.6 治安维护组</w:t>
      </w:r>
    </w:p>
    <w:p w14:paraId="6C1524A0">
      <w:pPr>
        <w:spacing w:line="560" w:lineRule="exact"/>
        <w:ind w:firstLine="624" w:firstLineChars="200"/>
        <w:rPr>
          <w:sz w:val="32"/>
          <w:szCs w:val="32"/>
        </w:rPr>
      </w:pPr>
      <w:r>
        <w:rPr>
          <w:rFonts w:ascii="仿宋_GB2312" w:hAnsi="仿宋_GB2312" w:eastAsia="仿宋_GB2312" w:cs="仿宋_GB2312"/>
          <w:kern w:val="0"/>
          <w:sz w:val="32"/>
          <w:szCs w:val="32"/>
        </w:rPr>
        <w:t>组</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长</w:t>
      </w:r>
      <w:r>
        <w:rPr>
          <w:rFonts w:hint="eastAsia" w:ascii="仿宋_GB2312" w:hAnsi="仿宋_GB2312" w:eastAsia="仿宋_GB2312" w:cs="仿宋_GB2312"/>
          <w:kern w:val="0"/>
          <w:sz w:val="32"/>
          <w:szCs w:val="32"/>
        </w:rPr>
        <w:t>：区公安分局主要负责人</w:t>
      </w:r>
    </w:p>
    <w:p w14:paraId="0FF58DDA">
      <w:pPr>
        <w:spacing w:line="560" w:lineRule="exact"/>
        <w:ind w:firstLine="624"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成</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员：</w:t>
      </w:r>
      <w:r>
        <w:rPr>
          <w:rFonts w:hint="eastAsia" w:ascii="仿宋_GB2312" w:hAnsi="仿宋_GB2312" w:eastAsia="仿宋_GB2312" w:cs="仿宋_GB2312"/>
          <w:kern w:val="0"/>
          <w:sz w:val="32"/>
          <w:szCs w:val="32"/>
        </w:rPr>
        <w:t>区公安分局、交警五大队</w:t>
      </w:r>
      <w:r>
        <w:rPr>
          <w:rFonts w:hint="eastAsia" w:eastAsia="仿宋_GB2312"/>
          <w:sz w:val="32"/>
          <w:szCs w:val="32"/>
        </w:rPr>
        <w:t>、</w:t>
      </w:r>
      <w:r>
        <w:rPr>
          <w:rFonts w:hint="eastAsia" w:ascii="仿宋_GB2312" w:hAnsi="仿宋_GB2312" w:eastAsia="仿宋_GB2312" w:cs="仿宋_GB2312"/>
          <w:kern w:val="0"/>
          <w:sz w:val="32"/>
          <w:szCs w:val="32"/>
        </w:rPr>
        <w:t>事发地管理处负责人</w:t>
      </w:r>
    </w:p>
    <w:p w14:paraId="1D2463F2">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职  责：负责事故现场治安警戒、人员疏散、秩序维护、交通疏导、现场调查取证，调配警力，及时疏散围观群众，维护道路交通秩序；对事故现场及周边实施巡逻管控；维护伤员救治定点医院治安秩序；做好遇难人员与直系家属的DNA认定工作。</w:t>
      </w:r>
    </w:p>
    <w:p w14:paraId="687FD256">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3.2.7 后勤保障组</w:t>
      </w:r>
    </w:p>
    <w:p w14:paraId="2B89CB22">
      <w:pPr>
        <w:spacing w:line="560" w:lineRule="exact"/>
        <w:ind w:firstLine="624" w:firstLineChars="200"/>
        <w:rPr>
          <w:sz w:val="32"/>
          <w:szCs w:val="32"/>
        </w:rPr>
      </w:pPr>
      <w:r>
        <w:rPr>
          <w:rFonts w:ascii="仿宋_GB2312" w:hAnsi="仿宋_GB2312" w:eastAsia="仿宋_GB2312" w:cs="仿宋_GB2312"/>
          <w:kern w:val="0"/>
          <w:sz w:val="32"/>
          <w:szCs w:val="32"/>
        </w:rPr>
        <w:t>组</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长</w:t>
      </w:r>
      <w:r>
        <w:rPr>
          <w:rFonts w:hint="eastAsia" w:ascii="仿宋_GB2312" w:hAnsi="仿宋_GB2312" w:eastAsia="仿宋_GB2312" w:cs="仿宋_GB2312"/>
          <w:kern w:val="0"/>
          <w:sz w:val="32"/>
          <w:szCs w:val="32"/>
        </w:rPr>
        <w:t>：事发地管理处分管负责人</w:t>
      </w:r>
    </w:p>
    <w:p w14:paraId="3329D475">
      <w:pPr>
        <w:spacing w:line="560" w:lineRule="exact"/>
        <w:ind w:firstLine="624" w:firstLineChars="200"/>
        <w:rPr>
          <w:sz w:val="32"/>
          <w:szCs w:val="32"/>
        </w:rPr>
      </w:pPr>
      <w:r>
        <w:rPr>
          <w:rFonts w:ascii="仿宋_GB2312" w:hAnsi="仿宋_GB2312" w:eastAsia="仿宋_GB2312" w:cs="仿宋_GB2312"/>
          <w:kern w:val="0"/>
          <w:sz w:val="32"/>
          <w:szCs w:val="32"/>
        </w:rPr>
        <w:t>成</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员：</w:t>
      </w:r>
      <w:r>
        <w:rPr>
          <w:rFonts w:hint="eastAsia" w:ascii="仿宋_GB2312" w:hAnsi="宋体" w:eastAsia="仿宋_GB2312"/>
          <w:sz w:val="32"/>
          <w:szCs w:val="32"/>
        </w:rPr>
        <w:t>事发地管理处、</w:t>
      </w:r>
      <w:r>
        <w:rPr>
          <w:rFonts w:hint="eastAsia" w:ascii="仿宋_GB2312" w:hAnsi="宋体" w:eastAsia="仿宋_GB2312" w:cs="仿宋_GB2312"/>
          <w:sz w:val="32"/>
          <w:szCs w:val="32"/>
        </w:rPr>
        <w:t>经济发展部</w:t>
      </w:r>
      <w:r>
        <w:rPr>
          <w:rFonts w:hint="eastAsia" w:ascii="仿宋_GB2312" w:hAnsi="宋体" w:eastAsia="仿宋_GB2312"/>
          <w:sz w:val="32"/>
          <w:szCs w:val="32"/>
        </w:rPr>
        <w:t>、招商部、</w:t>
      </w:r>
      <w:r>
        <w:rPr>
          <w:rFonts w:hint="eastAsia" w:ascii="仿宋_GB2312" w:hAnsi="宋体" w:eastAsia="仿宋_GB2312" w:cs="仿宋_GB2312"/>
          <w:sz w:val="32"/>
          <w:szCs w:val="32"/>
        </w:rPr>
        <w:t>财政金融部、规划国土建设部、</w:t>
      </w:r>
      <w:r>
        <w:rPr>
          <w:rFonts w:hint="eastAsia" w:ascii="仿宋_GB2312" w:hAnsi="宋体" w:eastAsia="仿宋_GB2312"/>
          <w:sz w:val="32"/>
          <w:szCs w:val="32"/>
        </w:rPr>
        <w:t>综合行政执法局</w:t>
      </w:r>
      <w:r>
        <w:rPr>
          <w:rFonts w:hint="eastAsia" w:ascii="仿宋_GB2312" w:hAnsi="宋体" w:eastAsia="仿宋_GB2312" w:cs="仿宋_GB2312"/>
          <w:sz w:val="32"/>
          <w:szCs w:val="32"/>
        </w:rPr>
        <w:t>、</w:t>
      </w:r>
      <w:r>
        <w:rPr>
          <w:rFonts w:hint="eastAsia" w:ascii="仿宋_GB2312" w:hAnsi="宋体" w:eastAsia="仿宋_GB2312"/>
          <w:sz w:val="32"/>
          <w:szCs w:val="32"/>
        </w:rPr>
        <w:t>市场监管分局负责人组成。</w:t>
      </w:r>
    </w:p>
    <w:p w14:paraId="256178A5">
      <w:pPr>
        <w:spacing w:line="560" w:lineRule="exact"/>
        <w:ind w:firstLine="624" w:firstLineChars="200"/>
      </w:pPr>
      <w:r>
        <w:rPr>
          <w:rFonts w:ascii="仿宋_GB2312" w:hAnsi="仿宋_GB2312" w:eastAsia="仿宋_GB2312" w:cs="仿宋_GB2312"/>
          <w:kern w:val="0"/>
          <w:sz w:val="32"/>
          <w:szCs w:val="32"/>
        </w:rPr>
        <w:t>职</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责：</w:t>
      </w:r>
      <w:r>
        <w:rPr>
          <w:rFonts w:hint="eastAsia" w:ascii="仿宋_GB2312" w:hAnsi="仿宋_GB2312" w:eastAsia="仿宋_GB2312" w:cs="仿宋_GB2312"/>
          <w:kern w:val="0"/>
          <w:sz w:val="32"/>
          <w:szCs w:val="32"/>
        </w:rPr>
        <w:t>保障救援物资、物品、电力供应，做好救援办公、会议、食宿、车辆等保障工作。</w:t>
      </w:r>
    </w:p>
    <w:p w14:paraId="01D1313F">
      <w:pPr>
        <w:spacing w:line="560" w:lineRule="exact"/>
        <w:ind w:firstLine="624" w:firstLineChars="200"/>
      </w:pPr>
      <w:r>
        <w:rPr>
          <w:rFonts w:hint="eastAsia" w:ascii="黑体" w:hAnsi="黑体" w:eastAsia="黑体" w:cs="黑体"/>
          <w:sz w:val="32"/>
          <w:szCs w:val="32"/>
        </w:rPr>
        <w:t>4  预防预警及信息报告</w:t>
      </w:r>
    </w:p>
    <w:p w14:paraId="75DBB47B">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bCs/>
          <w:sz w:val="32"/>
          <w:szCs w:val="32"/>
        </w:rPr>
        <w:t>4.1 预  防</w:t>
      </w:r>
    </w:p>
    <w:p w14:paraId="02DDBDB6">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 xml:space="preserve">4.1.1  </w:t>
      </w:r>
      <w:r>
        <w:rPr>
          <w:rFonts w:ascii="仿宋_GB2312" w:hAnsi="仿宋_GB2312" w:eastAsia="仿宋_GB2312" w:cs="仿宋_GB2312"/>
          <w:kern w:val="0"/>
          <w:sz w:val="32"/>
          <w:szCs w:val="32"/>
          <w:lang w:val="en-US"/>
        </w:rPr>
        <w:t>监督工贸行业企业规范建立和实施风险分级管控和隐患排查治理体系，及时消除重大隐患。</w:t>
      </w:r>
    </w:p>
    <w:p w14:paraId="750E070E">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4.1.2  加大对高级别风险点和重大危险源的监督管理、管控措施的检查落实。</w:t>
      </w:r>
    </w:p>
    <w:p w14:paraId="059711C8">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4.1.3  加强源头治理，抓好新建、改建、扩建项目“三同时”的落实，积极鼓励和引导企业采取安全本质化措施。</w:t>
      </w:r>
    </w:p>
    <w:p w14:paraId="65DCBA91">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4.1.4  定期分析工贸行业风险管控现状，研判突发事故应对的总体形势，制定防范措施。</w:t>
      </w:r>
    </w:p>
    <w:p w14:paraId="1C3795F9">
      <w:pPr>
        <w:spacing w:line="560" w:lineRule="exact"/>
        <w:ind w:firstLine="624" w:firstLineChars="200"/>
      </w:pPr>
      <w:r>
        <w:rPr>
          <w:rFonts w:hint="eastAsia" w:ascii="仿宋_GB2312" w:hAnsi="仿宋_GB2312" w:eastAsia="仿宋_GB2312" w:cs="仿宋_GB2312"/>
          <w:kern w:val="0"/>
          <w:sz w:val="32"/>
          <w:szCs w:val="32"/>
        </w:rPr>
        <w:t>4.1.5  监督工贸行业企业制定、及时修订和实施本单位生产安全事故应急预案，并定期开展应急演练。</w:t>
      </w:r>
    </w:p>
    <w:p w14:paraId="6DAF56A2">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bCs/>
          <w:sz w:val="32"/>
          <w:szCs w:val="32"/>
        </w:rPr>
        <w:t>4.2 预  警</w:t>
      </w:r>
    </w:p>
    <w:p w14:paraId="07DDD613">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4.2.1  信息监测预警</w:t>
      </w:r>
    </w:p>
    <w:p w14:paraId="3CBE0299">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工贸行业企业根据现场条件、可能发生事故的类型、危害程度，建设安全生产重大风险隐患监测预警系统，及时分析预测。区管委有关部门和企业应当加强对重大危险源的监控，建立常规数据监测、风险分析与分级管控等制度，对可能引发生产安全事故的险情，或者其他可能引发事故灾难的重要信息，做到早发现、早报告、早处置。</w:t>
      </w:r>
    </w:p>
    <w:p w14:paraId="4F153996">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4.2.2   预警信息分析</w:t>
      </w:r>
    </w:p>
    <w:p w14:paraId="5BC764D7">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区应急管理分局，对收集到的本行政区域内或可能对本辖区造成重大影响的工贸行业生产安全事故预测信息，进行可靠性分析，根据预警级别及时向区管委、市应急管理局和相关部门报告。</w:t>
      </w:r>
    </w:p>
    <w:p w14:paraId="794495DE">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4.2.3  预警级别</w:t>
      </w:r>
    </w:p>
    <w:p w14:paraId="18E915F8">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根据工贸行业事故可能造成的危害性、紧急程度和影响范围，依据本预案规定的事故分级，工贸行业事故预警级别由高到低分为四级：红色预警、橙色预警、黄色预警、蓝色预警。</w:t>
      </w:r>
    </w:p>
    <w:p w14:paraId="67AAAB08">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（1）红色预警：情况紧急，有可能发生或易引发特别重大事故；事故已发生，可能会进一步扩大事故范围或引发次生、衍生事故，造成重大人员伤亡；烟台市政府根据情况采取市级应急响应。</w:t>
      </w:r>
    </w:p>
    <w:p w14:paraId="3BEF956B">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（2）橙色预警：情况紧急，有可能发生或易引发重大事故；事故已发生，可能会进一步扩大事故范围，造成更多人员伤亡；烟台市政府根据情况采取市级应急响应。</w:t>
      </w:r>
    </w:p>
    <w:p w14:paraId="0B1728D5">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（3）黄色预警：情况比较紧急，有可能发生或易引发较大事故；事故已发生，可能会进一步扩大事故范围，造成较多人员伤亡；区管委根据情况启动区级应急响应。</w:t>
      </w:r>
    </w:p>
    <w:p w14:paraId="6043E46F">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（4）蓝色预警:出现异常状态、有可能发生或易引发一般事故；事故已发生，可能会进一步扩大事故范围，增加伤亡人数；区管委根据情况启动区级应急响应。</w:t>
      </w:r>
    </w:p>
    <w:p w14:paraId="144E75B6">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4.2.4  预警信息发布和解除</w:t>
      </w:r>
    </w:p>
    <w:p w14:paraId="453FD509">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信息发布、调整和解除，可通过广播、电视、报刊、通信、信息网络或其他方式进行。有事实证明不可能发生突发安全事故或危险已经解除，应及时宣布解除预警，并解除相关措施。</w:t>
      </w:r>
    </w:p>
    <w:p w14:paraId="26E6BB1B">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（1）红色预警：烟台</w:t>
      </w:r>
      <w:r>
        <w:rPr>
          <w:rFonts w:hint="eastAsia" w:ascii="仿宋_GB2312" w:eastAsia="仿宋_GB2312" w:cs="仿宋_GB2312"/>
          <w:sz w:val="32"/>
          <w:szCs w:val="32"/>
        </w:rPr>
        <w:t>市政府发布和解除。</w:t>
      </w:r>
    </w:p>
    <w:p w14:paraId="0BEC3847">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（2）橙色预警：烟台</w:t>
      </w:r>
      <w:r>
        <w:rPr>
          <w:rFonts w:hint="eastAsia" w:ascii="仿宋_GB2312" w:eastAsia="仿宋_GB2312" w:cs="仿宋_GB2312"/>
          <w:sz w:val="32"/>
          <w:szCs w:val="32"/>
        </w:rPr>
        <w:t>市政府发布和解除。</w:t>
      </w:r>
    </w:p>
    <w:p w14:paraId="62C07BEB">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（3）黄色预警：烟台</w:t>
      </w:r>
      <w:r>
        <w:rPr>
          <w:rFonts w:hint="eastAsia" w:ascii="仿宋_GB2312" w:eastAsia="仿宋_GB2312" w:cs="仿宋_GB2312"/>
          <w:sz w:val="32"/>
          <w:szCs w:val="32"/>
        </w:rPr>
        <w:t>市政府发布和解除或市政府授权区</w:t>
      </w:r>
      <w:r>
        <w:rPr>
          <w:rFonts w:hint="eastAsia" w:ascii="仿宋_GB2312" w:eastAsia="仿宋_GB2312" w:cs="仿宋_GB2312"/>
          <w:sz w:val="32"/>
          <w:szCs w:val="32"/>
          <w:lang w:val="en-US"/>
        </w:rPr>
        <w:t>管委</w:t>
      </w:r>
      <w:r>
        <w:rPr>
          <w:rFonts w:hint="eastAsia" w:ascii="仿宋_GB2312" w:eastAsia="仿宋_GB2312" w:cs="仿宋_GB2312"/>
          <w:sz w:val="32"/>
          <w:szCs w:val="32"/>
        </w:rPr>
        <w:t>发布和解除。</w:t>
      </w:r>
    </w:p>
    <w:p w14:paraId="131AB744">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（4）蓝色预警：</w:t>
      </w:r>
      <w:r>
        <w:rPr>
          <w:rFonts w:hint="eastAsia" w:ascii="仿宋_GB2312" w:eastAsia="仿宋_GB2312" w:cs="仿宋_GB2312"/>
          <w:sz w:val="32"/>
          <w:szCs w:val="32"/>
        </w:rPr>
        <w:t>区</w:t>
      </w:r>
      <w:r>
        <w:rPr>
          <w:rFonts w:hint="eastAsia" w:ascii="仿宋_GB2312" w:eastAsia="仿宋_GB2312" w:cs="仿宋_GB2312"/>
          <w:sz w:val="32"/>
          <w:szCs w:val="32"/>
          <w:lang w:val="en-US"/>
        </w:rPr>
        <w:t>管委</w:t>
      </w:r>
      <w:r>
        <w:rPr>
          <w:rFonts w:hint="eastAsia" w:ascii="仿宋_GB2312" w:eastAsia="仿宋_GB2312" w:cs="仿宋_GB2312"/>
          <w:sz w:val="32"/>
          <w:szCs w:val="32"/>
        </w:rPr>
        <w:t>发布和解除。</w:t>
      </w:r>
    </w:p>
    <w:p w14:paraId="04AF43E9">
      <w:pPr>
        <w:pStyle w:val="18"/>
        <w:tabs>
          <w:tab w:val="left" w:pos="1870"/>
          <w:tab w:val="left" w:pos="1871"/>
        </w:tabs>
        <w:spacing w:before="0" w:line="560" w:lineRule="exact"/>
        <w:ind w:left="0" w:firstLine="624" w:firstLineChars="200"/>
        <w:rPr>
          <w:rFonts w:ascii="楷体_GB2312" w:hAnsi="楷体_GB2312" w:eastAsia="楷体_GB2312" w:cs="楷体_GB2312"/>
          <w:bCs/>
          <w:sz w:val="32"/>
          <w:szCs w:val="32"/>
          <w:lang w:val="en-US" w:bidi="ar-SA"/>
        </w:rPr>
      </w:pPr>
      <w:r>
        <w:rPr>
          <w:rFonts w:hint="eastAsia" w:ascii="楷体_GB2312" w:hAnsi="楷体_GB2312" w:eastAsia="楷体_GB2312" w:cs="楷体_GB2312"/>
          <w:bCs/>
          <w:sz w:val="32"/>
          <w:szCs w:val="32"/>
          <w:lang w:val="en-US" w:bidi="ar-SA"/>
        </w:rPr>
        <w:t>4.3  信息报告</w:t>
      </w:r>
    </w:p>
    <w:p w14:paraId="2C34C217">
      <w:pPr>
        <w:spacing w:line="560" w:lineRule="exact"/>
        <w:ind w:firstLine="624" w:firstLineChars="200"/>
        <w:rPr>
          <w:rFonts w:ascii="仿宋_GB2312" w:eastAsia="仿宋_GB2312" w:cs="仿宋_GB2312"/>
          <w:sz w:val="32"/>
          <w:szCs w:val="32"/>
          <w:lang w:val="zh-CN"/>
        </w:rPr>
      </w:pPr>
      <w:r>
        <w:rPr>
          <w:rFonts w:hint="eastAsia" w:ascii="仿宋_GB2312" w:eastAsia="仿宋_GB2312" w:cs="仿宋_GB2312"/>
          <w:sz w:val="32"/>
          <w:szCs w:val="32"/>
          <w:lang w:val="zh-CN"/>
        </w:rPr>
        <w:t>事故发生后，现场人员应立即向本单位负责人报告；企业负责人接到事故报告后，应第一时间报告区应急管理分局和其他负有安全生产监督管理职责的部门，</w:t>
      </w:r>
      <w:r>
        <w:rPr>
          <w:rFonts w:hint="eastAsia" w:ascii="仿宋_GB2312" w:eastAsia="仿宋_GB2312"/>
          <w:sz w:val="32"/>
          <w:szCs w:val="32"/>
        </w:rPr>
        <w:t>同时启动本单位相应应急预案，迅速采取有效措施，</w:t>
      </w:r>
      <w:r>
        <w:rPr>
          <w:rFonts w:hint="eastAsia" w:ascii="仿宋_GB2312" w:eastAsia="仿宋_GB2312"/>
          <w:bCs/>
          <w:sz w:val="32"/>
          <w:szCs w:val="32"/>
        </w:rPr>
        <w:t>组织应急队伍进行抢险救援。</w:t>
      </w:r>
      <w:r>
        <w:rPr>
          <w:rFonts w:hint="eastAsia" w:ascii="仿宋_GB2312" w:eastAsia="仿宋_GB2312" w:cs="仿宋_GB2312"/>
          <w:sz w:val="32"/>
          <w:szCs w:val="32"/>
          <w:lang w:val="zh-CN"/>
        </w:rPr>
        <w:t>事故报告的主要内容包括：事故发生单位情况介绍；事故发生时间、地点及事故现场情况；事故的简要经过；事故已经造成或者可能造成的伤亡人数（包括下落不明的人数）；初步估计的直接经济损失；已经采取的措施等。</w:t>
      </w:r>
    </w:p>
    <w:p w14:paraId="37F7059A">
      <w:pPr>
        <w:autoSpaceDE w:val="0"/>
        <w:autoSpaceDN w:val="0"/>
        <w:spacing w:line="560" w:lineRule="exact"/>
        <w:ind w:firstLine="624" w:firstLineChars="200"/>
        <w:rPr>
          <w:rFonts w:ascii="仿宋_GB2312" w:eastAsia="仿宋_GB2312" w:cs="仿宋_GB2312"/>
          <w:sz w:val="32"/>
          <w:szCs w:val="32"/>
        </w:rPr>
      </w:pPr>
      <w:r>
        <w:rPr>
          <w:rFonts w:hint="eastAsia" w:ascii="仿宋_GB2312" w:eastAsia="仿宋_GB2312" w:cs="仿宋_GB2312"/>
          <w:sz w:val="32"/>
          <w:szCs w:val="32"/>
          <w:lang w:val="zh-CN"/>
        </w:rPr>
        <w:t>区应急管理分局和其他负有安全生产监督管理职责的部门在接到事故报告后，应当在</w:t>
      </w:r>
      <w:r>
        <w:rPr>
          <w:rFonts w:hint="eastAsia" w:ascii="仿宋_GB2312" w:eastAsia="仿宋_GB2312" w:cs="仿宋_GB2312"/>
          <w:sz w:val="32"/>
          <w:szCs w:val="32"/>
        </w:rPr>
        <w:t>30</w:t>
      </w:r>
      <w:r>
        <w:rPr>
          <w:rFonts w:hint="eastAsia" w:ascii="仿宋_GB2312" w:eastAsia="仿宋_GB2312" w:cs="仿宋_GB2312"/>
          <w:sz w:val="32"/>
          <w:szCs w:val="32"/>
          <w:lang w:val="zh-CN"/>
        </w:rPr>
        <w:t>分钟内，分别向市应急管理分局和区管委报告，并通知有关单位赶赴现场组织抢救。发生较大以上事故时，要同时直报省应急厅</w:t>
      </w:r>
      <w:r>
        <w:rPr>
          <w:rFonts w:hint="eastAsia" w:ascii="仿宋_GB2312" w:eastAsia="仿宋_GB2312" w:cs="仿宋_GB2312"/>
          <w:sz w:val="32"/>
          <w:szCs w:val="32"/>
        </w:rPr>
        <w:t>。</w:t>
      </w:r>
    </w:p>
    <w:p w14:paraId="44D0BBA0">
      <w:pPr>
        <w:spacing w:line="560" w:lineRule="exact"/>
        <w:ind w:firstLine="624" w:firstLineChars="200"/>
        <w:rPr>
          <w:sz w:val="32"/>
          <w:szCs w:val="32"/>
        </w:rPr>
      </w:pPr>
      <w:r>
        <w:rPr>
          <w:rFonts w:hint="eastAsia" w:ascii="黑体" w:hAnsi="黑体" w:eastAsia="黑体" w:cs="黑体"/>
          <w:sz w:val="32"/>
          <w:szCs w:val="32"/>
        </w:rPr>
        <w:t>5  应急响应</w:t>
      </w:r>
    </w:p>
    <w:p w14:paraId="0D0FED9E">
      <w:pPr>
        <w:pStyle w:val="18"/>
        <w:tabs>
          <w:tab w:val="left" w:pos="1870"/>
          <w:tab w:val="left" w:pos="1871"/>
        </w:tabs>
        <w:spacing w:before="0" w:line="560" w:lineRule="exact"/>
        <w:ind w:left="0" w:firstLine="624" w:firstLineChars="200"/>
        <w:rPr>
          <w:rFonts w:ascii="楷体_GB2312" w:hAnsi="楷体_GB2312" w:eastAsia="楷体_GB2312" w:cs="楷体_GB2312"/>
          <w:bCs/>
          <w:sz w:val="32"/>
          <w:szCs w:val="32"/>
          <w:lang w:val="en-US" w:bidi="ar-SA"/>
        </w:rPr>
      </w:pPr>
      <w:r>
        <w:rPr>
          <w:rFonts w:hint="eastAsia" w:ascii="楷体_GB2312" w:hAnsi="楷体_GB2312" w:eastAsia="楷体_GB2312" w:cs="楷体_GB2312"/>
          <w:bCs/>
          <w:sz w:val="32"/>
          <w:szCs w:val="32"/>
          <w:lang w:val="en-US" w:bidi="ar-SA"/>
        </w:rPr>
        <w:t>5.1 响应程序</w:t>
      </w:r>
    </w:p>
    <w:p w14:paraId="77B79734">
      <w:pPr>
        <w:autoSpaceDE w:val="0"/>
        <w:autoSpaceDN w:val="0"/>
        <w:adjustRightInd w:val="0"/>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发生生产安全事故，区管委立即启动</w:t>
      </w:r>
      <w:r>
        <w:rPr>
          <w:rFonts w:eastAsia="新宋体"/>
          <w:kern w:val="0"/>
          <w:sz w:val="32"/>
          <w:szCs w:val="32"/>
        </w:rPr>
        <w:t>Ⅳ</w:t>
      </w:r>
      <w:r>
        <w:rPr>
          <w:rFonts w:eastAsia="仿宋_GB2312"/>
          <w:kern w:val="0"/>
          <w:sz w:val="32"/>
          <w:szCs w:val="32"/>
        </w:rPr>
        <w:t>级</w:t>
      </w:r>
      <w:r>
        <w:rPr>
          <w:rFonts w:hint="eastAsia" w:eastAsia="仿宋_GB2312"/>
          <w:kern w:val="0"/>
          <w:sz w:val="32"/>
          <w:szCs w:val="32"/>
        </w:rPr>
        <w:t>响应，</w:t>
      </w:r>
      <w:r>
        <w:rPr>
          <w:rFonts w:eastAsia="仿宋_GB2312"/>
          <w:kern w:val="0"/>
          <w:sz w:val="32"/>
          <w:szCs w:val="32"/>
          <w:lang w:val="zh-CN"/>
        </w:rPr>
        <w:t>区</w:t>
      </w:r>
      <w:r>
        <w:rPr>
          <w:rFonts w:hint="eastAsia" w:eastAsia="仿宋_GB2312"/>
          <w:kern w:val="0"/>
          <w:sz w:val="32"/>
          <w:szCs w:val="32"/>
          <w:lang w:val="zh-CN"/>
        </w:rPr>
        <w:t>应急管理部门</w:t>
      </w:r>
      <w:r>
        <w:rPr>
          <w:rFonts w:eastAsia="仿宋_GB2312"/>
          <w:kern w:val="0"/>
          <w:sz w:val="32"/>
          <w:szCs w:val="32"/>
          <w:lang w:val="zh-CN"/>
        </w:rPr>
        <w:t>和主管部门接到事故报告，在确认事故信息后，应立即报请</w:t>
      </w:r>
      <w:r>
        <w:rPr>
          <w:rFonts w:hint="eastAsia" w:eastAsia="仿宋_GB2312"/>
          <w:kern w:val="0"/>
          <w:sz w:val="32"/>
          <w:szCs w:val="32"/>
          <w:lang w:val="zh-CN"/>
        </w:rPr>
        <w:t>区管委</w:t>
      </w:r>
      <w:r>
        <w:rPr>
          <w:rFonts w:eastAsia="仿宋_GB2312"/>
          <w:kern w:val="0"/>
          <w:sz w:val="32"/>
          <w:szCs w:val="32"/>
          <w:lang w:val="zh-CN"/>
        </w:rPr>
        <w:t>，建议启动本应急预案；经批准后，</w:t>
      </w:r>
      <w:r>
        <w:rPr>
          <w:rFonts w:hint="eastAsia" w:eastAsia="仿宋_GB2312"/>
          <w:kern w:val="0"/>
          <w:sz w:val="32"/>
          <w:szCs w:val="32"/>
          <w:lang w:val="zh-CN"/>
        </w:rPr>
        <w:t>成立</w:t>
      </w:r>
      <w:r>
        <w:rPr>
          <w:rFonts w:hint="eastAsia" w:ascii="仿宋_GB2312" w:hAnsi="仿宋_GB2312" w:eastAsia="仿宋_GB2312" w:cs="仿宋_GB2312"/>
          <w:kern w:val="0"/>
          <w:sz w:val="32"/>
          <w:szCs w:val="32"/>
        </w:rPr>
        <w:t>事故应急救援指挥部，并通知</w:t>
      </w:r>
      <w:r>
        <w:rPr>
          <w:rFonts w:eastAsia="仿宋_GB2312"/>
          <w:kern w:val="0"/>
          <w:sz w:val="32"/>
          <w:szCs w:val="32"/>
          <w:lang w:val="zh-CN"/>
        </w:rPr>
        <w:t>成员单位赶赴事故现场，成立现场指挥部，组织开展应急救援行动。</w:t>
      </w:r>
    </w:p>
    <w:p w14:paraId="0B2C06F7">
      <w:pPr>
        <w:pStyle w:val="18"/>
        <w:tabs>
          <w:tab w:val="left" w:pos="1870"/>
          <w:tab w:val="left" w:pos="1871"/>
        </w:tabs>
        <w:spacing w:before="0" w:line="560" w:lineRule="exact"/>
        <w:ind w:left="0" w:firstLine="624" w:firstLineChars="200"/>
        <w:rPr>
          <w:rFonts w:ascii="楷体_GB2312" w:hAnsi="楷体_GB2312" w:eastAsia="楷体_GB2312" w:cs="楷体_GB2312"/>
          <w:bCs/>
          <w:sz w:val="32"/>
          <w:szCs w:val="32"/>
          <w:lang w:val="en-US" w:bidi="ar-SA"/>
        </w:rPr>
      </w:pPr>
      <w:r>
        <w:rPr>
          <w:rFonts w:hint="eastAsia" w:ascii="楷体_GB2312" w:hAnsi="楷体_GB2312" w:eastAsia="楷体_GB2312" w:cs="楷体_GB2312"/>
          <w:bCs/>
          <w:sz w:val="32"/>
          <w:szCs w:val="32"/>
          <w:lang w:val="en-US" w:bidi="ar-SA"/>
        </w:rPr>
        <w:t>5.2 处置措施</w:t>
      </w:r>
    </w:p>
    <w:p w14:paraId="1DF537B7">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5.2.1  先期处置</w:t>
      </w:r>
    </w:p>
    <w:p w14:paraId="58C50D18">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1）事故发生后，事故发生单位立即组织本单位应急力量在确保救援人员安全、不发生次生、衍生事故的前提下，积极开展科学自救互救，以先救人为首要，并通知就近的救援队伍支援；同时组织实施人员疏散撤离、封闭现场等措施。</w:t>
      </w:r>
    </w:p>
    <w:p w14:paraId="7349E7A1">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2）区管委迅速成立现场应急救援临时指挥部，先行组织应急救援力量，营救遇险人员，搜寻、疏散、撤离、安置受到威胁的人员；采取防止事故扩大的措施。对可能危及救援人员安全的，不得盲目施救。当地救援力量不足或者事态严重时，应等待指挥部派遣救援力量抵达；在指挥部人员到达现场后，先期处置终止。</w:t>
      </w:r>
    </w:p>
    <w:p w14:paraId="5A1CA7D3">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（3）先期处理主要措施</w:t>
      </w:r>
    </w:p>
    <w:p w14:paraId="04EA079D">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①煤气泄漏、着火事故：立即组织现场人员向上风口撤离，迅速切断煤气来源，现场救援必须佩戴空气呼吸器，现场禁止火源；煤气管道爆炸着火，充氮气或蒸汽保压、逐渐关闭煤气阀门。</w:t>
      </w:r>
    </w:p>
    <w:p w14:paraId="6AB39B37">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②高温熔融金属事故：转炉、电炉进水立即急停断电，关闭进水阀，转炉关闭底吹氩、关闭氧气及氮气气源，严禁动炉，组织现场人员警戒和撤离。高温熔融金属容器泄漏、倾覆，跑钢、跑铝、跑铜等，对周边影响范围内的煤气、天然气等易燃易爆装置及管道进行停气和防护；区域禁止有水；高温液态影响区域的下水道、地沟、低洼处等保持围堰等防护措施良好，防止高温液体进入；严防高温液体与水混合。</w:t>
      </w:r>
    </w:p>
    <w:p w14:paraId="3CF45D08">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③粉尘爆炸事故：立即停机，及时切断动力电源；立即组织撤离现场人员；组织应急力量扑救火灾，铝粉、镁粉不能使用水、泡沫灭火剂等灭火。</w:t>
      </w:r>
    </w:p>
    <w:p w14:paraId="2C01B012">
      <w:pPr>
        <w:pStyle w:val="4"/>
        <w:spacing w:before="0" w:line="560" w:lineRule="exact"/>
        <w:ind w:left="0" w:firstLine="624"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④液氨泄漏事故：立即停止作业，组织现场人员向上风口撤离；先停机切断设备电源，开启喷淋系统与事故风机；事故处置人员穿戴防毒面具或空气呼吸器、重型防化服，携带抢险堵漏工具进入现场，查找泄漏点，关闭泄漏点前后阀门；如无法靠近发生氨泄漏设备，立即关闭与之相连串通其他设备最近的氨阀，开启紧急泄氨器。</w:t>
      </w:r>
    </w:p>
    <w:p w14:paraId="452AFC80">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5.2.2  应急处置</w:t>
      </w:r>
    </w:p>
    <w:p w14:paraId="73CF8373">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（1）指挥部迅速组织各工作组到达现场，调动应急救援队伍、应急物资装备、技术力量、医疗人员与设备等，了解事故情况和当前状态，统筹指挥、调度有关部门（单位）参加事故应急救援。</w:t>
      </w:r>
    </w:p>
    <w:p w14:paraId="01BB7F0F">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2）指挥部应维护好事发地区治安秩序，做好交通保障、人员救治与疏散、群众安置等工作，全力防止事态的进一步扩大和次生、衍生事故发生。及时掌握进展情况，随时向区工委、管委报告。同时结合现场实际情况，对突发事件进行综合分析、快速评估，尽快研究确定现场应急处置方案。按照处置方案发布命令，全面展开调集应急物资，抢修被损坏的公共设施，向受到危害的人员提供避难场所、生活必需品、医疗卫生等各项紧急处置工作。</w:t>
      </w:r>
    </w:p>
    <w:p w14:paraId="7D2C3677">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（3）专家应根据上报和收集掌握的情况，对事故进行分析判断和事态评估，研究并提出现场科学应急处置、防止紧急事态的进一步扩大和次生、衍生事故发生等处置措施，为现场指挥部提供决策咨询。</w:t>
      </w:r>
    </w:p>
    <w:p w14:paraId="5025F97E">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（4）各工作组按照指挥部的指令，迅速开展行动，相互配合、密切协作，共同开展应急处置和救援工作。</w:t>
      </w:r>
    </w:p>
    <w:p w14:paraId="7D7E9AE4">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（5）相关救援人员到达现场，立即开展应急救援行动。参加应急救援的队伍和人员要在指挥部的统一指挥、协调下，有效地进行救援、处置，严防事态扩大。</w:t>
      </w:r>
    </w:p>
    <w:p w14:paraId="58C958BC">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（6）因抢救人员、防止事故扩大以及疏通交通等原因，需要移动事故现场物件的，应当做出标志，绘制现场简图并作出书面记录，妥善保存现场重要痕迹、物证。</w:t>
      </w:r>
    </w:p>
    <w:p w14:paraId="46C95EB6">
      <w:pPr>
        <w:pStyle w:val="18"/>
        <w:tabs>
          <w:tab w:val="left" w:pos="1870"/>
          <w:tab w:val="left" w:pos="1871"/>
        </w:tabs>
        <w:spacing w:before="0" w:line="560" w:lineRule="exact"/>
        <w:ind w:left="0" w:firstLine="624" w:firstLineChars="200"/>
        <w:rPr>
          <w:rFonts w:ascii="楷体_GB2312" w:hAnsi="楷体_GB2312" w:eastAsia="楷体_GB2312" w:cs="楷体_GB2312"/>
          <w:bCs/>
          <w:sz w:val="32"/>
          <w:szCs w:val="32"/>
          <w:lang w:val="en-US" w:bidi="ar-SA"/>
        </w:rPr>
      </w:pPr>
      <w:r>
        <w:rPr>
          <w:rFonts w:hint="eastAsia" w:ascii="楷体_GB2312" w:hAnsi="楷体_GB2312" w:eastAsia="楷体_GB2312" w:cs="楷体_GB2312"/>
          <w:bCs/>
          <w:sz w:val="32"/>
          <w:szCs w:val="32"/>
          <w:lang w:val="en-US" w:bidi="ar-SA"/>
        </w:rPr>
        <w:t>5.3 应急结束</w:t>
      </w:r>
    </w:p>
    <w:p w14:paraId="13B2B895">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5.3.1  应急结束宣布与撤离</w:t>
      </w:r>
    </w:p>
    <w:p w14:paraId="1957F70B">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事故现场得以控制，遇险人员获救，环境符合有关标准，导致次生、衍生事故隐患消除后，由指挥部研究、决定，宣布应急结束，应急救援队伍撤离现场。</w:t>
      </w:r>
    </w:p>
    <w:p w14:paraId="4EF175A3">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5.3.2  应急结束通知与发布</w:t>
      </w:r>
    </w:p>
    <w:p w14:paraId="158B868A">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应急结束后，应将情况及时通知参与事件处置的各有关单 位，必要时还应通过广播电台、电视台等新闻媒体同时向社会发布应急结束信息。</w:t>
      </w:r>
    </w:p>
    <w:p w14:paraId="6EFC20B8">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黑体" w:hAnsi="黑体" w:eastAsia="黑体" w:cs="黑体"/>
          <w:sz w:val="32"/>
          <w:szCs w:val="32"/>
          <w:lang w:val="en-US" w:bidi="ar-SA"/>
        </w:rPr>
        <w:t>6  后期处置</w:t>
      </w:r>
    </w:p>
    <w:p w14:paraId="5CDFD639">
      <w:pPr>
        <w:pStyle w:val="18"/>
        <w:tabs>
          <w:tab w:val="left" w:pos="1870"/>
          <w:tab w:val="left" w:pos="1871"/>
        </w:tabs>
        <w:spacing w:before="0" w:line="560" w:lineRule="exact"/>
        <w:ind w:left="0" w:firstLine="624" w:firstLineChars="200"/>
        <w:rPr>
          <w:rFonts w:ascii="楷体_GB2312" w:hAnsi="楷体_GB2312" w:eastAsia="楷体_GB2312" w:cs="楷体_GB2312"/>
          <w:bCs/>
          <w:sz w:val="32"/>
          <w:szCs w:val="32"/>
          <w:lang w:val="en-US" w:bidi="ar-SA"/>
        </w:rPr>
      </w:pPr>
      <w:r>
        <w:rPr>
          <w:rFonts w:hint="eastAsia" w:ascii="楷体_GB2312" w:hAnsi="楷体_GB2312" w:eastAsia="楷体_GB2312" w:cs="楷体_GB2312"/>
          <w:bCs/>
          <w:sz w:val="32"/>
          <w:szCs w:val="32"/>
          <w:lang w:val="en-US" w:bidi="ar-SA"/>
        </w:rPr>
        <w:t>6.1 善后处置</w:t>
      </w:r>
    </w:p>
    <w:p w14:paraId="2A49E32F">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区管委相关部门（机构）积极做好善后处置工作。包括人员安置、补偿，征用物资补偿，灾后重建，污染物收集、清理与处置等事项。尽快消除事故影响，妥善安置和慰问受害及受影响人员，尽快恢复正常秩序，保证社会稳定。保险监管机构督促有关保险机构及时做好有关单位和个人损失的理赔工作。</w:t>
      </w:r>
    </w:p>
    <w:p w14:paraId="56BFD69B">
      <w:pPr>
        <w:pStyle w:val="18"/>
        <w:tabs>
          <w:tab w:val="left" w:pos="1870"/>
          <w:tab w:val="left" w:pos="1871"/>
        </w:tabs>
        <w:spacing w:before="0" w:line="560" w:lineRule="exact"/>
        <w:ind w:left="0" w:firstLine="624" w:firstLineChars="200"/>
        <w:rPr>
          <w:rFonts w:ascii="楷体_GB2312" w:hAnsi="楷体_GB2312" w:eastAsia="楷体_GB2312" w:cs="楷体_GB2312"/>
          <w:bCs/>
          <w:sz w:val="32"/>
          <w:szCs w:val="32"/>
          <w:lang w:val="en-US" w:bidi="ar-SA"/>
        </w:rPr>
      </w:pPr>
      <w:r>
        <w:rPr>
          <w:rFonts w:hint="eastAsia" w:ascii="楷体_GB2312" w:hAnsi="楷体_GB2312" w:eastAsia="楷体_GB2312" w:cs="楷体_GB2312"/>
          <w:bCs/>
          <w:sz w:val="32"/>
          <w:szCs w:val="32"/>
          <w:lang w:val="en-US" w:bidi="ar-SA"/>
        </w:rPr>
        <w:t>6.2 调查与评估</w:t>
      </w:r>
    </w:p>
    <w:p w14:paraId="18DBDBA2">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6.2.1  总结与评估</w:t>
      </w:r>
    </w:p>
    <w:p w14:paraId="308E528D">
      <w:pPr>
        <w:autoSpaceDE w:val="0"/>
        <w:autoSpaceDN w:val="0"/>
        <w:spacing w:line="560" w:lineRule="exact"/>
        <w:ind w:firstLine="624" w:firstLineChars="200"/>
        <w:rPr>
          <w:rFonts w:ascii="仿宋_GB2312" w:hAnsi="仿宋_GB2312" w:eastAsia="仿宋_GB2312" w:cs="仿宋_GB2312"/>
          <w:kern w:val="0"/>
          <w:sz w:val="32"/>
          <w:szCs w:val="32"/>
        </w:rPr>
      </w:pPr>
      <w:r>
        <w:rPr>
          <w:rFonts w:hint="eastAsia" w:ascii="仿宋_GB2312" w:eastAsia="仿宋_GB2312" w:cs="仿宋_GB2312"/>
          <w:sz w:val="32"/>
          <w:szCs w:val="32"/>
          <w:lang w:val="zh-CN"/>
        </w:rPr>
        <w:t>由区应急管理分局牵头负责收集、整理应急救援工作的记录、方案、文件等资料，对应急救援预案的启动、决策、指挥和后勤保障等全过程进行评估，分析总结经验教训，提出改进意见和建议，将总结评估报告报区管委。</w:t>
      </w:r>
    </w:p>
    <w:p w14:paraId="16C3C2CC">
      <w:pPr>
        <w:pStyle w:val="18"/>
        <w:tabs>
          <w:tab w:val="left" w:pos="1870"/>
          <w:tab w:val="left" w:pos="1871"/>
        </w:tabs>
        <w:spacing w:before="0" w:line="560" w:lineRule="exact"/>
        <w:ind w:left="0" w:firstLine="624" w:firstLineChars="200"/>
        <w:rPr>
          <w:rFonts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rPr>
        <w:t>6.2.2  事故调查</w:t>
      </w:r>
    </w:p>
    <w:p w14:paraId="00D787FE">
      <w:pPr>
        <w:autoSpaceDE w:val="0"/>
        <w:autoSpaceDN w:val="0"/>
        <w:adjustRightInd w:val="0"/>
        <w:spacing w:line="560" w:lineRule="exact"/>
        <w:ind w:firstLine="624" w:firstLineChars="200"/>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按照事故调查的权限组成事故调查组，对事故的起因、性质、影响、责任、经验教训等进行调查，调查组应向区管委提交书面调查报告。</w:t>
      </w:r>
    </w:p>
    <w:p w14:paraId="699B91AC">
      <w:pPr>
        <w:pStyle w:val="18"/>
        <w:tabs>
          <w:tab w:val="left" w:pos="1870"/>
          <w:tab w:val="left" w:pos="1871"/>
        </w:tabs>
        <w:spacing w:before="0" w:line="560" w:lineRule="exact"/>
        <w:ind w:left="0" w:firstLine="624" w:firstLineChars="200"/>
        <w:rPr>
          <w:rFonts w:ascii="黑体" w:hAnsi="黑体" w:eastAsia="黑体" w:cs="黑体"/>
          <w:kern w:val="0"/>
          <w:sz w:val="32"/>
          <w:szCs w:val="32"/>
          <w:lang w:val="en-US"/>
        </w:rPr>
      </w:pPr>
      <w:r>
        <w:rPr>
          <w:rFonts w:hint="eastAsia" w:ascii="黑体" w:hAnsi="黑体" w:eastAsia="黑体" w:cs="黑体"/>
          <w:sz w:val="32"/>
          <w:szCs w:val="32"/>
          <w:lang w:val="en-US" w:bidi="ar-SA"/>
        </w:rPr>
        <w:t>7  保障措施</w:t>
      </w:r>
    </w:p>
    <w:p w14:paraId="26B64323">
      <w:pPr>
        <w:pStyle w:val="4"/>
        <w:spacing w:before="0" w:line="560" w:lineRule="exact"/>
        <w:ind w:left="0" w:firstLine="624" w:firstLineChars="200"/>
        <w:jc w:val="both"/>
        <w:rPr>
          <w:rFonts w:ascii="楷体_GB2312" w:hAnsi="楷体_GB2312" w:eastAsia="楷体_GB2312" w:cs="楷体_GB2312"/>
          <w:bCs/>
          <w:kern w:val="2"/>
          <w:lang w:eastAsia="zh-CN"/>
        </w:rPr>
      </w:pPr>
      <w:r>
        <w:rPr>
          <w:rFonts w:hint="eastAsia" w:ascii="楷体_GB2312" w:hAnsi="楷体_GB2312" w:eastAsia="楷体_GB2312" w:cs="楷体_GB2312"/>
          <w:bCs/>
          <w:kern w:val="2"/>
          <w:lang w:eastAsia="zh-CN"/>
        </w:rPr>
        <w:t>7.1 队伍保障</w:t>
      </w:r>
    </w:p>
    <w:p w14:paraId="4B80D4E3">
      <w:pPr>
        <w:spacing w:line="560" w:lineRule="exact"/>
        <w:ind w:firstLine="624" w:firstLineChars="200"/>
      </w:pPr>
      <w:r>
        <w:rPr>
          <w:rFonts w:hint="eastAsia" w:ascii="仿宋_GB2312" w:hAnsi="仿宋_GB2312" w:eastAsia="仿宋_GB2312" w:cs="仿宋_GB2312"/>
          <w:kern w:val="0"/>
          <w:sz w:val="32"/>
          <w:szCs w:val="32"/>
        </w:rPr>
        <w:t>7.1.1  企业应急队伍保障</w:t>
      </w:r>
    </w:p>
    <w:p w14:paraId="5DE56AF9">
      <w:pPr>
        <w:pStyle w:val="4"/>
        <w:spacing w:before="0" w:line="560" w:lineRule="exact"/>
        <w:ind w:left="0" w:firstLine="624" w:firstLineChars="200"/>
        <w:jc w:val="both"/>
      </w:pPr>
      <w:r>
        <w:rPr>
          <w:rFonts w:hint="eastAsia" w:ascii="仿宋_GB2312" w:hAnsi="仿宋_GB2312" w:eastAsia="仿宋_GB2312" w:cs="仿宋_GB2312"/>
          <w:lang w:eastAsia="zh-CN"/>
        </w:rPr>
        <w:t>工贸行业企业的救援力量是事故救援的第一响应者。企业应加强由专职人员组成的救援组织的建设，不具备单独建立专业救援组织的企业，可以建立兼职的救援组织，还可与临近的专业救援组织签订救援协议，或者与临近的企业联合建立专业救援组织。救援人员按隶属关系，由所在单位为救援人员每年缴纳人身保险金，保障救援人员的切身利益。</w:t>
      </w:r>
    </w:p>
    <w:p w14:paraId="54BE1F77">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7.1.2  应急队伍保障</w:t>
      </w:r>
    </w:p>
    <w:p w14:paraId="11A74AEE">
      <w:pPr>
        <w:pStyle w:val="4"/>
        <w:spacing w:before="0" w:line="560" w:lineRule="exact"/>
        <w:ind w:left="0" w:firstLine="624"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区管委应加强消防等专业应急救援队伍的建设，并与相邻区市建立协同应急队伍保障的机制。</w:t>
      </w:r>
    </w:p>
    <w:p w14:paraId="4C702EE2">
      <w:pPr>
        <w:pStyle w:val="4"/>
        <w:spacing w:before="0" w:line="560" w:lineRule="exact"/>
        <w:ind w:left="0" w:firstLine="624" w:firstLineChars="200"/>
        <w:jc w:val="both"/>
        <w:rPr>
          <w:rFonts w:ascii="楷体_GB2312" w:hAnsi="楷体_GB2312" w:eastAsia="楷体_GB2312" w:cs="楷体_GB2312"/>
          <w:bCs/>
          <w:kern w:val="2"/>
          <w:lang w:eastAsia="zh-CN"/>
        </w:rPr>
      </w:pPr>
      <w:r>
        <w:rPr>
          <w:rFonts w:hint="eastAsia" w:ascii="楷体_GB2312" w:hAnsi="楷体_GB2312" w:eastAsia="楷体_GB2312" w:cs="楷体_GB2312"/>
          <w:bCs/>
          <w:kern w:val="2"/>
          <w:lang w:eastAsia="zh-CN"/>
        </w:rPr>
        <w:t>7.2 经费保障</w:t>
      </w:r>
    </w:p>
    <w:p w14:paraId="2FC1AA57">
      <w:pPr>
        <w:pStyle w:val="4"/>
        <w:spacing w:before="0" w:line="560" w:lineRule="exact"/>
        <w:ind w:left="0" w:firstLine="624" w:firstLineChars="200"/>
        <w:jc w:val="both"/>
      </w:pPr>
      <w:r>
        <w:rPr>
          <w:rFonts w:hint="eastAsia" w:ascii="仿宋_GB2312" w:hAnsi="仿宋_GB2312" w:eastAsia="仿宋_GB2312" w:cs="仿宋_GB2312"/>
          <w:lang w:eastAsia="zh-CN"/>
        </w:rPr>
        <w:t>工贸行业企业应按规定足额购买安全生产责任保险。事故灾难应急救援资金由事故单位承担，事故单位暂时无力承担的，由区管委协调解决。</w:t>
      </w:r>
    </w:p>
    <w:p w14:paraId="5ADBCC31">
      <w:pPr>
        <w:pStyle w:val="4"/>
        <w:spacing w:before="0" w:line="560" w:lineRule="exact"/>
        <w:ind w:left="0" w:firstLine="624" w:firstLineChars="200"/>
        <w:jc w:val="both"/>
        <w:rPr>
          <w:rFonts w:ascii="楷体_GB2312" w:hAnsi="楷体_GB2312" w:eastAsia="楷体_GB2312" w:cs="楷体_GB2312"/>
          <w:lang w:eastAsia="zh-CN"/>
        </w:rPr>
      </w:pPr>
      <w:r>
        <w:rPr>
          <w:rFonts w:hint="eastAsia" w:ascii="楷体_GB2312" w:hAnsi="楷体_GB2312" w:eastAsia="楷体_GB2312" w:cs="楷体_GB2312"/>
          <w:bCs/>
          <w:kern w:val="2"/>
          <w:lang w:eastAsia="zh-CN"/>
        </w:rPr>
        <w:t>7.3 物资保障</w:t>
      </w:r>
    </w:p>
    <w:p w14:paraId="47655F4B">
      <w:pPr>
        <w:spacing w:line="560" w:lineRule="exact"/>
        <w:ind w:firstLine="624" w:firstLineChars="200"/>
        <w:rPr>
          <w:rFonts w:ascii="仿宋_GB2312" w:eastAsia="仿宋_GB2312" w:cs="仿宋_GB2312"/>
          <w:kern w:val="0"/>
          <w:sz w:val="32"/>
          <w:szCs w:val="32"/>
          <w:lang w:val="zh-CN"/>
        </w:rPr>
      </w:pPr>
      <w:bookmarkStart w:id="197" w:name="_Toc10013"/>
      <w:r>
        <w:rPr>
          <w:rFonts w:hint="eastAsia" w:ascii="仿宋_GB2312" w:eastAsia="仿宋_GB2312" w:cs="仿宋_GB2312"/>
          <w:kern w:val="0"/>
          <w:sz w:val="32"/>
          <w:szCs w:val="32"/>
          <w:lang w:val="zh-CN"/>
        </w:rPr>
        <w:t>各成员单位和</w:t>
      </w:r>
      <w:r>
        <w:rPr>
          <w:rFonts w:hint="eastAsia" w:ascii="仿宋_GB2312" w:hAnsi="仿宋_GB2312" w:eastAsia="仿宋_GB2312" w:cs="仿宋_GB2312"/>
          <w:kern w:val="0"/>
          <w:sz w:val="32"/>
          <w:szCs w:val="32"/>
        </w:rPr>
        <w:t>工贸</w:t>
      </w:r>
      <w:r>
        <w:rPr>
          <w:rFonts w:hint="eastAsia" w:ascii="仿宋_GB2312" w:eastAsia="仿宋_GB2312" w:cs="仿宋_GB2312"/>
          <w:kern w:val="0"/>
          <w:sz w:val="32"/>
          <w:szCs w:val="32"/>
          <w:lang w:val="zh-CN"/>
        </w:rPr>
        <w:t>企业以及应急救援队伍应按照职责分工，配备足够的应急救援物资、救援器材并保持完好。</w:t>
      </w:r>
    </w:p>
    <w:p w14:paraId="27ACAF36">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7.4 医疗卫生保障</w:t>
      </w:r>
      <w:bookmarkEnd w:id="197"/>
    </w:p>
    <w:p w14:paraId="34D0642F">
      <w:pPr>
        <w:autoSpaceDE w:val="0"/>
        <w:autoSpaceDN w:val="0"/>
        <w:adjustRightInd w:val="0"/>
        <w:spacing w:line="560" w:lineRule="exact"/>
        <w:ind w:firstLine="624" w:firstLineChars="200"/>
        <w:rPr>
          <w:rFonts w:ascii="仿宋_GB2312" w:hAnsi="仿宋_GB2312" w:eastAsia="仿宋_GB2312" w:cs="仿宋_GB2312"/>
          <w:kern w:val="0"/>
          <w:sz w:val="32"/>
          <w:szCs w:val="32"/>
        </w:rPr>
      </w:pPr>
      <w:bookmarkStart w:id="198" w:name="_Toc10856"/>
      <w:r>
        <w:rPr>
          <w:rFonts w:hint="eastAsia" w:ascii="仿宋_GB2312" w:eastAsia="仿宋_GB2312" w:cs="仿宋_GB2312"/>
          <w:kern w:val="0"/>
          <w:sz w:val="32"/>
          <w:szCs w:val="32"/>
          <w:lang w:val="zh-CN"/>
        </w:rPr>
        <w:t>区卫生健康管理办公室负责组建医疗卫生应急救护队伍，发生事故时应及时赶赴现场开展医疗救治、疾病预防和控制等工作。</w:t>
      </w:r>
      <w:bookmarkEnd w:id="198"/>
    </w:p>
    <w:p w14:paraId="1AB12EA8">
      <w:pPr>
        <w:spacing w:line="560" w:lineRule="exact"/>
        <w:ind w:firstLine="624" w:firstLineChars="200"/>
        <w:rPr>
          <w:rFonts w:ascii="楷体_GB2312" w:hAnsi="楷体_GB2312" w:eastAsia="楷体_GB2312" w:cs="楷体_GB2312"/>
          <w:kern w:val="0"/>
          <w:sz w:val="32"/>
          <w:szCs w:val="32"/>
        </w:rPr>
      </w:pPr>
      <w:bookmarkStart w:id="199" w:name="_Toc15970"/>
      <w:r>
        <w:rPr>
          <w:rFonts w:hint="eastAsia" w:ascii="楷体_GB2312" w:hAnsi="楷体_GB2312" w:eastAsia="楷体_GB2312" w:cs="楷体_GB2312"/>
          <w:kern w:val="0"/>
          <w:sz w:val="32"/>
          <w:szCs w:val="32"/>
        </w:rPr>
        <w:t>7.5 通信保障</w:t>
      </w:r>
      <w:bookmarkEnd w:id="199"/>
    </w:p>
    <w:p w14:paraId="4944BF9D">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区工信部门指导协调通信企事业单位做好事故发生地公共通信保障，抢护毁损设施，协调调度应急通信设施，确保应急救援的通信畅通。</w:t>
      </w:r>
    </w:p>
    <w:p w14:paraId="3D072D47">
      <w:pPr>
        <w:spacing w:line="560" w:lineRule="exact"/>
        <w:ind w:firstLine="624" w:firstLineChars="200"/>
      </w:pPr>
      <w:r>
        <w:rPr>
          <w:rFonts w:hint="eastAsia" w:ascii="黑体" w:hAnsi="黑体" w:eastAsia="黑体" w:cs="黑体"/>
          <w:sz w:val="32"/>
          <w:szCs w:val="32"/>
        </w:rPr>
        <w:t>8  预案管理</w:t>
      </w:r>
    </w:p>
    <w:p w14:paraId="41707884">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8.1  预案培训</w:t>
      </w:r>
    </w:p>
    <w:p w14:paraId="2DEC4D6F">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8.1.1  宣传教育、增强意识</w:t>
      </w:r>
    </w:p>
    <w:p w14:paraId="4393A9FD">
      <w:pPr>
        <w:autoSpaceDE w:val="0"/>
        <w:autoSpaceDN w:val="0"/>
        <w:adjustRightInd w:val="0"/>
        <w:spacing w:line="560" w:lineRule="exact"/>
        <w:ind w:firstLine="624" w:firstLineChars="200"/>
        <w:rPr>
          <w:rFonts w:ascii="仿宋_GB2312" w:hAnsi="仿宋_GB2312" w:eastAsia="仿宋_GB2312" w:cs="仿宋_GB2312"/>
          <w:kern w:val="0"/>
          <w:sz w:val="32"/>
          <w:szCs w:val="32"/>
        </w:rPr>
      </w:pPr>
      <w:r>
        <w:rPr>
          <w:rFonts w:hint="eastAsia" w:ascii="仿宋_GB2312" w:eastAsia="仿宋_GB2312" w:cs="仿宋_GB2312"/>
          <w:kern w:val="0"/>
          <w:sz w:val="32"/>
          <w:szCs w:val="32"/>
          <w:lang w:val="zh-CN"/>
        </w:rPr>
        <w:t>各管理处及指挥部各成员单位、相关部门和</w:t>
      </w:r>
      <w:r>
        <w:rPr>
          <w:rFonts w:hint="eastAsia" w:ascii="仿宋_GB2312" w:eastAsia="仿宋_GB2312" w:cs="仿宋_GB2312"/>
          <w:kern w:val="0"/>
          <w:sz w:val="32"/>
          <w:szCs w:val="32"/>
        </w:rPr>
        <w:t>企业要充分利用各种媒体，采取多种形式广泛宣传应急法律法规和预防、避险、自救、互救、减灾等常识，增强公众忧患意识、社会责任意识和自救、互救能力。</w:t>
      </w:r>
    </w:p>
    <w:p w14:paraId="15E8EAA2">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8.1.2  学习培训、提升能力</w:t>
      </w:r>
    </w:p>
    <w:p w14:paraId="48085C7D">
      <w:pPr>
        <w:autoSpaceDE w:val="0"/>
        <w:autoSpaceDN w:val="0"/>
        <w:adjustRightInd w:val="0"/>
        <w:spacing w:line="560" w:lineRule="exact"/>
        <w:ind w:firstLine="624" w:firstLineChars="200"/>
        <w:rPr>
          <w:rFonts w:ascii="仿宋_GB2312" w:eastAsia="仿宋_GB2312" w:cs="仿宋_GB2312"/>
          <w:kern w:val="0"/>
          <w:sz w:val="32"/>
          <w:szCs w:val="32"/>
          <w:lang w:val="zh-CN"/>
        </w:rPr>
      </w:pPr>
      <w:bookmarkStart w:id="200" w:name="_Toc14701"/>
      <w:r>
        <w:rPr>
          <w:rFonts w:hint="eastAsia" w:ascii="仿宋_GB2312" w:eastAsia="仿宋_GB2312" w:cs="仿宋_GB2312"/>
          <w:kern w:val="0"/>
          <w:sz w:val="32"/>
          <w:szCs w:val="32"/>
          <w:lang w:val="zh-CN"/>
        </w:rPr>
        <w:t>各成员单位和企业应急救援队伍的负责人和应急救援人员，应按照有关规定参加常规性技能培训和战备训练，确保救援队伍的战斗力。</w:t>
      </w:r>
    </w:p>
    <w:p w14:paraId="2752552D">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8.2  应急演练</w:t>
      </w:r>
      <w:bookmarkEnd w:id="200"/>
    </w:p>
    <w:p w14:paraId="3D568AFD">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8.2.1  部门演练</w:t>
      </w:r>
    </w:p>
    <w:p w14:paraId="5D085005">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指挥部各成员单位、各级应急救援队伍，要按照国家、省相关法律法规以及《山东省生产安全事故应急管理办法》要求，定期组织不同类型的工贸行业生产安全事故应急预案演练。</w:t>
      </w:r>
    </w:p>
    <w:p w14:paraId="35B97C03">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8.2.2  企业演练</w:t>
      </w:r>
    </w:p>
    <w:p w14:paraId="45CCA6B9">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工贸行业企业应当根据本单位特点，按照国家、省、市相关规定，定期开展本单位的事故应急预案实战性、常态化演练。</w:t>
      </w:r>
    </w:p>
    <w:p w14:paraId="65EB62C7">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8.2.3  总结评估</w:t>
      </w:r>
    </w:p>
    <w:p w14:paraId="3908EC82">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演练结束后，应急演练组织部门应及时进行总结评估，客观评价应急演练实施效果，分析存在的问题，检验应急预案的适用性，对应急预案提出修订意见，形成演练评估报告，上报主管部门和区应急管理分局。</w:t>
      </w:r>
    </w:p>
    <w:p w14:paraId="5A62EAB2">
      <w:pPr>
        <w:spacing w:line="560" w:lineRule="exact"/>
        <w:ind w:firstLine="624" w:firstLineChars="200"/>
        <w:rPr>
          <w:rFonts w:ascii="楷体_GB2312" w:hAnsi="楷体_GB2312" w:eastAsia="楷体_GB2312" w:cs="楷体_GB2312"/>
          <w:kern w:val="0"/>
          <w:sz w:val="32"/>
          <w:szCs w:val="32"/>
        </w:rPr>
      </w:pPr>
      <w:bookmarkStart w:id="201" w:name="_Toc27487"/>
      <w:r>
        <w:rPr>
          <w:rFonts w:hint="eastAsia" w:ascii="楷体_GB2312" w:hAnsi="楷体_GB2312" w:eastAsia="楷体_GB2312" w:cs="楷体_GB2312"/>
          <w:kern w:val="0"/>
          <w:sz w:val="32"/>
          <w:szCs w:val="32"/>
        </w:rPr>
        <w:t>8.3</w:t>
      </w:r>
      <w:bookmarkEnd w:id="201"/>
      <w:r>
        <w:rPr>
          <w:rFonts w:hint="eastAsia" w:ascii="楷体_GB2312" w:hAnsi="楷体_GB2312" w:eastAsia="楷体_GB2312" w:cs="楷体_GB2312"/>
          <w:kern w:val="0"/>
          <w:sz w:val="32"/>
          <w:szCs w:val="32"/>
        </w:rPr>
        <w:t xml:space="preserve">  预案修订</w:t>
      </w:r>
    </w:p>
    <w:p w14:paraId="19C47FAD">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有下列情形之一的，由区应急管理分局组织有关单位对本预案进行修订：</w:t>
      </w:r>
    </w:p>
    <w:p w14:paraId="1A57214F">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（1）制定预案所依据的法律、法规、规章、标准发生重大变化；</w:t>
      </w:r>
    </w:p>
    <w:p w14:paraId="053DD8B9">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（2）应急指挥机构及其职责发生调整；</w:t>
      </w:r>
    </w:p>
    <w:p w14:paraId="5EBC1742">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（3）工贸行业安全生产面临的风险发生重大变化；</w:t>
      </w:r>
    </w:p>
    <w:p w14:paraId="00A0BE88">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（4）重要应急资源发生重大变化；</w:t>
      </w:r>
    </w:p>
    <w:p w14:paraId="1C44BCFA">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（5）在应急预案演练或者应急救援中发现需要修订预案的重大问题；</w:t>
      </w:r>
    </w:p>
    <w:p w14:paraId="28202DE0">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（6）其他应当修订的情形。</w:t>
      </w:r>
    </w:p>
    <w:p w14:paraId="5E0A5CBB">
      <w:pPr>
        <w:spacing w:line="560" w:lineRule="exact"/>
        <w:ind w:firstLine="624" w:firstLineChars="200"/>
        <w:rPr>
          <w:rFonts w:ascii="楷体_GB2312" w:hAnsi="楷体_GB2312" w:eastAsia="楷体_GB2312" w:cs="楷体_GB2312"/>
          <w:kern w:val="0"/>
          <w:sz w:val="32"/>
          <w:szCs w:val="32"/>
        </w:rPr>
      </w:pPr>
      <w:bookmarkStart w:id="202" w:name="_Toc6342"/>
      <w:r>
        <w:rPr>
          <w:rFonts w:hint="eastAsia" w:ascii="楷体_GB2312" w:hAnsi="楷体_GB2312" w:eastAsia="楷体_GB2312" w:cs="楷体_GB2312"/>
          <w:kern w:val="0"/>
          <w:sz w:val="32"/>
          <w:szCs w:val="32"/>
        </w:rPr>
        <w:t>8.4预案解释</w:t>
      </w:r>
    </w:p>
    <w:p w14:paraId="5422D49D">
      <w:pPr>
        <w:spacing w:line="560" w:lineRule="exact"/>
        <w:ind w:firstLine="624" w:firstLineChars="200"/>
      </w:pPr>
      <w:r>
        <w:rPr>
          <w:rFonts w:hint="eastAsia" w:ascii="仿宋_GB2312" w:hAnsi="仿宋_GB2312" w:eastAsia="仿宋_GB2312" w:cs="仿宋_GB2312"/>
          <w:kern w:val="0"/>
          <w:sz w:val="32"/>
          <w:szCs w:val="32"/>
        </w:rPr>
        <w:t>本预案由高新区应急管理分局负责解释。</w:t>
      </w:r>
    </w:p>
    <w:p w14:paraId="4C883CB8">
      <w:pPr>
        <w:spacing w:line="560" w:lineRule="exact"/>
        <w:ind w:firstLine="624"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8.5 预案实施</w:t>
      </w:r>
      <w:bookmarkEnd w:id="202"/>
    </w:p>
    <w:p w14:paraId="0B5CA263">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本预案自印发之日起实施。</w:t>
      </w:r>
    </w:p>
    <w:p w14:paraId="4B41334F">
      <w:pPr>
        <w:spacing w:line="560" w:lineRule="exact"/>
        <w:ind w:firstLine="624" w:firstLineChars="200"/>
        <w:rPr>
          <w:rFonts w:ascii="黑体" w:hAnsi="黑体" w:eastAsia="黑体" w:cs="黑体"/>
          <w:kern w:val="0"/>
          <w:sz w:val="32"/>
          <w:szCs w:val="32"/>
        </w:rPr>
      </w:pPr>
      <w:bookmarkStart w:id="203" w:name="_Toc26063"/>
      <w:r>
        <w:rPr>
          <w:rFonts w:hint="eastAsia" w:ascii="黑体" w:hAnsi="黑体" w:eastAsia="黑体" w:cs="黑体"/>
          <w:kern w:val="0"/>
          <w:sz w:val="32"/>
          <w:szCs w:val="32"/>
        </w:rPr>
        <w:t>9  附则</w:t>
      </w:r>
      <w:bookmarkEnd w:id="203"/>
    </w:p>
    <w:p w14:paraId="0C3A5F8A">
      <w:pPr>
        <w:spacing w:line="560" w:lineRule="exact"/>
        <w:ind w:firstLine="624" w:firstLineChars="200"/>
        <w:rPr>
          <w:rFonts w:ascii="楷体_GB2312" w:hAnsi="楷体_GB2312" w:eastAsia="楷体_GB2312" w:cs="楷体_GB2312"/>
          <w:kern w:val="0"/>
          <w:sz w:val="32"/>
          <w:szCs w:val="32"/>
        </w:rPr>
      </w:pPr>
      <w:bookmarkStart w:id="204" w:name="_Toc25127"/>
      <w:r>
        <w:rPr>
          <w:rFonts w:hint="eastAsia" w:ascii="楷体_GB2312" w:hAnsi="楷体_GB2312" w:eastAsia="楷体_GB2312" w:cs="楷体_GB2312"/>
          <w:kern w:val="0"/>
          <w:sz w:val="32"/>
          <w:szCs w:val="32"/>
        </w:rPr>
        <w:t>9.1  其他要求</w:t>
      </w:r>
      <w:bookmarkEnd w:id="204"/>
    </w:p>
    <w:p w14:paraId="07CA0227">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指挥部各成员单位和有关部门要根据本预案和职责分工，制定相应的应急预案和操作手册。</w:t>
      </w:r>
    </w:p>
    <w:p w14:paraId="5F23E211">
      <w:pPr>
        <w:spacing w:line="560" w:lineRule="exact"/>
        <w:ind w:firstLine="624" w:firstLineChars="200"/>
        <w:rPr>
          <w:rFonts w:ascii="楷体_GB2312" w:hAnsi="楷体_GB2312" w:eastAsia="楷体_GB2312" w:cs="楷体_GB2312"/>
          <w:kern w:val="0"/>
          <w:sz w:val="32"/>
          <w:szCs w:val="32"/>
        </w:rPr>
      </w:pPr>
      <w:bookmarkStart w:id="205" w:name="_Toc22840"/>
      <w:r>
        <w:rPr>
          <w:rFonts w:hint="eastAsia" w:ascii="楷体_GB2312" w:hAnsi="楷体_GB2312" w:eastAsia="楷体_GB2312" w:cs="楷体_GB2312"/>
          <w:kern w:val="0"/>
          <w:sz w:val="32"/>
          <w:szCs w:val="32"/>
        </w:rPr>
        <w:t>9.2  奖惩</w:t>
      </w:r>
      <w:bookmarkEnd w:id="205"/>
    </w:p>
    <w:p w14:paraId="67CF6840">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9.2.1  表彰奖励</w:t>
      </w:r>
    </w:p>
    <w:p w14:paraId="0F07F8EC">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在工贸行业事故应急处置中做出重大贡献的单位和个人，由上级主管部门或单位按照有关规定给予表彰奖励。</w:t>
      </w:r>
    </w:p>
    <w:p w14:paraId="3A4C9A59">
      <w:pPr>
        <w:spacing w:line="560" w:lineRule="exact"/>
        <w:ind w:firstLine="624"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9.2.2 惩处追责</w:t>
      </w:r>
    </w:p>
    <w:p w14:paraId="24D69520">
      <w:pPr>
        <w:spacing w:line="560" w:lineRule="exact"/>
        <w:ind w:firstLine="624" w:firstLineChars="200"/>
        <w:rPr>
          <w:rFonts w:asciiTheme="minorEastAsia" w:hAnsiTheme="minorEastAsia" w:eastAsiaTheme="minorEastAsia" w:cstheme="minorEastAsia"/>
          <w:sz w:val="28"/>
          <w:szCs w:val="28"/>
        </w:rPr>
      </w:pPr>
      <w:r>
        <w:rPr>
          <w:rFonts w:hint="eastAsia" w:ascii="仿宋_GB2312" w:hAnsi="仿宋_GB2312" w:eastAsia="仿宋_GB2312" w:cs="仿宋_GB2312"/>
          <w:kern w:val="0"/>
          <w:sz w:val="32"/>
          <w:szCs w:val="32"/>
        </w:rPr>
        <w:t>对单位和个人未按照预案要求履行职责，造成重大损失的，由上级主管部门或监察机关、所在单位予以处分；构成犯罪的，依法追究刑事责任。</w:t>
      </w:r>
    </w:p>
    <w:p w14:paraId="50C6FB20"/>
    <w:p w14:paraId="564F76AE"/>
    <w:p w14:paraId="6FE7F4FF"/>
    <w:p w14:paraId="77F2559C"/>
    <w:p w14:paraId="0777E5E3"/>
    <w:p w14:paraId="2ED27A40"/>
    <w:p w14:paraId="5C7A8AD6"/>
    <w:p w14:paraId="30DA066F"/>
    <w:p w14:paraId="31C4CD56"/>
    <w:p w14:paraId="1AC7EE63"/>
    <w:p w14:paraId="129CE7DE"/>
    <w:p w14:paraId="2452E6FC"/>
    <w:p w14:paraId="55F9B76C"/>
    <w:p w14:paraId="243DA8AD"/>
    <w:p w14:paraId="32896B21"/>
    <w:p w14:paraId="1395AB26">
      <w:pPr>
        <w:spacing w:beforeLines="100" w:afterLines="100"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烟台高新区人防工程事故</w:t>
      </w:r>
      <w:r>
        <w:rPr>
          <w:rFonts w:hint="eastAsia" w:ascii="方正小标宋简体" w:hAnsi="Helvetica" w:eastAsia="方正小标宋简体" w:cs="Helvetica"/>
          <w:sz w:val="44"/>
          <w:szCs w:val="44"/>
        </w:rPr>
        <w:t>专项</w:t>
      </w:r>
      <w:r>
        <w:rPr>
          <w:rFonts w:hint="eastAsia" w:ascii="方正小标宋简体" w:hAnsi="方正小标宋简体" w:eastAsia="方正小标宋简体" w:cs="方正小标宋简体"/>
          <w:bCs/>
          <w:sz w:val="44"/>
          <w:szCs w:val="44"/>
        </w:rPr>
        <w:t>应急预案</w:t>
      </w:r>
    </w:p>
    <w:p w14:paraId="720D9BA3">
      <w:pPr>
        <w:spacing w:line="560" w:lineRule="exact"/>
        <w:ind w:firstLine="624" w:firstLineChars="200"/>
        <w:rPr>
          <w:rFonts w:ascii="黑体" w:hAnsi="黑体" w:eastAsia="黑体" w:cs="黑体"/>
          <w:sz w:val="32"/>
          <w:szCs w:val="32"/>
        </w:rPr>
      </w:pPr>
      <w:r>
        <w:rPr>
          <w:rFonts w:hint="eastAsia" w:ascii="黑体" w:hAnsi="黑体" w:eastAsia="黑体" w:cs="黑体"/>
          <w:sz w:val="32"/>
          <w:szCs w:val="32"/>
        </w:rPr>
        <w:t>一、总则</w:t>
      </w:r>
    </w:p>
    <w:p w14:paraId="15E5C68B">
      <w:pPr>
        <w:spacing w:line="560" w:lineRule="exact"/>
        <w:ind w:firstLine="624"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（一）编制目的。</w:t>
      </w:r>
      <w:r>
        <w:rPr>
          <w:rFonts w:hint="eastAsia" w:ascii="仿宋_GB2312" w:hAnsi="仿宋_GB2312" w:eastAsia="仿宋_GB2312" w:cs="仿宋_GB2312"/>
          <w:sz w:val="32"/>
          <w:szCs w:val="32"/>
        </w:rPr>
        <w:t>规范人防工程事故应急管理，完善应急救援体系，及时有效地处置人防工程事故，最大限度地减少事故发生所造成的人员伤亡、财产损失及社会影响，保障公众的生命财产安全。</w:t>
      </w:r>
    </w:p>
    <w:p w14:paraId="7D858A96">
      <w:pPr>
        <w:spacing w:line="560" w:lineRule="exact"/>
        <w:ind w:firstLine="624"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（二）编制依据。</w:t>
      </w:r>
      <w:r>
        <w:rPr>
          <w:rFonts w:hint="eastAsia" w:ascii="仿宋_GB2312" w:hAnsi="仿宋_GB2312" w:eastAsia="仿宋_GB2312" w:cs="仿宋_GB2312"/>
          <w:sz w:val="32"/>
          <w:szCs w:val="32"/>
        </w:rPr>
        <w:t>依据《中华人民共和国人民防空法》、《中华人民共和国安全生产法》、《中华人民共和国防震减灾法》、《山东省实施＜中华人民共和国人民防空法＞办法》等有关法律法规制定本预案。</w:t>
      </w:r>
    </w:p>
    <w:p w14:paraId="25C1270C">
      <w:pPr>
        <w:spacing w:line="560" w:lineRule="exact"/>
        <w:ind w:firstLine="624"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（三）适用范围。</w:t>
      </w:r>
      <w:r>
        <w:rPr>
          <w:rFonts w:hint="eastAsia" w:ascii="仿宋_GB2312" w:hAnsi="仿宋_GB2312" w:eastAsia="仿宋_GB2312" w:cs="仿宋_GB2312"/>
          <w:sz w:val="32"/>
          <w:szCs w:val="32"/>
        </w:rPr>
        <w:t>本预案适用于本区行政区域内人防工程发生地质坍塌、滑坡、倒灌、火灾等安全事故或其他相关事故，分为以下三类：</w:t>
      </w:r>
    </w:p>
    <w:p w14:paraId="0E6CCE2E">
      <w:pPr>
        <w:pStyle w:val="19"/>
        <w:widowControl w:val="0"/>
        <w:snapToGrid w:val="0"/>
        <w:spacing w:before="0" w:beforeAutospacing="0" w:after="0" w:afterAutospacing="0" w:line="560" w:lineRule="exact"/>
        <w:ind w:firstLine="624"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1．自然灾害引起的人防工程事故。主要包括由气象灾害，地震灾害，山体滑坡、泥石流，森林火灾等自然灾害引起的人防工程事故。</w:t>
      </w:r>
    </w:p>
    <w:p w14:paraId="202A927A">
      <w:pPr>
        <w:pStyle w:val="19"/>
        <w:widowControl w:val="0"/>
        <w:snapToGrid w:val="0"/>
        <w:spacing w:before="0" w:beforeAutospacing="0" w:after="0" w:afterAutospacing="0" w:line="560" w:lineRule="exact"/>
        <w:ind w:firstLine="624"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2．重大安全事故引起的人防工程事故。主要包括由于人防工程内部发生火灾及人防工程施工等引起的事故。</w:t>
      </w:r>
    </w:p>
    <w:p w14:paraId="09F997A3">
      <w:pPr>
        <w:pStyle w:val="19"/>
        <w:widowControl w:val="0"/>
        <w:snapToGrid w:val="0"/>
        <w:spacing w:before="0" w:beforeAutospacing="0" w:after="0" w:afterAutospacing="0" w:line="560" w:lineRule="exact"/>
        <w:ind w:firstLine="624"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3．社会安全事件引起的人防工程事故。主要包括由于重大刑事案件、恐怖袭击事件等引起的人防工程事故。</w:t>
      </w:r>
    </w:p>
    <w:p w14:paraId="6E241031">
      <w:pPr>
        <w:pStyle w:val="19"/>
        <w:widowControl w:val="0"/>
        <w:snapToGrid w:val="0"/>
        <w:spacing w:before="0" w:beforeAutospacing="0" w:after="0" w:afterAutospacing="0" w:line="560" w:lineRule="exact"/>
        <w:ind w:firstLine="624" w:firstLineChars="200"/>
        <w:jc w:val="both"/>
        <w:rPr>
          <w:rFonts w:ascii="仿宋_GB2312" w:hAnsi="仿宋_GB2312" w:eastAsia="仿宋_GB2312" w:cs="仿宋_GB2312"/>
          <w:kern w:val="2"/>
          <w:sz w:val="32"/>
          <w:szCs w:val="32"/>
        </w:rPr>
      </w:pPr>
      <w:r>
        <w:rPr>
          <w:rFonts w:hint="eastAsia" w:ascii="楷体_GB2312" w:hAnsi="楷体_GB2312" w:eastAsia="楷体_GB2312" w:cs="楷体_GB2312"/>
          <w:kern w:val="2"/>
          <w:sz w:val="32"/>
          <w:szCs w:val="32"/>
        </w:rPr>
        <w:t>（四）事故分级。</w:t>
      </w:r>
      <w:r>
        <w:rPr>
          <w:rFonts w:hint="eastAsia" w:ascii="仿宋_GB2312" w:hAnsi="仿宋_GB2312" w:eastAsia="仿宋_GB2312" w:cs="仿宋_GB2312"/>
          <w:kern w:val="2"/>
          <w:sz w:val="32"/>
          <w:szCs w:val="32"/>
        </w:rPr>
        <w:t>按照人防工程事故的性质、严重程度、可控性和影响范围等因素，将人防工程事故分为Ⅰ级（特别重大）、Ⅱ级（重大）、Ⅲ级（较大）和Ⅳ级（一般）四个级别（见附表）。</w:t>
      </w:r>
    </w:p>
    <w:p w14:paraId="62B9A6D2">
      <w:pPr>
        <w:spacing w:line="560" w:lineRule="exact"/>
        <w:ind w:firstLine="624" w:firstLineChars="200"/>
        <w:rPr>
          <w:rFonts w:ascii="黑体" w:hAnsi="黑体" w:eastAsia="黑体" w:cs="黑体"/>
          <w:sz w:val="32"/>
          <w:szCs w:val="32"/>
        </w:rPr>
      </w:pPr>
      <w:r>
        <w:rPr>
          <w:rFonts w:hint="eastAsia" w:ascii="黑体" w:hAnsi="黑体" w:eastAsia="黑体" w:cs="黑体"/>
          <w:sz w:val="32"/>
          <w:szCs w:val="32"/>
        </w:rPr>
        <w:t>二、组织机构与职责</w:t>
      </w:r>
    </w:p>
    <w:p w14:paraId="58B2A63B">
      <w:pPr>
        <w:spacing w:line="560" w:lineRule="exact"/>
        <w:ind w:firstLine="624"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（一）领导机构。</w:t>
      </w:r>
      <w:r>
        <w:rPr>
          <w:rFonts w:hint="eastAsia" w:ascii="仿宋_GB2312" w:hAnsi="仿宋_GB2312" w:eastAsia="仿宋_GB2312" w:cs="仿宋_GB2312"/>
          <w:sz w:val="32"/>
          <w:szCs w:val="32"/>
        </w:rPr>
        <w:t>成立烟台高新区人防工程事故应急领导小组（以下简称领导小组），由区管委分管副主任任组长，区规划国土建设部副部长任副组长，区综合管理部、区财政金融部、区综合行政执法局、市应急管理局高新区分局、市卫生健康委员会高新区管理办公室、区公安分局、区消防</w:t>
      </w:r>
      <w:r>
        <w:rPr>
          <w:rFonts w:hint="eastAsia" w:ascii="仿宋_GB2312" w:hAnsi="仿宋_GB2312" w:eastAsia="仿宋_GB2312" w:cs="仿宋_GB2312"/>
          <w:kern w:val="0"/>
          <w:sz w:val="32"/>
          <w:szCs w:val="32"/>
        </w:rPr>
        <w:t>救援</w:t>
      </w:r>
      <w:r>
        <w:rPr>
          <w:rFonts w:hint="eastAsia" w:ascii="仿宋_GB2312" w:hAnsi="仿宋_GB2312" w:eastAsia="仿宋_GB2312" w:cs="仿宋_GB2312"/>
          <w:sz w:val="32"/>
          <w:szCs w:val="32"/>
        </w:rPr>
        <w:t>大队和交警五大队等部分负责人为成员。</w:t>
      </w:r>
    </w:p>
    <w:p w14:paraId="7D8F72B5">
      <w:pPr>
        <w:spacing w:line="560" w:lineRule="exact"/>
        <w:ind w:firstLine="624"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主要职责：</w:t>
      </w:r>
    </w:p>
    <w:p w14:paraId="79A9C6FD">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（1）贯彻落实区管委决定事项，研究确定应急工作重大决策和指导意见；</w:t>
      </w:r>
    </w:p>
    <w:p w14:paraId="7C0E58F1">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（2）统一领导人防工程事故的预防和应急处置工作；</w:t>
      </w:r>
    </w:p>
    <w:p w14:paraId="0960A911">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（3）对超出我区处置能力的人防工程事故，按程序报请市人防办和市政府，在市政府和市人防办指导下对重特大人防工程事故进行应急处置。</w:t>
      </w:r>
    </w:p>
    <w:p w14:paraId="51CA2097">
      <w:pPr>
        <w:spacing w:line="560" w:lineRule="exact"/>
        <w:ind w:firstLine="624"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（二）办事机构。</w:t>
      </w:r>
      <w:r>
        <w:rPr>
          <w:rFonts w:hint="eastAsia" w:ascii="仿宋_GB2312" w:hAnsi="仿宋_GB2312" w:eastAsia="仿宋_GB2312" w:cs="仿宋_GB2312"/>
          <w:sz w:val="32"/>
          <w:szCs w:val="32"/>
        </w:rPr>
        <w:t>区人防工程事故应急领导小组办公室设在区规划国土建设部，区规划国土建设部部长兼任办公室主任。承担区领导小组日常工作：贯彻国家有关人防工程建设、维护的法律法规，执行区管委、应急领导小组下达的各项指令；履行应急值守、信息汇总、综合协调职责，组织人防工程安全检查；负责向区管委及市人防办报送紧急重要事项，向区应急领导小组报告工作；定期组织修订区人防工程事故应急预案，督促检查预案演练工作；具体组织指挥人防工程事故抢险救灾和灾后重建工作；做好区应急领导小组的其他有关工作。</w:t>
      </w:r>
    </w:p>
    <w:p w14:paraId="26D149BD">
      <w:pPr>
        <w:spacing w:line="560" w:lineRule="exact"/>
        <w:ind w:firstLine="624"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（三）成员单位职责。</w:t>
      </w:r>
    </w:p>
    <w:p w14:paraId="31B4D131">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区公安分局:负责维护事故现场周边秩序和社会治安，保障人民生命财产安全。</w:t>
      </w:r>
    </w:p>
    <w:p w14:paraId="19AC0953">
      <w:pPr>
        <w:pStyle w:val="10"/>
        <w:spacing w:line="560" w:lineRule="exact"/>
        <w:ind w:firstLine="624"/>
        <w:rPr>
          <w:rFonts w:ascii="仿宋_GB2312" w:hAnsi="仿宋_GB2312" w:cs="仿宋_GB2312"/>
        </w:rPr>
      </w:pPr>
      <w:r>
        <w:rPr>
          <w:rFonts w:hint="eastAsia" w:ascii="仿宋_GB2312" w:hAnsi="仿宋_GB2312" w:cs="仿宋_GB2312"/>
        </w:rPr>
        <w:t>区综合管理部:负责向媒体发布事故相关信息；协调做好舆论引导。</w:t>
      </w:r>
    </w:p>
    <w:p w14:paraId="2F378430">
      <w:pPr>
        <w:pStyle w:val="10"/>
        <w:spacing w:line="560" w:lineRule="exact"/>
        <w:ind w:firstLine="624"/>
        <w:rPr>
          <w:rFonts w:ascii="仿宋_GB2312" w:hAnsi="仿宋_GB2312" w:cs="仿宋_GB2312"/>
        </w:rPr>
      </w:pPr>
      <w:r>
        <w:rPr>
          <w:rFonts w:hint="eastAsia" w:ascii="仿宋_GB2312" w:hAnsi="仿宋_GB2312" w:cs="仿宋_GB2312"/>
        </w:rPr>
        <w:t>市卫生健康委员会高新区管理办公室：负责制定医疗卫生应急预案，组织现场救护及伤员转移，负责对受灾人员的临时救助工作，处理死难人员骨灰安置。</w:t>
      </w:r>
    </w:p>
    <w:p w14:paraId="3C10266B">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区财政金融部:负责协调事故救援资金及人防工程重建资金的筹集和落实。</w:t>
      </w:r>
    </w:p>
    <w:p w14:paraId="3146415B">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规划国土建设部:负责对山体滑坡、泥石流等灾害进行监测，及时提供地质灾害相关信息；负责重建人防工程项目的规划审批工作；负责组织与人防工程事故现场相连或相通的普通地下空间的疏通，进行应急救援、人员疏散和地面房屋修缮工作；负责准备和提供事故转移灾民临时用房，协助进行人防工程的重建工作；为紧急抢险和撤离人员协调所需车辆；做好事故救援物资及设备的运输工作。</w:t>
      </w:r>
    </w:p>
    <w:p w14:paraId="274AB793">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区综合行政执法局：负责组织事故现场受损供水、供气、供热、排水管线、道路照明等市政设施的抢修救援和应急处置工作；</w:t>
      </w:r>
    </w:p>
    <w:p w14:paraId="0FB1FB9C">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市应急管理局高新区分局：参与实施人防工程事故应急抢险救援工作；协助人防工程重建工作。</w:t>
      </w:r>
    </w:p>
    <w:p w14:paraId="66FC6CC6">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区消防大队：负责指挥消防官兵做好应急救援和灭火工作。</w:t>
      </w:r>
    </w:p>
    <w:p w14:paraId="38828432">
      <w:pPr>
        <w:pStyle w:val="10"/>
        <w:spacing w:line="560" w:lineRule="exact"/>
        <w:ind w:firstLine="624"/>
        <w:rPr>
          <w:rFonts w:ascii="仿宋_GB2312" w:hAnsi="仿宋_GB2312" w:cs="仿宋_GB2312"/>
        </w:rPr>
      </w:pPr>
      <w:r>
        <w:rPr>
          <w:rFonts w:hint="eastAsia" w:ascii="仿宋_GB2312" w:hAnsi="仿宋_GB2312" w:cs="仿宋_GB2312"/>
        </w:rPr>
        <w:t>交警五大队：负责事故现场区域周边道路的交通管制工作，禁止无关车辆进入危险区域，保障救援道路的畅通。</w:t>
      </w:r>
    </w:p>
    <w:p w14:paraId="1BECB085">
      <w:pPr>
        <w:spacing w:line="560" w:lineRule="exact"/>
        <w:ind w:firstLine="624" w:firstLineChars="200"/>
        <w:rPr>
          <w:rFonts w:ascii="黑体" w:hAnsi="黑体" w:eastAsia="黑体" w:cs="黑体"/>
          <w:sz w:val="32"/>
          <w:szCs w:val="32"/>
        </w:rPr>
      </w:pPr>
      <w:r>
        <w:rPr>
          <w:rFonts w:hint="eastAsia" w:ascii="黑体" w:hAnsi="黑体" w:eastAsia="黑体" w:cs="黑体"/>
          <w:sz w:val="32"/>
          <w:szCs w:val="32"/>
        </w:rPr>
        <w:t>三、事故报告</w:t>
      </w:r>
    </w:p>
    <w:p w14:paraId="59424962">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（一）事故受理</w:t>
      </w:r>
    </w:p>
    <w:p w14:paraId="734C096D">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规划国土建设部是受理人防工程事故报告的主要部门，同时负责受理其它相关部门（如110、119、120、122接警台等）转接的事故报告。受理单位在接到人防工程事故报告时，要做好记录（包括事故发生的时间、地点、单位、原因、伤亡损失情况等内容），按程序及时报告。</w:t>
      </w:r>
    </w:p>
    <w:p w14:paraId="32A0745A">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（二）事故报告</w:t>
      </w:r>
    </w:p>
    <w:p w14:paraId="65B9CC45">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（1）报告责任主体：事故发生地有关单位应及时将有关情况向当地或上级政府、有关主管部门报告。各级政府及其主管部门是受理报告和向上级报告人防工程事故的责任主体。</w:t>
      </w:r>
    </w:p>
    <w:p w14:paraId="619036DF">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（2）报告时限和程序：事故发生后，事发当地政府及其有关部门应当核实并在</w:t>
      </w: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小时内向上一级政府及其有关部门报告。逐级上报到市政府的时间最迟不</w:t>
      </w:r>
      <w:r>
        <w:rPr>
          <w:rFonts w:hint="eastAsia" w:ascii="仿宋_GB2312" w:hAnsi="仿宋_GB2312" w:eastAsia="仿宋_GB2312" w:cs="仿宋_GB2312"/>
          <w:bCs/>
          <w:sz w:val="32"/>
          <w:szCs w:val="32"/>
        </w:rPr>
        <w:t>得超过2小</w:t>
      </w:r>
      <w:r>
        <w:rPr>
          <w:rFonts w:hint="eastAsia" w:ascii="仿宋_GB2312" w:hAnsi="仿宋_GB2312" w:eastAsia="仿宋_GB2312" w:cs="仿宋_GB2312"/>
          <w:sz w:val="32"/>
          <w:szCs w:val="32"/>
        </w:rPr>
        <w:t>时，不得迟报、谎报、瞒报和漏报。</w:t>
      </w:r>
    </w:p>
    <w:p w14:paraId="679C612E">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（3）报告内容：主要包括人防工程事故发生的时间、地点、信息来源、事故性质、危害程度、影响范围、事故发展趋势和已经采取的措施等。应急处置过程中，要及时续报有关情况。</w:t>
      </w:r>
    </w:p>
    <w:p w14:paraId="1AEA7E06">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（4）区人防工程事故应急领导小组办公室要及时汇总上报事故的重要信息和情况，同时将上级领导的批示传达给有关部门，并跟踪反馈落实情况。</w:t>
      </w:r>
    </w:p>
    <w:p w14:paraId="45ADC2E8">
      <w:pPr>
        <w:spacing w:line="560" w:lineRule="exact"/>
        <w:ind w:firstLine="624" w:firstLineChars="200"/>
        <w:rPr>
          <w:rFonts w:ascii="黑体" w:hAnsi="黑体" w:eastAsia="黑体" w:cs="黑体"/>
          <w:sz w:val="32"/>
          <w:szCs w:val="32"/>
        </w:rPr>
      </w:pPr>
      <w:r>
        <w:rPr>
          <w:rFonts w:hint="eastAsia" w:ascii="黑体" w:hAnsi="黑体" w:eastAsia="黑体" w:cs="黑体"/>
          <w:sz w:val="32"/>
          <w:szCs w:val="32"/>
        </w:rPr>
        <w:t>四、事故处置</w:t>
      </w:r>
    </w:p>
    <w:p w14:paraId="161E5137">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（一）先期处置</w:t>
      </w:r>
    </w:p>
    <w:p w14:paraId="5D18A4DA">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防工程事故发生后，区管委及有关部门要立即启动相关应急预案，有关负责人要迅速赶赴现场，成立现场指挥机构，组织、协调、动员有关应急力量和人民群众进行先期处置，采取措施控制事态发展，并及时向上级政府报告。</w:t>
      </w:r>
    </w:p>
    <w:p w14:paraId="7594D116">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组织营救和救助。迅速组织力量营救受灾人员及受威胁人员，做好受灾人员的疏散、撤离、安置工作，使人员伤亡降到最低程度。参与人防工程事故处置的相关部门和单位应立即调动队伍赶赴现场，在现场指挥部的统一指挥下，按照预案分工和事故处置堆积要求，相互配合、密切协作，共同开展应急处置和救援工作。</w:t>
      </w:r>
    </w:p>
    <w:p w14:paraId="26317019">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（2）维护好事发地的社会稳定。采取区域控制措施，封闭、隔离或限制使用有关场所，控制事故有关责任人，做好受灾及相关群众的思想稳定工作，防止引发群体性事件。</w:t>
      </w:r>
    </w:p>
    <w:p w14:paraId="62B10C7D">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（3）加强现场监测。采取措施消除或控制人防工程事故的危险源，防止次生、衍生事故发生。</w:t>
      </w:r>
    </w:p>
    <w:p w14:paraId="1ACB1F9F">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（4）保障公众生活。根据需要，适时启用应急救援物资、设备和应急专项资金，及时抢修被损坏的公共交通、通讯、供水、供电、供气、供暖等基础设施。</w:t>
      </w:r>
    </w:p>
    <w:p w14:paraId="44867C6A">
      <w:pPr>
        <w:spacing w:line="560" w:lineRule="exact"/>
        <w:ind w:firstLine="62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（5）加强协同作战。参与人防工程事故处置的相关部门和单位应立即调动队伍赶赴现场，在应急领导小组的统一指挥下，按照预案分工和事故处置要求，共同开展应急处置和救援工作。</w:t>
      </w:r>
    </w:p>
    <w:p w14:paraId="2B1D6775">
      <w:pPr>
        <w:spacing w:line="560" w:lineRule="exact"/>
        <w:ind w:firstLine="62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（二）应急响应</w:t>
      </w:r>
    </w:p>
    <w:p w14:paraId="4F6C32C3">
      <w:pPr>
        <w:pStyle w:val="20"/>
        <w:snapToGrid w:val="0"/>
        <w:spacing w:line="560" w:lineRule="exact"/>
        <w:ind w:firstLine="624" w:firstLineChars="200"/>
        <w:jc w:val="both"/>
        <w:rPr>
          <w:rFonts w:ascii="仿宋_GB2312" w:hAnsi="仿宋_GB2312" w:eastAsia="仿宋_GB2312" w:cs="宋体"/>
          <w:kern w:val="2"/>
          <w:sz w:val="32"/>
          <w:szCs w:val="32"/>
        </w:rPr>
      </w:pPr>
      <w:r>
        <w:rPr>
          <w:rFonts w:hint="eastAsia" w:ascii="仿宋_GB2312" w:hAnsi="仿宋_GB2312" w:eastAsia="仿宋_GB2312" w:cs="宋体"/>
          <w:kern w:val="2"/>
          <w:sz w:val="32"/>
          <w:szCs w:val="32"/>
        </w:rPr>
        <w:t>凡发生较大及以上人防工程事故，由区人防工程事故应急领导小组报市人防工程事故应急领导小组决定启动应急预案，采取先期处置，指挥应急处置工作。</w:t>
      </w:r>
      <w:r>
        <w:rPr>
          <w:rFonts w:ascii="仿宋_GB2312" w:hAnsi="仿宋_GB2312" w:eastAsia="仿宋_GB2312" w:cs="宋体"/>
          <w:kern w:val="2"/>
          <w:sz w:val="32"/>
          <w:szCs w:val="32"/>
        </w:rPr>
        <w:t xml:space="preserve"> </w:t>
      </w:r>
    </w:p>
    <w:p w14:paraId="6D623D68">
      <w:pPr>
        <w:pStyle w:val="19"/>
        <w:widowControl w:val="0"/>
        <w:adjustRightInd w:val="0"/>
        <w:snapToGrid w:val="0"/>
        <w:spacing w:before="0" w:beforeAutospacing="0" w:after="0" w:afterAutospacing="0" w:line="560" w:lineRule="exact"/>
        <w:ind w:firstLine="624" w:firstLineChars="200"/>
        <w:jc w:val="both"/>
        <w:rPr>
          <w:rFonts w:ascii="仿宋_GB2312" w:hAnsi="仿宋_GB2312" w:eastAsia="仿宋_GB2312"/>
          <w:kern w:val="2"/>
          <w:sz w:val="32"/>
          <w:szCs w:val="32"/>
        </w:rPr>
      </w:pPr>
      <w:r>
        <w:rPr>
          <w:rFonts w:hint="eastAsia" w:ascii="仿宋_GB2312" w:hAnsi="仿宋_GB2312" w:eastAsia="仿宋_GB2312"/>
          <w:kern w:val="2"/>
          <w:sz w:val="32"/>
          <w:szCs w:val="32"/>
        </w:rPr>
        <w:t>发生一般人防工程事故，由区管委或区人防工程事故应急领导小组启动区应急预案，进行处置，指挥应急处置工作。</w:t>
      </w:r>
    </w:p>
    <w:p w14:paraId="51B10155">
      <w:pPr>
        <w:pStyle w:val="22"/>
        <w:adjustRightInd/>
        <w:spacing w:line="560" w:lineRule="exact"/>
        <w:ind w:firstLine="624" w:firstLineChars="200"/>
        <w:jc w:val="both"/>
        <w:rPr>
          <w:rFonts w:ascii="仿宋_GB2312" w:eastAsia="仿宋_GB2312" w:cs="Times New Roman"/>
          <w:sz w:val="32"/>
          <w:szCs w:val="32"/>
        </w:rPr>
      </w:pPr>
      <w:r>
        <w:rPr>
          <w:rFonts w:hint="eastAsia" w:ascii="楷体_GB2312" w:hAnsi="楷体_GB2312" w:eastAsia="楷体_GB2312" w:cs="楷体_GB2312"/>
          <w:kern w:val="2"/>
          <w:sz w:val="32"/>
          <w:szCs w:val="32"/>
        </w:rPr>
        <w:t>（三）应急联动。</w:t>
      </w:r>
      <w:r>
        <w:rPr>
          <w:rFonts w:hint="eastAsia" w:ascii="仿宋_GB2312" w:eastAsia="仿宋_GB2312" w:cs="仿宋_GB2312"/>
          <w:sz w:val="32"/>
          <w:szCs w:val="32"/>
        </w:rPr>
        <w:t>根据事故现场应急处置工作需要，区人防工程事故应急领导小组确定成立现场指挥部和若干工作组，按照职责分工，各司其职，协同作战，全力以赴做好应急处置工作。</w:t>
      </w:r>
    </w:p>
    <w:p w14:paraId="1EDA9D9D">
      <w:pPr>
        <w:pStyle w:val="19"/>
        <w:widowControl w:val="0"/>
        <w:spacing w:before="0" w:beforeAutospacing="0" w:after="0" w:afterAutospacing="0" w:line="560" w:lineRule="exact"/>
        <w:ind w:firstLine="624" w:firstLineChars="200"/>
        <w:jc w:val="both"/>
        <w:rPr>
          <w:rFonts w:ascii="仿宋_GB2312" w:hAnsi="Times New Roman" w:eastAsia="仿宋_GB2312" w:cs="仿宋_GB2312"/>
          <w:sz w:val="32"/>
          <w:szCs w:val="32"/>
        </w:rPr>
      </w:pPr>
      <w:r>
        <w:rPr>
          <w:rFonts w:hint="eastAsia" w:ascii="仿宋_GB2312" w:hAnsi="Times New Roman" w:eastAsia="仿宋_GB2312" w:cs="仿宋_GB2312"/>
          <w:sz w:val="32"/>
          <w:szCs w:val="32"/>
        </w:rPr>
        <w:t>现场指挥部主要职责是负责召集现场工作会议，根据事故现场情况部署应急处置工作；负责现场应急处置和善后处置的组织及监督协调工作；与应急领导小组保持密切联系，接收有关指令，并随时报告现场应急处置情况，现场应急处置结束后，协调有关部门、单位进行善后处置和事故调查，并将现场处置情况书面报告区人防工程应急领导小组，由区人防工程应急领导小组书面报告区管委。</w:t>
      </w:r>
    </w:p>
    <w:p w14:paraId="3E4118A2">
      <w:pPr>
        <w:pStyle w:val="19"/>
        <w:widowControl w:val="0"/>
        <w:snapToGrid w:val="0"/>
        <w:spacing w:before="0" w:beforeAutospacing="0" w:after="0" w:afterAutospacing="0" w:line="560" w:lineRule="exact"/>
        <w:ind w:firstLine="624" w:firstLineChars="200"/>
        <w:jc w:val="both"/>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（四）应急结束</w:t>
      </w:r>
    </w:p>
    <w:p w14:paraId="67359AD0">
      <w:pPr>
        <w:pStyle w:val="19"/>
        <w:widowControl w:val="0"/>
        <w:snapToGrid w:val="0"/>
        <w:spacing w:before="0" w:beforeAutospacing="0" w:after="0" w:afterAutospacing="0" w:line="560" w:lineRule="exact"/>
        <w:ind w:firstLine="624" w:firstLineChars="200"/>
        <w:jc w:val="both"/>
        <w:rPr>
          <w:rFonts w:ascii="仿宋_GB2312" w:hAnsi="仿宋_GB2312" w:eastAsia="仿宋_GB2312"/>
          <w:kern w:val="2"/>
          <w:sz w:val="32"/>
          <w:szCs w:val="32"/>
        </w:rPr>
      </w:pPr>
      <w:r>
        <w:rPr>
          <w:rFonts w:hint="eastAsia" w:ascii="仿宋_GB2312" w:hAnsi="仿宋_GB2312" w:eastAsia="仿宋_GB2312"/>
          <w:kern w:val="2"/>
          <w:sz w:val="32"/>
          <w:szCs w:val="32"/>
        </w:rPr>
        <w:t>应急</w:t>
      </w:r>
      <w:r>
        <w:rPr>
          <w:rFonts w:hint="eastAsia" w:ascii="仿宋_GB2312" w:hAnsi="仿宋_GB2312" w:eastAsia="仿宋_GB2312" w:cs="Times New Roman"/>
          <w:kern w:val="2"/>
          <w:sz w:val="32"/>
          <w:szCs w:val="32"/>
        </w:rPr>
        <w:t>处置结束</w:t>
      </w:r>
      <w:r>
        <w:rPr>
          <w:rFonts w:hint="eastAsia" w:ascii="仿宋_GB2312" w:hAnsi="仿宋_GB2312" w:eastAsia="仿宋_GB2312"/>
          <w:kern w:val="2"/>
          <w:sz w:val="32"/>
          <w:szCs w:val="32"/>
        </w:rPr>
        <w:t>并确认危害因素消除</w:t>
      </w:r>
      <w:r>
        <w:rPr>
          <w:rFonts w:hint="eastAsia" w:ascii="仿宋_GB2312" w:hAnsi="仿宋_GB2312" w:eastAsia="仿宋_GB2312" w:cs="Times New Roman"/>
          <w:kern w:val="2"/>
          <w:sz w:val="32"/>
          <w:szCs w:val="32"/>
        </w:rPr>
        <w:t>后，由</w:t>
      </w:r>
      <w:r>
        <w:rPr>
          <w:rFonts w:hint="eastAsia" w:ascii="仿宋_GB2312" w:hAnsi="仿宋_GB2312" w:eastAsia="仿宋_GB2312"/>
          <w:kern w:val="2"/>
          <w:sz w:val="32"/>
          <w:szCs w:val="32"/>
        </w:rPr>
        <w:t>批准预案启动的指挥机构作出终止执行相关预案的决定，</w:t>
      </w:r>
      <w:r>
        <w:rPr>
          <w:rFonts w:hint="eastAsia" w:ascii="仿宋_GB2312" w:hAnsi="仿宋_GB2312" w:eastAsia="仿宋_GB2312" w:cs="Times New Roman"/>
          <w:kern w:val="2"/>
          <w:sz w:val="32"/>
          <w:szCs w:val="32"/>
        </w:rPr>
        <w:t>宣布应急状态解除。</w:t>
      </w:r>
    </w:p>
    <w:p w14:paraId="0DA97668">
      <w:pPr>
        <w:pStyle w:val="19"/>
        <w:widowControl w:val="0"/>
        <w:snapToGrid w:val="0"/>
        <w:spacing w:before="0" w:beforeAutospacing="0" w:after="0" w:afterAutospacing="0" w:line="560" w:lineRule="exact"/>
        <w:ind w:firstLine="624" w:firstLineChars="200"/>
        <w:jc w:val="both"/>
        <w:rPr>
          <w:rFonts w:ascii="黑体" w:hAnsi="仿宋_GB2312" w:eastAsia="黑体" w:cs="Times New Roman"/>
          <w:kern w:val="2"/>
          <w:sz w:val="32"/>
          <w:szCs w:val="32"/>
        </w:rPr>
      </w:pPr>
      <w:r>
        <w:rPr>
          <w:rFonts w:hint="eastAsia" w:ascii="黑体" w:hAnsi="仿宋_GB2312" w:eastAsia="黑体" w:cs="Times New Roman"/>
          <w:kern w:val="2"/>
          <w:sz w:val="32"/>
          <w:szCs w:val="32"/>
        </w:rPr>
        <w:t>五、</w:t>
      </w:r>
      <w:r>
        <w:rPr>
          <w:rFonts w:hint="eastAsia" w:ascii="黑体" w:eastAsia="黑体" w:cs="黑体"/>
          <w:sz w:val="32"/>
          <w:szCs w:val="32"/>
        </w:rPr>
        <w:t>后期处置</w:t>
      </w:r>
    </w:p>
    <w:p w14:paraId="5CBF22B9">
      <w:pPr>
        <w:pStyle w:val="19"/>
        <w:widowControl w:val="0"/>
        <w:snapToGrid w:val="0"/>
        <w:spacing w:before="0" w:beforeAutospacing="0" w:after="0" w:afterAutospacing="0" w:line="560" w:lineRule="exact"/>
        <w:ind w:firstLine="624" w:firstLineChars="200"/>
        <w:jc w:val="both"/>
        <w:rPr>
          <w:rFonts w:ascii="楷体_GB2312" w:hAnsi="仿宋_GB2312" w:eastAsia="楷体_GB2312" w:cs="Times New Roman"/>
          <w:kern w:val="2"/>
          <w:sz w:val="32"/>
          <w:szCs w:val="32"/>
        </w:rPr>
      </w:pPr>
      <w:r>
        <w:rPr>
          <w:rFonts w:hint="eastAsia" w:ascii="楷体_GB2312" w:hAnsi="仿宋_GB2312" w:eastAsia="楷体_GB2312" w:cs="Times New Roman"/>
          <w:kern w:val="2"/>
          <w:sz w:val="32"/>
          <w:szCs w:val="32"/>
        </w:rPr>
        <w:t>（一）善后处置。</w:t>
      </w:r>
      <w:r>
        <w:rPr>
          <w:rFonts w:hint="eastAsia" w:ascii="仿宋_GB2312" w:eastAsia="仿宋_GB2312" w:cs="仿宋_GB2312"/>
          <w:sz w:val="32"/>
          <w:szCs w:val="32"/>
        </w:rPr>
        <w:t>区管委及有关部门、单位要严格按照有关规定，迅速组织力量开展事故核实和恢复重建工作，积极恢复生产、生活秩序。各职能部门对恢复重建、污染物收集、现场清理与处理等问题制订切实可行的方案，并组织实施；对灾民进行妥善安置，组织协调有关单位和社会机构对有需要的灾民进行社会心理援助；对事故中伤亡人员、应急工作人员以及紧急调集、征用的物资，要按照规定给予抚恤、补助和补偿；加强对捐赠资金和物资的监督与管理。</w:t>
      </w:r>
    </w:p>
    <w:p w14:paraId="49CC7E31">
      <w:pPr>
        <w:pStyle w:val="19"/>
        <w:widowControl w:val="0"/>
        <w:snapToGrid w:val="0"/>
        <w:spacing w:before="0" w:beforeAutospacing="0" w:after="0" w:afterAutospacing="0" w:line="560" w:lineRule="exact"/>
        <w:ind w:firstLine="624" w:firstLineChars="200"/>
        <w:jc w:val="both"/>
        <w:rPr>
          <w:rFonts w:ascii="仿宋_GB2312" w:hAnsi="仿宋_GB2312" w:eastAsia="仿宋_GB2312"/>
          <w:kern w:val="2"/>
          <w:sz w:val="32"/>
          <w:szCs w:val="32"/>
        </w:rPr>
      </w:pPr>
      <w:r>
        <w:rPr>
          <w:rFonts w:hint="eastAsia" w:ascii="楷体_GB2312" w:hAnsi="仿宋_GB2312" w:eastAsia="楷体_GB2312"/>
          <w:kern w:val="2"/>
          <w:sz w:val="32"/>
          <w:szCs w:val="32"/>
        </w:rPr>
        <w:t>（二）调查与评估。</w:t>
      </w:r>
      <w:r>
        <w:rPr>
          <w:rFonts w:hint="eastAsia" w:ascii="仿宋_GB2312" w:eastAsia="仿宋_GB2312" w:cs="仿宋_GB2312"/>
          <w:sz w:val="32"/>
          <w:szCs w:val="32"/>
        </w:rPr>
        <w:t>应急处置结束后，应急领导小组要及时对事故原因进行调查，对预案实施情况进行评估，书面报告区管委和上级有关部门。事故调查内容包括：事故发生原因、采取的应急措施、伤亡人数及经济损失、灾民安置情况、灾后恢复情况等。</w:t>
      </w:r>
    </w:p>
    <w:p w14:paraId="7A4E9D5F">
      <w:pPr>
        <w:pStyle w:val="19"/>
        <w:widowControl w:val="0"/>
        <w:snapToGrid w:val="0"/>
        <w:spacing w:before="0" w:beforeAutospacing="0" w:after="0" w:afterAutospacing="0" w:line="560" w:lineRule="exact"/>
        <w:ind w:firstLine="624" w:firstLineChars="200"/>
        <w:jc w:val="both"/>
        <w:rPr>
          <w:rFonts w:ascii="黑体" w:hAnsi="仿宋_GB2312" w:eastAsia="黑体" w:cs="Times New Roman"/>
          <w:kern w:val="2"/>
          <w:sz w:val="32"/>
          <w:szCs w:val="32"/>
        </w:rPr>
      </w:pPr>
      <w:r>
        <w:rPr>
          <w:rFonts w:hint="eastAsia" w:ascii="黑体" w:hAnsi="仿宋_GB2312" w:eastAsia="黑体" w:cs="Times New Roman"/>
          <w:kern w:val="2"/>
          <w:sz w:val="32"/>
          <w:szCs w:val="32"/>
        </w:rPr>
        <w:t>六、监督管理</w:t>
      </w:r>
    </w:p>
    <w:p w14:paraId="7D84CEF1">
      <w:pPr>
        <w:pStyle w:val="19"/>
        <w:widowControl w:val="0"/>
        <w:snapToGrid w:val="0"/>
        <w:spacing w:before="0" w:beforeAutospacing="0" w:after="0" w:afterAutospacing="0" w:line="560" w:lineRule="exact"/>
        <w:ind w:firstLine="624" w:firstLineChars="200"/>
        <w:jc w:val="both"/>
        <w:rPr>
          <w:rFonts w:ascii="楷体_GB2312" w:hAnsi="仿宋_GB2312" w:eastAsia="楷体_GB2312" w:cs="Times New Roman"/>
          <w:kern w:val="2"/>
          <w:sz w:val="32"/>
          <w:szCs w:val="32"/>
        </w:rPr>
      </w:pPr>
      <w:r>
        <w:rPr>
          <w:rFonts w:hint="eastAsia" w:ascii="楷体_GB2312" w:hAnsi="仿宋_GB2312" w:eastAsia="楷体_GB2312" w:cs="Times New Roman"/>
          <w:kern w:val="2"/>
          <w:sz w:val="32"/>
          <w:szCs w:val="32"/>
        </w:rPr>
        <w:t>（一）</w:t>
      </w:r>
      <w:r>
        <w:rPr>
          <w:rFonts w:hint="eastAsia" w:ascii="楷体_GB2312" w:hAnsi="仿宋_GB2312" w:eastAsia="楷体_GB2312"/>
          <w:kern w:val="2"/>
          <w:sz w:val="32"/>
          <w:szCs w:val="32"/>
        </w:rPr>
        <w:t>日常管理</w:t>
      </w:r>
      <w:r>
        <w:rPr>
          <w:rFonts w:hint="eastAsia" w:ascii="楷体_GB2312" w:hAnsi="仿宋_GB2312" w:eastAsia="楷体_GB2312" w:cs="Times New Roman"/>
          <w:kern w:val="2"/>
          <w:sz w:val="32"/>
          <w:szCs w:val="32"/>
        </w:rPr>
        <w:t>。</w:t>
      </w:r>
      <w:r>
        <w:rPr>
          <w:rFonts w:hint="eastAsia" w:ascii="仿宋_GB2312" w:hAnsi="仿宋_GB2312" w:eastAsia="仿宋_GB2312"/>
          <w:kern w:val="2"/>
          <w:sz w:val="32"/>
          <w:szCs w:val="32"/>
        </w:rPr>
        <w:t>区规划国土建设部要重视人防工程的安全管理工作，依法加强对各类人防工程的安全检查，发现安全隐患要督促责任单位在规定期限内整改。按规定对人防工程进行维护管理，使其保持良好状态。</w:t>
      </w:r>
    </w:p>
    <w:p w14:paraId="49267F08">
      <w:pPr>
        <w:pStyle w:val="22"/>
        <w:adjustRightInd/>
        <w:snapToGrid w:val="0"/>
        <w:spacing w:line="560" w:lineRule="exact"/>
        <w:ind w:firstLine="624" w:firstLineChars="200"/>
        <w:jc w:val="both"/>
        <w:rPr>
          <w:rFonts w:ascii="仿宋_GB2312" w:hAnsi="仿宋_GB2312" w:eastAsia="仿宋_GB2312" w:cs="宋体"/>
          <w:kern w:val="2"/>
          <w:sz w:val="32"/>
          <w:szCs w:val="32"/>
        </w:rPr>
      </w:pPr>
      <w:r>
        <w:rPr>
          <w:rFonts w:hint="eastAsia" w:ascii="楷体_GB2312" w:hAnsi="仿宋_GB2312" w:eastAsia="楷体_GB2312"/>
          <w:kern w:val="2"/>
          <w:sz w:val="32"/>
          <w:szCs w:val="32"/>
        </w:rPr>
        <w:t>（二）宣传和培训。</w:t>
      </w:r>
      <w:r>
        <w:rPr>
          <w:rFonts w:hint="eastAsia" w:ascii="仿宋_GB2312" w:hAnsi="仿宋_GB2312" w:eastAsia="仿宋_GB2312" w:cs="宋体"/>
          <w:kern w:val="2"/>
          <w:sz w:val="32"/>
          <w:szCs w:val="32"/>
        </w:rPr>
        <w:t>利用广播、电视、报纸、互联网等多种形式广泛开展人防工程事故预防的普及教育，增强社会公众的预防意识。定期组织人防工程事故应急处置管理人员、技术人员和预备人员进行常规性培训，提高应急处置能力。原则上每年定期组织</w:t>
      </w:r>
      <w:r>
        <w:rPr>
          <w:rFonts w:ascii="仿宋_GB2312" w:hAnsi="仿宋_GB2312" w:eastAsia="仿宋_GB2312" w:cs="宋体"/>
          <w:kern w:val="2"/>
          <w:sz w:val="32"/>
          <w:szCs w:val="32"/>
        </w:rPr>
        <w:t>1</w:t>
      </w:r>
      <w:r>
        <w:rPr>
          <w:rFonts w:hint="eastAsia" w:ascii="仿宋_GB2312" w:hAnsi="仿宋_GB2312" w:eastAsia="仿宋_GB2312" w:cs="宋体"/>
          <w:kern w:val="2"/>
          <w:sz w:val="32"/>
          <w:szCs w:val="32"/>
        </w:rPr>
        <w:t>次应急演练，并对应急预案进行评估。</w:t>
      </w:r>
    </w:p>
    <w:p w14:paraId="478055BC">
      <w:pPr>
        <w:pStyle w:val="19"/>
        <w:widowControl w:val="0"/>
        <w:snapToGrid w:val="0"/>
        <w:spacing w:before="0" w:beforeAutospacing="0" w:after="0" w:afterAutospacing="0" w:line="560" w:lineRule="exact"/>
        <w:ind w:firstLine="624" w:firstLineChars="200"/>
        <w:jc w:val="both"/>
        <w:rPr>
          <w:rFonts w:ascii="楷体_GB2312" w:hAnsi="仿宋_GB2312" w:eastAsia="楷体_GB2312"/>
          <w:kern w:val="2"/>
          <w:sz w:val="32"/>
          <w:szCs w:val="32"/>
        </w:rPr>
      </w:pPr>
      <w:r>
        <w:rPr>
          <w:rFonts w:hint="eastAsia" w:ascii="楷体_GB2312" w:hAnsi="仿宋_GB2312" w:eastAsia="楷体_GB2312" w:cs="方正小标宋简体"/>
          <w:kern w:val="2"/>
          <w:sz w:val="32"/>
          <w:szCs w:val="32"/>
        </w:rPr>
        <w:t>（三）责任与奖惩</w:t>
      </w:r>
    </w:p>
    <w:p w14:paraId="0C522B40">
      <w:pPr>
        <w:pStyle w:val="19"/>
        <w:widowControl w:val="0"/>
        <w:snapToGrid w:val="0"/>
        <w:spacing w:before="0" w:beforeAutospacing="0" w:after="0" w:afterAutospacing="0" w:line="560" w:lineRule="exact"/>
        <w:ind w:firstLine="624" w:firstLineChars="200"/>
        <w:jc w:val="both"/>
        <w:rPr>
          <w:rFonts w:ascii="仿宋_GB2312" w:hAnsi="仿宋_GB2312" w:eastAsia="仿宋_GB2312" w:cs="Times New Roman"/>
          <w:kern w:val="2"/>
          <w:sz w:val="32"/>
          <w:szCs w:val="32"/>
        </w:rPr>
      </w:pPr>
      <w:r>
        <w:rPr>
          <w:rFonts w:hint="eastAsia" w:ascii="仿宋_GB2312" w:hAnsi="仿宋_GB2312" w:eastAsia="仿宋_GB2312" w:cs="Times New Roman"/>
          <w:kern w:val="2"/>
          <w:sz w:val="32"/>
          <w:szCs w:val="32"/>
        </w:rPr>
        <w:t>1．对在</w:t>
      </w:r>
      <w:r>
        <w:rPr>
          <w:rFonts w:hint="eastAsia" w:ascii="仿宋_GB2312" w:hAnsi="仿宋_GB2312" w:eastAsia="仿宋_GB2312"/>
          <w:kern w:val="2"/>
          <w:sz w:val="32"/>
          <w:szCs w:val="32"/>
        </w:rPr>
        <w:t>应急处置</w:t>
      </w:r>
      <w:r>
        <w:rPr>
          <w:rFonts w:hint="eastAsia" w:ascii="仿宋_GB2312" w:hAnsi="仿宋_GB2312" w:eastAsia="仿宋_GB2312" w:cs="Times New Roman"/>
          <w:kern w:val="2"/>
          <w:sz w:val="32"/>
          <w:szCs w:val="32"/>
        </w:rPr>
        <w:t>行动中成绩突出的单位和个人</w:t>
      </w:r>
      <w:r>
        <w:rPr>
          <w:rFonts w:hint="eastAsia" w:ascii="仿宋_GB2312" w:hAnsi="仿宋_GB2312" w:eastAsia="仿宋_GB2312"/>
          <w:kern w:val="2"/>
          <w:sz w:val="32"/>
          <w:szCs w:val="32"/>
        </w:rPr>
        <w:t>，</w:t>
      </w:r>
      <w:r>
        <w:rPr>
          <w:rFonts w:hint="eastAsia" w:ascii="仿宋_GB2312" w:hAnsi="仿宋_GB2312" w:eastAsia="仿宋_GB2312" w:cs="Times New Roman"/>
          <w:kern w:val="2"/>
          <w:sz w:val="32"/>
          <w:szCs w:val="32"/>
        </w:rPr>
        <w:t>按规定给予表彰和奖励。</w:t>
      </w:r>
    </w:p>
    <w:p w14:paraId="0D446BFE">
      <w:pPr>
        <w:pStyle w:val="23"/>
        <w:widowControl w:val="0"/>
        <w:snapToGrid w:val="0"/>
        <w:spacing w:before="0" w:beforeAutospacing="0" w:after="0" w:afterAutospacing="0" w:line="560" w:lineRule="exact"/>
        <w:ind w:firstLine="624" w:firstLineChars="200"/>
        <w:jc w:val="both"/>
        <w:rPr>
          <w:rFonts w:ascii="仿宋_GB2312" w:hAnsi="仿宋_GB2312" w:eastAsia="仿宋_GB2312" w:cs="Times New Roman"/>
          <w:kern w:val="2"/>
          <w:sz w:val="32"/>
          <w:szCs w:val="32"/>
        </w:rPr>
      </w:pPr>
      <w:r>
        <w:rPr>
          <w:rFonts w:hint="eastAsia" w:ascii="仿宋_GB2312" w:hAnsi="仿宋_GB2312" w:eastAsia="仿宋_GB2312"/>
          <w:kern w:val="2"/>
          <w:sz w:val="32"/>
          <w:szCs w:val="32"/>
        </w:rPr>
        <w:t>2</w:t>
      </w:r>
      <w:r>
        <w:rPr>
          <w:rFonts w:hint="eastAsia" w:ascii="仿宋_GB2312" w:hAnsi="仿宋_GB2312" w:eastAsia="仿宋_GB2312" w:cs="Times New Roman"/>
          <w:kern w:val="2"/>
          <w:sz w:val="32"/>
          <w:szCs w:val="32"/>
        </w:rPr>
        <w:t>．建立健全责任追究制度，对</w:t>
      </w:r>
      <w:r>
        <w:rPr>
          <w:rFonts w:hint="eastAsia" w:ascii="仿宋_GB2312" w:hAnsi="仿宋_GB2312" w:eastAsia="仿宋_GB2312"/>
          <w:kern w:val="2"/>
          <w:sz w:val="32"/>
          <w:szCs w:val="32"/>
        </w:rPr>
        <w:t>在</w:t>
      </w:r>
      <w:r>
        <w:rPr>
          <w:rFonts w:hint="eastAsia" w:ascii="仿宋_GB2312" w:hAnsi="仿宋_GB2312" w:eastAsia="仿宋_GB2312" w:cs="Times New Roman"/>
          <w:kern w:val="2"/>
          <w:sz w:val="32"/>
          <w:szCs w:val="32"/>
        </w:rPr>
        <w:t>应急处置</w:t>
      </w:r>
      <w:r>
        <w:rPr>
          <w:rFonts w:hint="eastAsia" w:ascii="仿宋_GB2312" w:hAnsi="仿宋_GB2312" w:eastAsia="仿宋_GB2312"/>
          <w:kern w:val="2"/>
          <w:sz w:val="32"/>
          <w:szCs w:val="32"/>
        </w:rPr>
        <w:t>行动中</w:t>
      </w:r>
      <w:r>
        <w:rPr>
          <w:rFonts w:hint="eastAsia" w:ascii="仿宋_GB2312" w:hAnsi="仿宋_GB2312" w:eastAsia="仿宋_GB2312" w:cs="Times New Roman"/>
          <w:kern w:val="2"/>
          <w:sz w:val="32"/>
          <w:szCs w:val="32"/>
        </w:rPr>
        <w:t>组织不力</w:t>
      </w:r>
      <w:r>
        <w:rPr>
          <w:rFonts w:hint="eastAsia" w:ascii="仿宋_GB2312" w:hAnsi="仿宋_GB2312" w:eastAsia="仿宋_GB2312"/>
          <w:kern w:val="2"/>
          <w:sz w:val="32"/>
          <w:szCs w:val="32"/>
        </w:rPr>
        <w:t>、</w:t>
      </w:r>
      <w:r>
        <w:rPr>
          <w:rFonts w:hint="eastAsia" w:ascii="仿宋_GB2312" w:hAnsi="仿宋_GB2312" w:eastAsia="仿宋_GB2312" w:cs="Times New Roman"/>
          <w:kern w:val="2"/>
          <w:sz w:val="32"/>
          <w:szCs w:val="32"/>
        </w:rPr>
        <w:t>措施不落实，造成严重后果和恶劣影响的，</w:t>
      </w:r>
      <w:r>
        <w:rPr>
          <w:rFonts w:hint="eastAsia" w:ascii="仿宋_GB2312" w:hAnsi="仿宋_GB2312" w:eastAsia="仿宋_GB2312"/>
          <w:kern w:val="2"/>
          <w:sz w:val="32"/>
          <w:szCs w:val="32"/>
        </w:rPr>
        <w:t>依法依纪</w:t>
      </w:r>
      <w:r>
        <w:rPr>
          <w:rFonts w:hint="eastAsia" w:ascii="仿宋_GB2312" w:hAnsi="仿宋_GB2312" w:eastAsia="仿宋_GB2312" w:cs="Times New Roman"/>
          <w:kern w:val="2"/>
          <w:sz w:val="32"/>
          <w:szCs w:val="32"/>
        </w:rPr>
        <w:t>追究有关</w:t>
      </w:r>
      <w:r>
        <w:rPr>
          <w:rFonts w:hint="eastAsia" w:ascii="仿宋_GB2312" w:hAnsi="仿宋_GB2312" w:eastAsia="仿宋_GB2312"/>
          <w:kern w:val="2"/>
          <w:sz w:val="32"/>
          <w:szCs w:val="32"/>
        </w:rPr>
        <w:t>责任人</w:t>
      </w:r>
      <w:r>
        <w:rPr>
          <w:rFonts w:hint="eastAsia" w:ascii="仿宋_GB2312" w:hAnsi="仿宋_GB2312" w:eastAsia="仿宋_GB2312" w:cs="Times New Roman"/>
          <w:kern w:val="2"/>
          <w:sz w:val="32"/>
          <w:szCs w:val="32"/>
        </w:rPr>
        <w:t>的责任。</w:t>
      </w:r>
    </w:p>
    <w:p w14:paraId="5373C4D0">
      <w:pPr>
        <w:pStyle w:val="22"/>
        <w:adjustRightInd/>
        <w:snapToGrid w:val="0"/>
        <w:spacing w:line="560" w:lineRule="exact"/>
        <w:ind w:firstLine="624" w:firstLineChars="200"/>
        <w:jc w:val="both"/>
        <w:rPr>
          <w:rFonts w:ascii="黑体" w:eastAsia="黑体" w:cs="黑体"/>
          <w:sz w:val="32"/>
          <w:szCs w:val="32"/>
        </w:rPr>
      </w:pPr>
      <w:r>
        <w:rPr>
          <w:rFonts w:hint="eastAsia" w:ascii="黑体" w:eastAsia="黑体" w:cs="黑体"/>
          <w:sz w:val="32"/>
          <w:szCs w:val="32"/>
        </w:rPr>
        <w:t>七、附则</w:t>
      </w:r>
      <w:r>
        <w:rPr>
          <w:rFonts w:ascii="黑体" w:eastAsia="黑体" w:cs="黑体"/>
          <w:sz w:val="32"/>
          <w:szCs w:val="32"/>
        </w:rPr>
        <w:t xml:space="preserve"> </w:t>
      </w:r>
    </w:p>
    <w:p w14:paraId="0427DDD6">
      <w:pPr>
        <w:pStyle w:val="24"/>
        <w:adjustRightInd/>
        <w:snapToGrid w:val="0"/>
        <w:spacing w:line="560" w:lineRule="exact"/>
        <w:ind w:firstLine="624" w:firstLineChars="200"/>
        <w:jc w:val="both"/>
        <w:rPr>
          <w:rFonts w:ascii="仿宋_GB2312" w:hAnsi="仿宋_GB2312" w:eastAsia="仿宋_GB2312" w:cs="Times New Roman"/>
          <w:kern w:val="2"/>
          <w:sz w:val="32"/>
          <w:szCs w:val="32"/>
        </w:rPr>
      </w:pPr>
      <w:r>
        <w:rPr>
          <w:rFonts w:hint="eastAsia" w:ascii="仿宋_GB2312" w:hAnsi="仿宋_GB2312" w:eastAsia="仿宋_GB2312" w:cs="Times New Roman"/>
          <w:kern w:val="2"/>
          <w:sz w:val="32"/>
          <w:szCs w:val="32"/>
        </w:rPr>
        <w:t>（一）本预案由区规划国土建设部负责解释。</w:t>
      </w:r>
      <w:r>
        <w:rPr>
          <w:rFonts w:ascii="仿宋_GB2312" w:hAnsi="仿宋_GB2312" w:eastAsia="仿宋_GB2312" w:cs="Times New Roman"/>
          <w:kern w:val="2"/>
          <w:sz w:val="32"/>
          <w:szCs w:val="32"/>
        </w:rPr>
        <w:t xml:space="preserve"> </w:t>
      </w:r>
    </w:p>
    <w:p w14:paraId="7B439C76">
      <w:pPr>
        <w:pStyle w:val="21"/>
        <w:spacing w:line="560" w:lineRule="exact"/>
        <w:ind w:firstLine="624" w:firstLineChars="200"/>
        <w:jc w:val="both"/>
        <w:rPr>
          <w:rFonts w:ascii="仿宋_GB2312" w:hAnsi="仿宋_GB2312" w:eastAsia="仿宋_GB2312" w:cs="Times New Roman"/>
          <w:color w:val="auto"/>
          <w:kern w:val="2"/>
          <w:sz w:val="32"/>
          <w:szCs w:val="32"/>
        </w:rPr>
      </w:pPr>
      <w:r>
        <w:rPr>
          <w:rFonts w:hint="eastAsia" w:ascii="仿宋_GB2312" w:hAnsi="仿宋_GB2312" w:eastAsia="仿宋_GB2312" w:cs="Times New Roman"/>
          <w:color w:val="auto"/>
          <w:kern w:val="2"/>
          <w:sz w:val="32"/>
          <w:szCs w:val="32"/>
        </w:rPr>
        <w:t>（二）本预案自发布之日起实施。</w:t>
      </w:r>
    </w:p>
    <w:p w14:paraId="76888656">
      <w:pPr>
        <w:pStyle w:val="21"/>
        <w:spacing w:line="560" w:lineRule="exact"/>
        <w:ind w:firstLine="624" w:firstLineChars="200"/>
        <w:jc w:val="both"/>
        <w:rPr>
          <w:rFonts w:ascii="仿宋_GB2312" w:hAnsi="仿宋_GB2312" w:eastAsia="仿宋_GB2312" w:cs="Times New Roman"/>
          <w:color w:val="auto"/>
          <w:kern w:val="2"/>
          <w:sz w:val="32"/>
          <w:szCs w:val="32"/>
        </w:rPr>
      </w:pPr>
    </w:p>
    <w:p w14:paraId="7E235EF6">
      <w:pPr>
        <w:pStyle w:val="21"/>
        <w:spacing w:line="560" w:lineRule="exact"/>
        <w:ind w:firstLine="624" w:firstLineChars="200"/>
        <w:jc w:val="both"/>
        <w:rPr>
          <w:rFonts w:ascii="仿宋_GB2312" w:hAnsi="仿宋_GB2312" w:eastAsia="仿宋_GB2312" w:cs="Times New Roman"/>
          <w:color w:val="auto"/>
          <w:spacing w:val="-20"/>
          <w:kern w:val="2"/>
          <w:sz w:val="32"/>
          <w:szCs w:val="32"/>
        </w:rPr>
      </w:pPr>
      <w:r>
        <w:rPr>
          <w:rFonts w:hint="eastAsia" w:ascii="仿宋_GB2312" w:hAnsi="仿宋_GB2312" w:eastAsia="仿宋_GB2312" w:cs="Times New Roman"/>
          <w:color w:val="auto"/>
          <w:kern w:val="2"/>
          <w:sz w:val="32"/>
          <w:szCs w:val="32"/>
        </w:rPr>
        <w:t>附件：</w:t>
      </w:r>
      <w:r>
        <w:rPr>
          <w:rFonts w:hint="eastAsia" w:ascii="仿宋_GB2312" w:hAnsi="仿宋_GB2312" w:eastAsia="仿宋_GB2312" w:cs="Times New Roman"/>
          <w:color w:val="auto"/>
          <w:spacing w:val="-20"/>
          <w:kern w:val="2"/>
          <w:sz w:val="32"/>
          <w:szCs w:val="32"/>
        </w:rPr>
        <w:t>1.烟台高新区人防工程事故应急领导小组成员名单及联系电话</w:t>
      </w:r>
    </w:p>
    <w:p w14:paraId="67985E06">
      <w:pPr>
        <w:pStyle w:val="21"/>
        <w:spacing w:line="560" w:lineRule="exact"/>
        <w:ind w:firstLine="624" w:firstLineChars="200"/>
        <w:jc w:val="both"/>
        <w:rPr>
          <w:rFonts w:ascii="仿宋_GB2312" w:hAnsi="仿宋_GB2312" w:eastAsia="仿宋_GB2312" w:cs="Times New Roman"/>
          <w:color w:val="auto"/>
          <w:kern w:val="2"/>
          <w:sz w:val="32"/>
          <w:szCs w:val="32"/>
        </w:rPr>
      </w:pPr>
      <w:r>
        <w:rPr>
          <w:rFonts w:hint="eastAsia" w:ascii="仿宋_GB2312" w:hAnsi="仿宋_GB2312" w:eastAsia="仿宋_GB2312" w:cs="Times New Roman"/>
          <w:color w:val="auto"/>
          <w:kern w:val="2"/>
          <w:sz w:val="32"/>
          <w:szCs w:val="32"/>
        </w:rPr>
        <w:t xml:space="preserve">      2.应急处置流程图</w:t>
      </w:r>
    </w:p>
    <w:p w14:paraId="4537E19B">
      <w:pPr>
        <w:pStyle w:val="21"/>
        <w:spacing w:line="560" w:lineRule="exact"/>
        <w:ind w:firstLine="464" w:firstLineChars="200"/>
        <w:jc w:val="both"/>
        <w:rPr>
          <w:rFonts w:ascii="仿宋_GB2312" w:hAnsi="仿宋_GB2312" w:eastAsia="仿宋_GB2312" w:cs="Times New Roman"/>
          <w:color w:val="auto"/>
          <w:kern w:val="2"/>
          <w:sz w:val="32"/>
          <w:szCs w:val="32"/>
        </w:rPr>
      </w:pPr>
      <w:r>
        <w:rPr>
          <w:rFonts w:hint="eastAsia"/>
          <w:color w:val="auto"/>
        </w:rPr>
        <w:t xml:space="preserve">         </w:t>
      </w:r>
      <w:r>
        <w:rPr>
          <w:rFonts w:hint="eastAsia" w:ascii="仿宋_GB2312" w:hAnsi="仿宋_GB2312" w:eastAsia="仿宋_GB2312" w:cs="Times New Roman"/>
          <w:color w:val="auto"/>
          <w:kern w:val="2"/>
          <w:sz w:val="32"/>
          <w:szCs w:val="32"/>
        </w:rPr>
        <w:t>3.人防工程事故分级表</w:t>
      </w:r>
    </w:p>
    <w:p w14:paraId="20F2CA1A">
      <w:pPr>
        <w:spacing w:line="560" w:lineRule="exact"/>
        <w:rPr>
          <w:rFonts w:ascii="方正黑体简体" w:hAnsi="宋体" w:eastAsia="方正黑体简体" w:cs="宋体"/>
          <w:kern w:val="0"/>
        </w:rPr>
      </w:pPr>
    </w:p>
    <w:p w14:paraId="0F0539D6">
      <w:pPr>
        <w:spacing w:line="560" w:lineRule="exact"/>
        <w:rPr>
          <w:rFonts w:ascii="方正黑体简体" w:hAnsi="宋体" w:eastAsia="方正黑体简体" w:cs="宋体"/>
          <w:kern w:val="0"/>
        </w:rPr>
      </w:pPr>
    </w:p>
    <w:p w14:paraId="1B84A4AB">
      <w:pPr>
        <w:spacing w:line="560" w:lineRule="exact"/>
        <w:rPr>
          <w:rFonts w:ascii="方正黑体简体" w:hAnsi="宋体" w:eastAsia="方正黑体简体" w:cs="宋体"/>
          <w:kern w:val="0"/>
        </w:rPr>
      </w:pPr>
    </w:p>
    <w:p w14:paraId="11B93B89">
      <w:pPr>
        <w:spacing w:line="560" w:lineRule="exact"/>
        <w:rPr>
          <w:rFonts w:ascii="方正黑体简体" w:hAnsi="宋体" w:eastAsia="方正黑体简体" w:cs="宋体"/>
          <w:kern w:val="0"/>
        </w:rPr>
      </w:pPr>
    </w:p>
    <w:p w14:paraId="029055A0"/>
    <w:p w14:paraId="1118FEA5">
      <w:pPr>
        <w:spacing w:line="560" w:lineRule="exact"/>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附件1:</w:t>
      </w:r>
    </w:p>
    <w:p w14:paraId="40A1C5C9">
      <w:pPr>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烟台高新区人防工程事故应急领导小组</w:t>
      </w:r>
    </w:p>
    <w:p w14:paraId="2331A590">
      <w:pPr>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成员名单及联系电话</w:t>
      </w:r>
    </w:p>
    <w:tbl>
      <w:tblPr>
        <w:tblStyle w:val="12"/>
        <w:tblW w:w="9060" w:type="dxa"/>
        <w:tblInd w:w="0" w:type="dxa"/>
        <w:tblLayout w:type="fixed"/>
        <w:tblCellMar>
          <w:top w:w="0" w:type="dxa"/>
          <w:left w:w="108" w:type="dxa"/>
          <w:bottom w:w="0" w:type="dxa"/>
          <w:right w:w="108" w:type="dxa"/>
        </w:tblCellMar>
      </w:tblPr>
      <w:tblGrid>
        <w:gridCol w:w="1151"/>
        <w:gridCol w:w="926"/>
        <w:gridCol w:w="2824"/>
        <w:gridCol w:w="1441"/>
        <w:gridCol w:w="1132"/>
        <w:gridCol w:w="1586"/>
      </w:tblGrid>
      <w:tr w14:paraId="11B7558D">
        <w:tblPrEx>
          <w:tblCellMar>
            <w:top w:w="0" w:type="dxa"/>
            <w:left w:w="108" w:type="dxa"/>
            <w:bottom w:w="0" w:type="dxa"/>
            <w:right w:w="108" w:type="dxa"/>
          </w:tblCellMar>
        </w:tblPrEx>
        <w:trPr>
          <w:trHeight w:val="840" w:hRule="atLeast"/>
        </w:trPr>
        <w:tc>
          <w:tcPr>
            <w:tcW w:w="1151" w:type="dxa"/>
            <w:tcBorders>
              <w:top w:val="single" w:color="auto" w:sz="4" w:space="0"/>
              <w:left w:val="single" w:color="auto" w:sz="4" w:space="0"/>
              <w:bottom w:val="single" w:color="auto" w:sz="4" w:space="0"/>
              <w:right w:val="single" w:color="auto" w:sz="4" w:space="0"/>
            </w:tcBorders>
            <w:vAlign w:val="center"/>
          </w:tcPr>
          <w:p w14:paraId="26014CEE">
            <w:pPr>
              <w:widowControl/>
              <w:jc w:val="left"/>
              <w:rPr>
                <w:rFonts w:ascii="仿宋_GB2312" w:hAnsi="宋体" w:cs="宋体"/>
                <w:kern w:val="0"/>
                <w:sz w:val="24"/>
              </w:rPr>
            </w:pPr>
            <w:r>
              <w:rPr>
                <w:rFonts w:hint="eastAsia" w:ascii="仿宋_GB2312" w:hAnsi="宋体" w:cs="宋体"/>
                <w:kern w:val="0"/>
                <w:sz w:val="24"/>
              </w:rPr>
              <w:t>应急职务</w:t>
            </w:r>
          </w:p>
        </w:tc>
        <w:tc>
          <w:tcPr>
            <w:tcW w:w="926" w:type="dxa"/>
            <w:tcBorders>
              <w:top w:val="single" w:color="auto" w:sz="4" w:space="0"/>
              <w:left w:val="nil"/>
              <w:bottom w:val="single" w:color="auto" w:sz="4" w:space="0"/>
              <w:right w:val="single" w:color="auto" w:sz="4" w:space="0"/>
            </w:tcBorders>
            <w:vAlign w:val="center"/>
          </w:tcPr>
          <w:p w14:paraId="72CF4642">
            <w:pPr>
              <w:widowControl/>
              <w:jc w:val="center"/>
              <w:rPr>
                <w:rFonts w:ascii="仿宋_GB2312" w:hAnsi="宋体" w:cs="宋体"/>
                <w:kern w:val="0"/>
                <w:sz w:val="24"/>
              </w:rPr>
            </w:pPr>
            <w:r>
              <w:rPr>
                <w:rFonts w:hint="eastAsia" w:ascii="仿宋_GB2312" w:hAnsi="宋体" w:cs="宋体"/>
                <w:kern w:val="0"/>
                <w:sz w:val="24"/>
              </w:rPr>
              <w:t>姓  名</w:t>
            </w:r>
          </w:p>
        </w:tc>
        <w:tc>
          <w:tcPr>
            <w:tcW w:w="2824" w:type="dxa"/>
            <w:tcBorders>
              <w:top w:val="single" w:color="auto" w:sz="4" w:space="0"/>
              <w:left w:val="nil"/>
              <w:bottom w:val="single" w:color="auto" w:sz="4" w:space="0"/>
              <w:right w:val="single" w:color="auto" w:sz="4" w:space="0"/>
            </w:tcBorders>
            <w:vAlign w:val="center"/>
          </w:tcPr>
          <w:p w14:paraId="599CD64C">
            <w:pPr>
              <w:widowControl/>
              <w:jc w:val="center"/>
              <w:rPr>
                <w:rFonts w:ascii="仿宋_GB2312" w:hAnsi="宋体" w:cs="宋体"/>
                <w:kern w:val="0"/>
                <w:sz w:val="24"/>
              </w:rPr>
            </w:pPr>
            <w:r>
              <w:rPr>
                <w:rFonts w:hint="eastAsia" w:ascii="仿宋_GB2312" w:hAnsi="宋体" w:cs="宋体"/>
                <w:kern w:val="0"/>
                <w:sz w:val="24"/>
              </w:rPr>
              <w:t>单  位</w:t>
            </w:r>
          </w:p>
        </w:tc>
        <w:tc>
          <w:tcPr>
            <w:tcW w:w="1441" w:type="dxa"/>
            <w:tcBorders>
              <w:top w:val="single" w:color="auto" w:sz="4" w:space="0"/>
              <w:left w:val="nil"/>
              <w:bottom w:val="single" w:color="auto" w:sz="4" w:space="0"/>
              <w:right w:val="single" w:color="auto" w:sz="4" w:space="0"/>
            </w:tcBorders>
            <w:vAlign w:val="center"/>
          </w:tcPr>
          <w:p w14:paraId="0C2D7440">
            <w:pPr>
              <w:widowControl/>
              <w:jc w:val="center"/>
              <w:rPr>
                <w:rFonts w:ascii="仿宋_GB2312" w:hAnsi="宋体" w:cs="宋体"/>
                <w:kern w:val="0"/>
                <w:sz w:val="24"/>
              </w:rPr>
            </w:pPr>
            <w:r>
              <w:rPr>
                <w:rFonts w:hint="eastAsia" w:ascii="仿宋_GB2312" w:hAnsi="宋体" w:cs="宋体"/>
                <w:kern w:val="0"/>
                <w:sz w:val="24"/>
              </w:rPr>
              <w:t>职  务</w:t>
            </w:r>
          </w:p>
        </w:tc>
        <w:tc>
          <w:tcPr>
            <w:tcW w:w="1132" w:type="dxa"/>
            <w:tcBorders>
              <w:top w:val="single" w:color="auto" w:sz="4" w:space="0"/>
              <w:left w:val="nil"/>
              <w:bottom w:val="single" w:color="auto" w:sz="4" w:space="0"/>
              <w:right w:val="single" w:color="auto" w:sz="4" w:space="0"/>
            </w:tcBorders>
            <w:vAlign w:val="center"/>
          </w:tcPr>
          <w:p w14:paraId="6C7D096F">
            <w:pPr>
              <w:widowControl/>
              <w:jc w:val="center"/>
              <w:rPr>
                <w:rFonts w:ascii="仿宋_GB2312" w:hAnsi="宋体" w:cs="宋体"/>
                <w:kern w:val="0"/>
                <w:sz w:val="24"/>
              </w:rPr>
            </w:pPr>
            <w:r>
              <w:rPr>
                <w:rFonts w:hint="eastAsia" w:ascii="仿宋_GB2312" w:hAnsi="宋体" w:cs="宋体"/>
                <w:kern w:val="0"/>
                <w:sz w:val="24"/>
              </w:rPr>
              <w:t>办公电话</w:t>
            </w:r>
          </w:p>
        </w:tc>
        <w:tc>
          <w:tcPr>
            <w:tcW w:w="1586" w:type="dxa"/>
            <w:tcBorders>
              <w:top w:val="single" w:color="auto" w:sz="4" w:space="0"/>
              <w:left w:val="nil"/>
              <w:bottom w:val="single" w:color="auto" w:sz="4" w:space="0"/>
              <w:right w:val="single" w:color="auto" w:sz="4" w:space="0"/>
            </w:tcBorders>
            <w:vAlign w:val="center"/>
          </w:tcPr>
          <w:p w14:paraId="0FDEFBEF">
            <w:pPr>
              <w:widowControl/>
              <w:jc w:val="center"/>
              <w:rPr>
                <w:rFonts w:ascii="仿宋_GB2312" w:hAnsi="宋体" w:cs="宋体"/>
                <w:kern w:val="0"/>
                <w:sz w:val="24"/>
              </w:rPr>
            </w:pPr>
            <w:r>
              <w:rPr>
                <w:rFonts w:hint="eastAsia" w:ascii="仿宋_GB2312" w:hAnsi="宋体" w:cs="宋体"/>
                <w:kern w:val="0"/>
                <w:sz w:val="24"/>
              </w:rPr>
              <w:t>移动电话</w:t>
            </w:r>
          </w:p>
        </w:tc>
      </w:tr>
      <w:tr w14:paraId="61D013AF">
        <w:tblPrEx>
          <w:tblCellMar>
            <w:top w:w="0" w:type="dxa"/>
            <w:left w:w="108" w:type="dxa"/>
            <w:bottom w:w="0" w:type="dxa"/>
            <w:right w:w="108" w:type="dxa"/>
          </w:tblCellMar>
        </w:tblPrEx>
        <w:trPr>
          <w:trHeight w:val="523" w:hRule="atLeast"/>
        </w:trPr>
        <w:tc>
          <w:tcPr>
            <w:tcW w:w="1151" w:type="dxa"/>
            <w:tcBorders>
              <w:top w:val="nil"/>
              <w:left w:val="single" w:color="auto" w:sz="4" w:space="0"/>
              <w:bottom w:val="single" w:color="auto" w:sz="4" w:space="0"/>
              <w:right w:val="single" w:color="auto" w:sz="4" w:space="0"/>
            </w:tcBorders>
            <w:vAlign w:val="center"/>
          </w:tcPr>
          <w:p w14:paraId="16415FB0">
            <w:pPr>
              <w:widowControl/>
              <w:jc w:val="center"/>
              <w:rPr>
                <w:rFonts w:ascii="仿宋_GB2312" w:hAnsi="宋体" w:cs="宋体"/>
                <w:kern w:val="0"/>
                <w:sz w:val="24"/>
              </w:rPr>
            </w:pPr>
            <w:r>
              <w:rPr>
                <w:rFonts w:hint="eastAsia" w:ascii="仿宋_GB2312" w:hAnsi="宋体" w:cs="宋体"/>
                <w:kern w:val="0"/>
                <w:sz w:val="24"/>
              </w:rPr>
              <w:t>总指挥</w:t>
            </w:r>
          </w:p>
        </w:tc>
        <w:tc>
          <w:tcPr>
            <w:tcW w:w="926" w:type="dxa"/>
            <w:tcBorders>
              <w:top w:val="nil"/>
              <w:left w:val="nil"/>
              <w:bottom w:val="single" w:color="auto" w:sz="4" w:space="0"/>
              <w:right w:val="single" w:color="auto" w:sz="4" w:space="0"/>
            </w:tcBorders>
            <w:vAlign w:val="center"/>
          </w:tcPr>
          <w:p w14:paraId="4A5269EF">
            <w:pPr>
              <w:widowControl/>
              <w:jc w:val="center"/>
              <w:rPr>
                <w:rFonts w:ascii="仿宋_GB2312" w:hAnsi="宋体" w:cs="宋体"/>
                <w:kern w:val="0"/>
                <w:sz w:val="24"/>
              </w:rPr>
            </w:pPr>
            <w:r>
              <w:rPr>
                <w:rFonts w:hint="eastAsia" w:ascii="仿宋_GB2312" w:hAnsi="宋体" w:cs="宋体"/>
                <w:kern w:val="0"/>
                <w:sz w:val="24"/>
              </w:rPr>
              <w:t>王金腾</w:t>
            </w:r>
          </w:p>
        </w:tc>
        <w:tc>
          <w:tcPr>
            <w:tcW w:w="2824" w:type="dxa"/>
            <w:tcBorders>
              <w:top w:val="single" w:color="auto" w:sz="4" w:space="0"/>
              <w:left w:val="nil"/>
              <w:bottom w:val="single" w:color="auto" w:sz="4" w:space="0"/>
              <w:right w:val="single" w:color="auto" w:sz="4" w:space="0"/>
            </w:tcBorders>
            <w:vAlign w:val="center"/>
          </w:tcPr>
          <w:p w14:paraId="2920C08B">
            <w:pPr>
              <w:widowControl/>
              <w:jc w:val="left"/>
              <w:rPr>
                <w:rFonts w:ascii="仿宋_GB2312" w:hAnsi="宋体" w:cs="宋体"/>
                <w:kern w:val="0"/>
                <w:sz w:val="24"/>
              </w:rPr>
            </w:pPr>
            <w:r>
              <w:rPr>
                <w:rFonts w:hint="eastAsia" w:ascii="仿宋_GB2312" w:hAnsi="宋体" w:cs="宋体"/>
                <w:kern w:val="0"/>
                <w:sz w:val="24"/>
              </w:rPr>
              <w:t>区管委</w:t>
            </w:r>
          </w:p>
        </w:tc>
        <w:tc>
          <w:tcPr>
            <w:tcW w:w="1441" w:type="dxa"/>
            <w:tcBorders>
              <w:top w:val="single" w:color="auto" w:sz="4" w:space="0"/>
              <w:left w:val="nil"/>
              <w:bottom w:val="single" w:color="auto" w:sz="4" w:space="0"/>
              <w:right w:val="single" w:color="auto" w:sz="4" w:space="0"/>
            </w:tcBorders>
            <w:vAlign w:val="center"/>
          </w:tcPr>
          <w:p w14:paraId="639C4F85">
            <w:pPr>
              <w:widowControl/>
              <w:jc w:val="center"/>
              <w:rPr>
                <w:rFonts w:ascii="仿宋_GB2312" w:hAnsi="宋体" w:cs="宋体"/>
                <w:kern w:val="0"/>
                <w:sz w:val="24"/>
              </w:rPr>
            </w:pPr>
            <w:r>
              <w:rPr>
                <w:rFonts w:hint="eastAsia" w:ascii="仿宋_GB2312" w:hAnsi="宋体" w:cs="宋体"/>
                <w:kern w:val="0"/>
                <w:sz w:val="24"/>
              </w:rPr>
              <w:t>副主任</w:t>
            </w:r>
          </w:p>
        </w:tc>
        <w:tc>
          <w:tcPr>
            <w:tcW w:w="1132" w:type="dxa"/>
            <w:tcBorders>
              <w:top w:val="single" w:color="auto" w:sz="4" w:space="0"/>
              <w:left w:val="nil"/>
              <w:bottom w:val="single" w:color="auto" w:sz="4" w:space="0"/>
              <w:right w:val="single" w:color="auto" w:sz="4" w:space="0"/>
            </w:tcBorders>
            <w:vAlign w:val="center"/>
          </w:tcPr>
          <w:p w14:paraId="2AAEA864">
            <w:pPr>
              <w:widowControl/>
              <w:jc w:val="center"/>
              <w:rPr>
                <w:rFonts w:ascii="仿宋_GB2312" w:hAnsi="宋体" w:cs="宋体"/>
                <w:kern w:val="0"/>
                <w:sz w:val="24"/>
              </w:rPr>
            </w:pPr>
            <w:r>
              <w:rPr>
                <w:rFonts w:ascii="仿宋_GB2312" w:hAnsi="宋体" w:cs="宋体"/>
                <w:kern w:val="0"/>
                <w:sz w:val="24"/>
              </w:rPr>
              <w:t>6925277</w:t>
            </w:r>
          </w:p>
        </w:tc>
        <w:tc>
          <w:tcPr>
            <w:tcW w:w="1586" w:type="dxa"/>
            <w:tcBorders>
              <w:top w:val="nil"/>
              <w:left w:val="nil"/>
              <w:bottom w:val="single" w:color="auto" w:sz="4" w:space="0"/>
              <w:right w:val="single" w:color="auto" w:sz="4" w:space="0"/>
            </w:tcBorders>
            <w:vAlign w:val="center"/>
          </w:tcPr>
          <w:p w14:paraId="5EA91688">
            <w:pPr>
              <w:widowControl/>
              <w:jc w:val="right"/>
              <w:rPr>
                <w:rFonts w:ascii="仿宋_GB2312" w:hAnsi="宋体" w:cs="宋体"/>
                <w:kern w:val="0"/>
                <w:sz w:val="24"/>
              </w:rPr>
            </w:pPr>
            <w:r>
              <w:rPr>
                <w:rFonts w:ascii="仿宋_GB2312" w:hAnsi="宋体" w:cs="宋体"/>
                <w:kern w:val="0"/>
                <w:sz w:val="24"/>
              </w:rPr>
              <w:t>13853550319</w:t>
            </w:r>
          </w:p>
        </w:tc>
      </w:tr>
      <w:tr w14:paraId="41C78FB7">
        <w:tblPrEx>
          <w:tblCellMar>
            <w:top w:w="0" w:type="dxa"/>
            <w:left w:w="108" w:type="dxa"/>
            <w:bottom w:w="0" w:type="dxa"/>
            <w:right w:w="108" w:type="dxa"/>
          </w:tblCellMar>
        </w:tblPrEx>
        <w:trPr>
          <w:trHeight w:val="657" w:hRule="atLeast"/>
        </w:trPr>
        <w:tc>
          <w:tcPr>
            <w:tcW w:w="1151" w:type="dxa"/>
            <w:tcBorders>
              <w:top w:val="nil"/>
              <w:left w:val="single" w:color="auto" w:sz="4" w:space="0"/>
              <w:bottom w:val="single" w:color="auto" w:sz="4" w:space="0"/>
              <w:right w:val="single" w:color="auto" w:sz="4" w:space="0"/>
            </w:tcBorders>
            <w:vAlign w:val="center"/>
          </w:tcPr>
          <w:p w14:paraId="1D9851A8">
            <w:pPr>
              <w:widowControl/>
              <w:jc w:val="center"/>
              <w:rPr>
                <w:rFonts w:ascii="仿宋_GB2312" w:hAnsi="宋体" w:cs="宋体"/>
                <w:kern w:val="0"/>
                <w:sz w:val="24"/>
              </w:rPr>
            </w:pPr>
            <w:r>
              <w:rPr>
                <w:rFonts w:hint="eastAsia" w:ascii="仿宋_GB2312" w:hAnsi="宋体" w:cs="宋体"/>
                <w:kern w:val="0"/>
                <w:sz w:val="24"/>
              </w:rPr>
              <w:t>副指挥</w:t>
            </w:r>
          </w:p>
        </w:tc>
        <w:tc>
          <w:tcPr>
            <w:tcW w:w="926" w:type="dxa"/>
            <w:tcBorders>
              <w:top w:val="nil"/>
              <w:left w:val="nil"/>
              <w:bottom w:val="single" w:color="auto" w:sz="4" w:space="0"/>
              <w:right w:val="single" w:color="auto" w:sz="4" w:space="0"/>
            </w:tcBorders>
            <w:vAlign w:val="center"/>
          </w:tcPr>
          <w:p w14:paraId="1F8BD136">
            <w:pPr>
              <w:widowControl/>
              <w:jc w:val="center"/>
              <w:rPr>
                <w:rFonts w:ascii="仿宋_GB2312" w:hAnsi="宋体" w:eastAsia="仿宋_GB2312" w:cs="宋体"/>
                <w:kern w:val="0"/>
                <w:sz w:val="24"/>
              </w:rPr>
            </w:pPr>
            <w:r>
              <w:rPr>
                <w:rFonts w:hint="eastAsia" w:ascii="仿宋_GB2312" w:hAnsi="宋体" w:cs="宋体"/>
                <w:kern w:val="0"/>
                <w:sz w:val="24"/>
              </w:rPr>
              <w:t>杨  林</w:t>
            </w:r>
          </w:p>
        </w:tc>
        <w:tc>
          <w:tcPr>
            <w:tcW w:w="2824" w:type="dxa"/>
            <w:tcBorders>
              <w:top w:val="single" w:color="auto" w:sz="4" w:space="0"/>
              <w:left w:val="nil"/>
              <w:bottom w:val="single" w:color="auto" w:sz="4" w:space="0"/>
              <w:right w:val="single" w:color="auto" w:sz="4" w:space="0"/>
            </w:tcBorders>
            <w:vAlign w:val="center"/>
          </w:tcPr>
          <w:p w14:paraId="182299FB">
            <w:pPr>
              <w:widowControl/>
              <w:jc w:val="left"/>
              <w:rPr>
                <w:rFonts w:ascii="仿宋_GB2312" w:hAnsi="宋体" w:cs="宋体"/>
                <w:kern w:val="0"/>
                <w:sz w:val="24"/>
              </w:rPr>
            </w:pPr>
            <w:r>
              <w:rPr>
                <w:rFonts w:hint="eastAsia" w:ascii="仿宋_GB2312" w:hAnsi="宋体" w:cs="宋体"/>
                <w:kern w:val="0"/>
                <w:sz w:val="24"/>
              </w:rPr>
              <w:t>区规划国土建设部</w:t>
            </w:r>
          </w:p>
        </w:tc>
        <w:tc>
          <w:tcPr>
            <w:tcW w:w="1441" w:type="dxa"/>
            <w:tcBorders>
              <w:top w:val="single" w:color="auto" w:sz="4" w:space="0"/>
              <w:left w:val="nil"/>
              <w:bottom w:val="single" w:color="auto" w:sz="4" w:space="0"/>
              <w:right w:val="single" w:color="auto" w:sz="4" w:space="0"/>
            </w:tcBorders>
            <w:vAlign w:val="center"/>
          </w:tcPr>
          <w:p w14:paraId="5B9EE9E7">
            <w:pPr>
              <w:widowControl/>
              <w:jc w:val="center"/>
              <w:rPr>
                <w:rFonts w:ascii="仿宋_GB2312" w:hAnsi="宋体" w:cs="宋体"/>
                <w:kern w:val="0"/>
                <w:sz w:val="24"/>
              </w:rPr>
            </w:pPr>
            <w:r>
              <w:rPr>
                <w:rFonts w:hint="eastAsia" w:ascii="仿宋_GB2312" w:hAnsi="宋体" w:cs="宋体"/>
                <w:kern w:val="0"/>
                <w:sz w:val="24"/>
              </w:rPr>
              <w:t>部长</w:t>
            </w:r>
          </w:p>
        </w:tc>
        <w:tc>
          <w:tcPr>
            <w:tcW w:w="1132" w:type="dxa"/>
            <w:tcBorders>
              <w:top w:val="single" w:color="auto" w:sz="4" w:space="0"/>
              <w:left w:val="nil"/>
              <w:bottom w:val="single" w:color="auto" w:sz="4" w:space="0"/>
              <w:right w:val="single" w:color="auto" w:sz="4" w:space="0"/>
            </w:tcBorders>
            <w:vAlign w:val="center"/>
          </w:tcPr>
          <w:p w14:paraId="0917A821">
            <w:pPr>
              <w:widowControl/>
              <w:jc w:val="center"/>
              <w:rPr>
                <w:rFonts w:ascii="仿宋_GB2312" w:hAnsi="宋体" w:cs="宋体"/>
                <w:kern w:val="0"/>
                <w:sz w:val="24"/>
              </w:rPr>
            </w:pPr>
            <w:r>
              <w:rPr>
                <w:rFonts w:hint="eastAsia" w:ascii="仿宋_GB2312" w:hAnsi="宋体" w:cs="宋体"/>
                <w:kern w:val="0"/>
                <w:sz w:val="24"/>
              </w:rPr>
              <w:t>6922353</w:t>
            </w:r>
          </w:p>
        </w:tc>
        <w:tc>
          <w:tcPr>
            <w:tcW w:w="1586" w:type="dxa"/>
            <w:tcBorders>
              <w:top w:val="nil"/>
              <w:left w:val="nil"/>
              <w:bottom w:val="single" w:color="auto" w:sz="4" w:space="0"/>
              <w:right w:val="single" w:color="auto" w:sz="4" w:space="0"/>
            </w:tcBorders>
            <w:vAlign w:val="center"/>
          </w:tcPr>
          <w:p w14:paraId="048604EF">
            <w:pPr>
              <w:widowControl/>
              <w:jc w:val="right"/>
              <w:rPr>
                <w:rFonts w:ascii="仿宋_GB2312" w:hAnsi="宋体" w:eastAsia="仿宋_GB2312" w:cs="宋体"/>
                <w:kern w:val="0"/>
                <w:sz w:val="24"/>
              </w:rPr>
            </w:pPr>
            <w:r>
              <w:rPr>
                <w:rFonts w:hint="eastAsia" w:ascii="仿宋_GB2312" w:hAnsi="宋体" w:cs="宋体"/>
                <w:kern w:val="0"/>
                <w:sz w:val="24"/>
              </w:rPr>
              <w:t>15553570816</w:t>
            </w:r>
          </w:p>
        </w:tc>
      </w:tr>
      <w:tr w14:paraId="404385AF">
        <w:tblPrEx>
          <w:tblCellMar>
            <w:top w:w="0" w:type="dxa"/>
            <w:left w:w="108" w:type="dxa"/>
            <w:bottom w:w="0" w:type="dxa"/>
            <w:right w:w="108" w:type="dxa"/>
          </w:tblCellMar>
        </w:tblPrEx>
        <w:trPr>
          <w:trHeight w:val="840" w:hRule="atLeast"/>
        </w:trPr>
        <w:tc>
          <w:tcPr>
            <w:tcW w:w="1151" w:type="dxa"/>
            <w:vMerge w:val="restart"/>
            <w:tcBorders>
              <w:top w:val="nil"/>
              <w:left w:val="single" w:color="auto" w:sz="4" w:space="0"/>
              <w:right w:val="single" w:color="auto" w:sz="4" w:space="0"/>
            </w:tcBorders>
            <w:vAlign w:val="center"/>
          </w:tcPr>
          <w:p w14:paraId="5191C8F8">
            <w:pPr>
              <w:widowControl/>
              <w:jc w:val="left"/>
              <w:rPr>
                <w:rFonts w:ascii="仿宋_GB2312" w:hAnsi="宋体" w:cs="宋体"/>
                <w:kern w:val="0"/>
                <w:sz w:val="24"/>
              </w:rPr>
            </w:pPr>
          </w:p>
        </w:tc>
        <w:tc>
          <w:tcPr>
            <w:tcW w:w="926" w:type="dxa"/>
            <w:tcBorders>
              <w:top w:val="nil"/>
              <w:left w:val="nil"/>
              <w:bottom w:val="single" w:color="auto" w:sz="4" w:space="0"/>
              <w:right w:val="single" w:color="auto" w:sz="4" w:space="0"/>
            </w:tcBorders>
            <w:vAlign w:val="center"/>
          </w:tcPr>
          <w:p w14:paraId="4C43D62A">
            <w:pPr>
              <w:widowControl/>
              <w:jc w:val="center"/>
              <w:rPr>
                <w:rFonts w:ascii="仿宋_GB2312" w:hAnsi="宋体" w:eastAsia="仿宋_GB2312" w:cs="宋体"/>
                <w:kern w:val="0"/>
                <w:sz w:val="24"/>
              </w:rPr>
            </w:pPr>
            <w:r>
              <w:rPr>
                <w:rFonts w:hint="eastAsia" w:ascii="仿宋_GB2312" w:hAnsi="宋体" w:cs="宋体"/>
                <w:kern w:val="0"/>
                <w:sz w:val="24"/>
              </w:rPr>
              <w:t>齐照良</w:t>
            </w:r>
          </w:p>
        </w:tc>
        <w:tc>
          <w:tcPr>
            <w:tcW w:w="2824" w:type="dxa"/>
            <w:tcBorders>
              <w:top w:val="single" w:color="auto" w:sz="4" w:space="0"/>
              <w:left w:val="nil"/>
              <w:bottom w:val="single" w:color="auto" w:sz="4" w:space="0"/>
              <w:right w:val="single" w:color="auto" w:sz="4" w:space="0"/>
            </w:tcBorders>
            <w:vAlign w:val="center"/>
          </w:tcPr>
          <w:p w14:paraId="45F20E87">
            <w:pPr>
              <w:widowControl/>
              <w:jc w:val="left"/>
              <w:rPr>
                <w:rFonts w:ascii="仿宋_GB2312" w:hAnsi="宋体" w:cs="宋体"/>
                <w:spacing w:val="-20"/>
                <w:kern w:val="0"/>
                <w:sz w:val="24"/>
              </w:rPr>
            </w:pPr>
            <w:r>
              <w:rPr>
                <w:rFonts w:hint="eastAsia" w:ascii="仿宋_GB2312" w:hAnsi="宋体" w:cs="宋体"/>
                <w:spacing w:val="-20"/>
                <w:kern w:val="0"/>
                <w:sz w:val="24"/>
              </w:rPr>
              <w:t>区综合管理部</w:t>
            </w:r>
          </w:p>
        </w:tc>
        <w:tc>
          <w:tcPr>
            <w:tcW w:w="1441" w:type="dxa"/>
            <w:tcBorders>
              <w:top w:val="single" w:color="auto" w:sz="4" w:space="0"/>
              <w:left w:val="nil"/>
              <w:bottom w:val="single" w:color="auto" w:sz="4" w:space="0"/>
              <w:right w:val="single" w:color="auto" w:sz="4" w:space="0"/>
            </w:tcBorders>
            <w:vAlign w:val="center"/>
          </w:tcPr>
          <w:p w14:paraId="56FEA88C">
            <w:pPr>
              <w:widowControl/>
              <w:jc w:val="center"/>
              <w:rPr>
                <w:rFonts w:ascii="仿宋_GB2312" w:hAnsi="宋体" w:eastAsia="仿宋_GB2312" w:cs="宋体"/>
                <w:spacing w:val="-20"/>
                <w:kern w:val="0"/>
                <w:szCs w:val="21"/>
              </w:rPr>
            </w:pPr>
            <w:r>
              <w:rPr>
                <w:rFonts w:hint="eastAsia" w:ascii="仿宋_GB2312" w:hAnsi="宋体" w:cs="宋体"/>
                <w:kern w:val="0"/>
                <w:sz w:val="24"/>
              </w:rPr>
              <w:t>副部长、宣传中心主任</w:t>
            </w:r>
          </w:p>
        </w:tc>
        <w:tc>
          <w:tcPr>
            <w:tcW w:w="1132" w:type="dxa"/>
            <w:tcBorders>
              <w:top w:val="single" w:color="auto" w:sz="4" w:space="0"/>
              <w:left w:val="nil"/>
              <w:bottom w:val="single" w:color="auto" w:sz="4" w:space="0"/>
              <w:right w:val="single" w:color="auto" w:sz="4" w:space="0"/>
            </w:tcBorders>
            <w:vAlign w:val="center"/>
          </w:tcPr>
          <w:p w14:paraId="47E5FD69">
            <w:pPr>
              <w:widowControl/>
              <w:jc w:val="center"/>
              <w:rPr>
                <w:rFonts w:ascii="仿宋_GB2312" w:hAnsi="宋体" w:eastAsia="仿宋_GB2312" w:cs="宋体"/>
                <w:kern w:val="0"/>
                <w:sz w:val="24"/>
              </w:rPr>
            </w:pPr>
            <w:r>
              <w:rPr>
                <w:rFonts w:hint="eastAsia" w:ascii="仿宋_GB2312" w:hAnsi="宋体" w:cs="宋体"/>
                <w:kern w:val="0"/>
                <w:sz w:val="24"/>
              </w:rPr>
              <w:t>6922340</w:t>
            </w:r>
          </w:p>
        </w:tc>
        <w:tc>
          <w:tcPr>
            <w:tcW w:w="1586" w:type="dxa"/>
            <w:tcBorders>
              <w:top w:val="nil"/>
              <w:left w:val="nil"/>
              <w:bottom w:val="single" w:color="auto" w:sz="4" w:space="0"/>
              <w:right w:val="single" w:color="auto" w:sz="4" w:space="0"/>
            </w:tcBorders>
            <w:vAlign w:val="center"/>
          </w:tcPr>
          <w:p w14:paraId="3E935E00">
            <w:pPr>
              <w:widowControl/>
              <w:jc w:val="right"/>
              <w:rPr>
                <w:rFonts w:ascii="仿宋_GB2312" w:hAnsi="宋体" w:eastAsia="仿宋_GB2312" w:cs="宋体"/>
                <w:kern w:val="0"/>
                <w:sz w:val="24"/>
              </w:rPr>
            </w:pPr>
            <w:r>
              <w:rPr>
                <w:rFonts w:hint="eastAsia" w:ascii="仿宋_GB2312" w:hAnsi="宋体" w:cs="宋体"/>
                <w:kern w:val="0"/>
                <w:sz w:val="24"/>
              </w:rPr>
              <w:t>13723980143</w:t>
            </w:r>
          </w:p>
        </w:tc>
      </w:tr>
      <w:tr w14:paraId="21600895">
        <w:tblPrEx>
          <w:tblCellMar>
            <w:top w:w="0" w:type="dxa"/>
            <w:left w:w="108" w:type="dxa"/>
            <w:bottom w:w="0" w:type="dxa"/>
            <w:right w:w="108" w:type="dxa"/>
          </w:tblCellMar>
        </w:tblPrEx>
        <w:trPr>
          <w:trHeight w:val="840" w:hRule="atLeast"/>
        </w:trPr>
        <w:tc>
          <w:tcPr>
            <w:tcW w:w="1151" w:type="dxa"/>
            <w:vMerge w:val="continue"/>
            <w:tcBorders>
              <w:top w:val="nil"/>
              <w:left w:val="single" w:color="auto" w:sz="4" w:space="0"/>
              <w:bottom w:val="single" w:color="auto" w:sz="4" w:space="0"/>
              <w:right w:val="single" w:color="auto" w:sz="4" w:space="0"/>
            </w:tcBorders>
            <w:vAlign w:val="center"/>
          </w:tcPr>
          <w:p w14:paraId="6260D990">
            <w:pPr>
              <w:widowControl/>
              <w:jc w:val="left"/>
              <w:rPr>
                <w:rFonts w:ascii="仿宋_GB2312" w:hAnsi="宋体" w:cs="宋体"/>
                <w:kern w:val="0"/>
                <w:sz w:val="24"/>
              </w:rPr>
            </w:pPr>
          </w:p>
        </w:tc>
        <w:tc>
          <w:tcPr>
            <w:tcW w:w="926" w:type="dxa"/>
            <w:tcBorders>
              <w:top w:val="nil"/>
              <w:left w:val="nil"/>
              <w:bottom w:val="single" w:color="auto" w:sz="4" w:space="0"/>
              <w:right w:val="single" w:color="auto" w:sz="4" w:space="0"/>
            </w:tcBorders>
            <w:vAlign w:val="center"/>
          </w:tcPr>
          <w:p w14:paraId="6E56F03E">
            <w:pPr>
              <w:widowControl/>
              <w:jc w:val="center"/>
              <w:rPr>
                <w:rFonts w:ascii="仿宋_GB2312" w:hAnsi="宋体" w:eastAsia="仿宋_GB2312" w:cs="宋体"/>
                <w:kern w:val="0"/>
                <w:sz w:val="24"/>
              </w:rPr>
            </w:pPr>
            <w:r>
              <w:rPr>
                <w:rFonts w:hint="eastAsia" w:ascii="仿宋_GB2312" w:hAnsi="宋体" w:cs="宋体"/>
                <w:kern w:val="0"/>
                <w:sz w:val="24"/>
              </w:rPr>
              <w:t>连菲菲</w:t>
            </w:r>
          </w:p>
        </w:tc>
        <w:tc>
          <w:tcPr>
            <w:tcW w:w="2824" w:type="dxa"/>
            <w:tcBorders>
              <w:top w:val="single" w:color="auto" w:sz="4" w:space="0"/>
              <w:left w:val="nil"/>
              <w:bottom w:val="single" w:color="auto" w:sz="4" w:space="0"/>
              <w:right w:val="single" w:color="auto" w:sz="4" w:space="0"/>
            </w:tcBorders>
            <w:vAlign w:val="center"/>
          </w:tcPr>
          <w:p w14:paraId="67529787">
            <w:pPr>
              <w:widowControl/>
              <w:jc w:val="left"/>
              <w:rPr>
                <w:rFonts w:ascii="仿宋_GB2312" w:hAnsi="宋体" w:cs="宋体"/>
                <w:kern w:val="0"/>
                <w:sz w:val="24"/>
              </w:rPr>
            </w:pPr>
            <w:r>
              <w:rPr>
                <w:rFonts w:hint="eastAsia" w:ascii="仿宋_GB2312" w:hAnsi="宋体" w:cs="宋体"/>
                <w:kern w:val="0"/>
                <w:sz w:val="24"/>
              </w:rPr>
              <w:t>区财政金融部</w:t>
            </w:r>
          </w:p>
        </w:tc>
        <w:tc>
          <w:tcPr>
            <w:tcW w:w="1441" w:type="dxa"/>
            <w:tcBorders>
              <w:top w:val="single" w:color="auto" w:sz="4" w:space="0"/>
              <w:left w:val="nil"/>
              <w:bottom w:val="single" w:color="auto" w:sz="4" w:space="0"/>
              <w:right w:val="single" w:color="000000" w:sz="4" w:space="0"/>
            </w:tcBorders>
            <w:vAlign w:val="center"/>
          </w:tcPr>
          <w:p w14:paraId="6D82D478">
            <w:pPr>
              <w:widowControl/>
              <w:jc w:val="center"/>
              <w:rPr>
                <w:rFonts w:ascii="仿宋_GB2312" w:hAnsi="宋体" w:cs="宋体"/>
                <w:kern w:val="0"/>
                <w:sz w:val="24"/>
              </w:rPr>
            </w:pPr>
            <w:r>
              <w:rPr>
                <w:rFonts w:hint="eastAsia" w:ascii="仿宋_GB2312" w:hAnsi="宋体" w:cs="宋体"/>
                <w:kern w:val="0"/>
                <w:sz w:val="24"/>
              </w:rPr>
              <w:t>副局长</w:t>
            </w:r>
          </w:p>
        </w:tc>
        <w:tc>
          <w:tcPr>
            <w:tcW w:w="1132" w:type="dxa"/>
            <w:tcBorders>
              <w:top w:val="single" w:color="auto" w:sz="4" w:space="0"/>
              <w:left w:val="nil"/>
              <w:bottom w:val="single" w:color="auto" w:sz="4" w:space="0"/>
              <w:right w:val="single" w:color="auto" w:sz="4" w:space="0"/>
            </w:tcBorders>
            <w:vAlign w:val="center"/>
          </w:tcPr>
          <w:p w14:paraId="6072EE96">
            <w:pPr>
              <w:widowControl/>
              <w:jc w:val="center"/>
              <w:rPr>
                <w:rFonts w:ascii="仿宋_GB2312" w:hAnsi="宋体" w:cs="宋体"/>
                <w:kern w:val="0"/>
                <w:sz w:val="24"/>
              </w:rPr>
            </w:pPr>
            <w:r>
              <w:rPr>
                <w:rFonts w:hint="eastAsia" w:ascii="仿宋_GB2312" w:hAnsi="宋体" w:cs="宋体"/>
                <w:kern w:val="0"/>
                <w:sz w:val="24"/>
              </w:rPr>
              <w:t>6922599</w:t>
            </w:r>
          </w:p>
        </w:tc>
        <w:tc>
          <w:tcPr>
            <w:tcW w:w="1586" w:type="dxa"/>
            <w:tcBorders>
              <w:top w:val="nil"/>
              <w:left w:val="nil"/>
              <w:bottom w:val="single" w:color="auto" w:sz="4" w:space="0"/>
              <w:right w:val="single" w:color="auto" w:sz="4" w:space="0"/>
            </w:tcBorders>
            <w:vAlign w:val="center"/>
          </w:tcPr>
          <w:p w14:paraId="4504B044">
            <w:pPr>
              <w:widowControl/>
              <w:jc w:val="right"/>
              <w:rPr>
                <w:rFonts w:ascii="仿宋_GB2312" w:hAnsi="宋体" w:cs="宋体"/>
                <w:kern w:val="0"/>
                <w:sz w:val="24"/>
              </w:rPr>
            </w:pPr>
            <w:r>
              <w:rPr>
                <w:rFonts w:hint="eastAsia" w:ascii="仿宋_GB2312" w:hAnsi="宋体" w:cs="宋体"/>
                <w:kern w:val="0"/>
                <w:sz w:val="24"/>
              </w:rPr>
              <w:t>13905356116</w:t>
            </w:r>
          </w:p>
        </w:tc>
      </w:tr>
      <w:tr w14:paraId="545AC9EB">
        <w:tblPrEx>
          <w:tblCellMar>
            <w:top w:w="0" w:type="dxa"/>
            <w:left w:w="108" w:type="dxa"/>
            <w:bottom w:w="0" w:type="dxa"/>
            <w:right w:w="108" w:type="dxa"/>
          </w:tblCellMar>
        </w:tblPrEx>
        <w:trPr>
          <w:trHeight w:val="840" w:hRule="atLeast"/>
        </w:trPr>
        <w:tc>
          <w:tcPr>
            <w:tcW w:w="1151" w:type="dxa"/>
            <w:vMerge w:val="continue"/>
            <w:tcBorders>
              <w:top w:val="nil"/>
              <w:left w:val="single" w:color="auto" w:sz="4" w:space="0"/>
              <w:bottom w:val="single" w:color="auto" w:sz="4" w:space="0"/>
              <w:right w:val="single" w:color="auto" w:sz="4" w:space="0"/>
            </w:tcBorders>
            <w:vAlign w:val="center"/>
          </w:tcPr>
          <w:p w14:paraId="1400F1A6">
            <w:pPr>
              <w:widowControl/>
              <w:jc w:val="left"/>
              <w:rPr>
                <w:rFonts w:ascii="仿宋_GB2312" w:hAnsi="宋体" w:cs="宋体"/>
                <w:kern w:val="0"/>
                <w:sz w:val="24"/>
              </w:rPr>
            </w:pPr>
          </w:p>
        </w:tc>
        <w:tc>
          <w:tcPr>
            <w:tcW w:w="926" w:type="dxa"/>
            <w:tcBorders>
              <w:top w:val="nil"/>
              <w:left w:val="nil"/>
              <w:bottom w:val="single" w:color="auto" w:sz="4" w:space="0"/>
              <w:right w:val="single" w:color="auto" w:sz="4" w:space="0"/>
            </w:tcBorders>
            <w:vAlign w:val="center"/>
          </w:tcPr>
          <w:p w14:paraId="311CAF29">
            <w:pPr>
              <w:widowControl/>
              <w:jc w:val="center"/>
              <w:rPr>
                <w:rFonts w:ascii="仿宋_GB2312" w:hAnsi="宋体" w:cs="宋体"/>
                <w:kern w:val="0"/>
                <w:sz w:val="24"/>
              </w:rPr>
            </w:pPr>
            <w:r>
              <w:rPr>
                <w:rFonts w:hint="eastAsia" w:ascii="仿宋_GB2312" w:hAnsi="宋体" w:cs="宋体"/>
                <w:kern w:val="0"/>
                <w:sz w:val="24"/>
              </w:rPr>
              <w:t>谭义伟</w:t>
            </w:r>
          </w:p>
        </w:tc>
        <w:tc>
          <w:tcPr>
            <w:tcW w:w="2824" w:type="dxa"/>
            <w:tcBorders>
              <w:top w:val="single" w:color="auto" w:sz="4" w:space="0"/>
              <w:left w:val="nil"/>
              <w:bottom w:val="single" w:color="auto" w:sz="4" w:space="0"/>
              <w:right w:val="single" w:color="000000" w:sz="4" w:space="0"/>
            </w:tcBorders>
            <w:vAlign w:val="center"/>
          </w:tcPr>
          <w:p w14:paraId="1397A0D1">
            <w:pPr>
              <w:widowControl/>
              <w:jc w:val="left"/>
              <w:rPr>
                <w:rFonts w:ascii="仿宋_GB2312" w:hAnsi="宋体" w:cs="宋体"/>
                <w:kern w:val="0"/>
                <w:sz w:val="24"/>
              </w:rPr>
            </w:pPr>
            <w:r>
              <w:rPr>
                <w:rFonts w:hint="eastAsia" w:ascii="仿宋_GB2312" w:hAnsi="宋体" w:cs="宋体"/>
                <w:kern w:val="0"/>
                <w:sz w:val="24"/>
              </w:rPr>
              <w:t>区规划国土建设部</w:t>
            </w:r>
          </w:p>
        </w:tc>
        <w:tc>
          <w:tcPr>
            <w:tcW w:w="1441" w:type="dxa"/>
            <w:tcBorders>
              <w:top w:val="single" w:color="auto" w:sz="4" w:space="0"/>
              <w:left w:val="nil"/>
              <w:bottom w:val="single" w:color="auto" w:sz="4" w:space="0"/>
              <w:right w:val="single" w:color="000000" w:sz="4" w:space="0"/>
            </w:tcBorders>
            <w:vAlign w:val="center"/>
          </w:tcPr>
          <w:p w14:paraId="42162B69">
            <w:pPr>
              <w:widowControl/>
              <w:jc w:val="center"/>
              <w:rPr>
                <w:rFonts w:ascii="仿宋_GB2312" w:hAnsi="宋体" w:cs="宋体"/>
                <w:kern w:val="0"/>
                <w:sz w:val="24"/>
              </w:rPr>
            </w:pPr>
            <w:r>
              <w:rPr>
                <w:rFonts w:hint="eastAsia" w:ascii="仿宋_GB2312" w:hAnsi="宋体" w:cs="宋体"/>
                <w:kern w:val="0"/>
                <w:sz w:val="24"/>
              </w:rPr>
              <w:t>副部长</w:t>
            </w:r>
          </w:p>
        </w:tc>
        <w:tc>
          <w:tcPr>
            <w:tcW w:w="1132" w:type="dxa"/>
            <w:tcBorders>
              <w:top w:val="single" w:color="auto" w:sz="4" w:space="0"/>
              <w:left w:val="nil"/>
              <w:bottom w:val="single" w:color="auto" w:sz="4" w:space="0"/>
              <w:right w:val="single" w:color="000000" w:sz="4" w:space="0"/>
            </w:tcBorders>
            <w:vAlign w:val="center"/>
          </w:tcPr>
          <w:p w14:paraId="5AFDC1FF">
            <w:pPr>
              <w:jc w:val="center"/>
              <w:rPr>
                <w:rFonts w:ascii="仿宋_GB2312" w:hAnsi="宋体" w:cs="宋体"/>
                <w:kern w:val="0"/>
                <w:sz w:val="24"/>
              </w:rPr>
            </w:pPr>
            <w:r>
              <w:rPr>
                <w:rFonts w:hint="eastAsia" w:ascii="仿宋_GB2312" w:hAnsi="宋体" w:cs="宋体"/>
                <w:kern w:val="0"/>
                <w:sz w:val="24"/>
              </w:rPr>
              <w:t>6922318</w:t>
            </w:r>
          </w:p>
        </w:tc>
        <w:tc>
          <w:tcPr>
            <w:tcW w:w="1586" w:type="dxa"/>
            <w:tcBorders>
              <w:top w:val="nil"/>
              <w:left w:val="nil"/>
              <w:bottom w:val="single" w:color="auto" w:sz="4" w:space="0"/>
              <w:right w:val="single" w:color="auto" w:sz="4" w:space="0"/>
            </w:tcBorders>
            <w:vAlign w:val="center"/>
          </w:tcPr>
          <w:p w14:paraId="7CA78FC0">
            <w:pPr>
              <w:jc w:val="center"/>
              <w:rPr>
                <w:rFonts w:ascii="仿宋_GB2312" w:hAnsi="宋体" w:cs="宋体"/>
                <w:kern w:val="0"/>
                <w:sz w:val="24"/>
              </w:rPr>
            </w:pPr>
            <w:r>
              <w:rPr>
                <w:rFonts w:hint="eastAsia" w:ascii="仿宋_GB2312" w:hAnsi="宋体" w:cs="宋体"/>
                <w:kern w:val="0"/>
                <w:sz w:val="24"/>
              </w:rPr>
              <w:t>13356922678</w:t>
            </w:r>
          </w:p>
        </w:tc>
      </w:tr>
      <w:tr w14:paraId="4D70A4A2">
        <w:tblPrEx>
          <w:tblCellMar>
            <w:top w:w="0" w:type="dxa"/>
            <w:left w:w="108" w:type="dxa"/>
            <w:bottom w:w="0" w:type="dxa"/>
            <w:right w:w="108" w:type="dxa"/>
          </w:tblCellMar>
        </w:tblPrEx>
        <w:trPr>
          <w:trHeight w:val="840" w:hRule="atLeast"/>
        </w:trPr>
        <w:tc>
          <w:tcPr>
            <w:tcW w:w="1151" w:type="dxa"/>
            <w:vMerge w:val="continue"/>
            <w:tcBorders>
              <w:top w:val="nil"/>
              <w:left w:val="single" w:color="auto" w:sz="4" w:space="0"/>
              <w:bottom w:val="single" w:color="auto" w:sz="4" w:space="0"/>
              <w:right w:val="single" w:color="auto" w:sz="4" w:space="0"/>
            </w:tcBorders>
            <w:vAlign w:val="center"/>
          </w:tcPr>
          <w:p w14:paraId="7D189554">
            <w:pPr>
              <w:widowControl/>
              <w:jc w:val="left"/>
              <w:rPr>
                <w:rFonts w:ascii="仿宋_GB2312" w:hAnsi="宋体" w:cs="宋体"/>
                <w:kern w:val="0"/>
                <w:sz w:val="24"/>
              </w:rPr>
            </w:pPr>
          </w:p>
        </w:tc>
        <w:tc>
          <w:tcPr>
            <w:tcW w:w="926" w:type="dxa"/>
            <w:tcBorders>
              <w:top w:val="nil"/>
              <w:left w:val="nil"/>
              <w:bottom w:val="single" w:color="auto" w:sz="4" w:space="0"/>
              <w:right w:val="single" w:color="auto" w:sz="4" w:space="0"/>
            </w:tcBorders>
            <w:vAlign w:val="center"/>
          </w:tcPr>
          <w:p w14:paraId="38D39A4E">
            <w:pPr>
              <w:widowControl/>
              <w:jc w:val="center"/>
              <w:rPr>
                <w:rFonts w:ascii="仿宋_GB2312" w:hAnsi="宋体" w:eastAsia="仿宋_GB2312" w:cs="宋体"/>
                <w:kern w:val="0"/>
                <w:sz w:val="24"/>
              </w:rPr>
            </w:pPr>
            <w:r>
              <w:rPr>
                <w:rFonts w:hint="eastAsia" w:ascii="仿宋_GB2312" w:hAnsi="宋体" w:cs="宋体"/>
                <w:kern w:val="0"/>
                <w:sz w:val="24"/>
              </w:rPr>
              <w:t>刘京波</w:t>
            </w:r>
          </w:p>
        </w:tc>
        <w:tc>
          <w:tcPr>
            <w:tcW w:w="2824" w:type="dxa"/>
            <w:tcBorders>
              <w:top w:val="single" w:color="auto" w:sz="4" w:space="0"/>
              <w:left w:val="nil"/>
              <w:bottom w:val="single" w:color="auto" w:sz="4" w:space="0"/>
              <w:right w:val="single" w:color="auto" w:sz="4" w:space="0"/>
            </w:tcBorders>
            <w:vAlign w:val="center"/>
          </w:tcPr>
          <w:p w14:paraId="6FA02898">
            <w:pPr>
              <w:widowControl/>
              <w:spacing w:line="520" w:lineRule="exact"/>
              <w:jc w:val="left"/>
              <w:rPr>
                <w:rFonts w:ascii="仿宋_GB2312" w:hAnsi="宋体" w:cs="宋体"/>
                <w:kern w:val="0"/>
                <w:sz w:val="24"/>
              </w:rPr>
            </w:pPr>
            <w:r>
              <w:rPr>
                <w:rFonts w:hint="eastAsia" w:ascii="仿宋_GB2312" w:hAnsi="仿宋_GB2312" w:cs="仿宋_GB2312"/>
                <w:sz w:val="24"/>
              </w:rPr>
              <w:t>市卫生健康委员会高新区管理办公室</w:t>
            </w:r>
          </w:p>
        </w:tc>
        <w:tc>
          <w:tcPr>
            <w:tcW w:w="1441" w:type="dxa"/>
            <w:tcBorders>
              <w:top w:val="single" w:color="auto" w:sz="4" w:space="0"/>
              <w:left w:val="nil"/>
              <w:bottom w:val="single" w:color="auto" w:sz="4" w:space="0"/>
              <w:right w:val="single" w:color="auto" w:sz="4" w:space="0"/>
            </w:tcBorders>
            <w:vAlign w:val="center"/>
          </w:tcPr>
          <w:p w14:paraId="34691DF4">
            <w:pPr>
              <w:widowControl/>
              <w:jc w:val="center"/>
              <w:rPr>
                <w:rFonts w:ascii="仿宋_GB2312" w:hAnsi="宋体" w:eastAsia="仿宋_GB2312" w:cs="宋体"/>
                <w:kern w:val="0"/>
                <w:sz w:val="24"/>
              </w:rPr>
            </w:pPr>
            <w:r>
              <w:rPr>
                <w:rFonts w:hint="eastAsia" w:ascii="仿宋_GB2312" w:hAnsi="宋体" w:cs="宋体"/>
                <w:kern w:val="0"/>
                <w:sz w:val="24"/>
              </w:rPr>
              <w:t>分管负责人</w:t>
            </w:r>
          </w:p>
        </w:tc>
        <w:tc>
          <w:tcPr>
            <w:tcW w:w="1132" w:type="dxa"/>
            <w:tcBorders>
              <w:top w:val="single" w:color="auto" w:sz="4" w:space="0"/>
              <w:left w:val="nil"/>
              <w:bottom w:val="single" w:color="auto" w:sz="4" w:space="0"/>
              <w:right w:val="single" w:color="auto" w:sz="4" w:space="0"/>
            </w:tcBorders>
            <w:vAlign w:val="center"/>
          </w:tcPr>
          <w:p w14:paraId="578AF56C">
            <w:pPr>
              <w:jc w:val="center"/>
              <w:rPr>
                <w:rFonts w:ascii="仿宋_GB2312" w:hAnsi="宋体" w:eastAsia="仿宋_GB2312" w:cs="宋体"/>
                <w:kern w:val="0"/>
                <w:sz w:val="24"/>
              </w:rPr>
            </w:pPr>
            <w:r>
              <w:rPr>
                <w:rFonts w:hint="eastAsia" w:ascii="仿宋_GB2312" w:hAnsi="宋体" w:cs="宋体"/>
                <w:kern w:val="0"/>
                <w:sz w:val="24"/>
              </w:rPr>
              <w:t>6925359</w:t>
            </w:r>
          </w:p>
        </w:tc>
        <w:tc>
          <w:tcPr>
            <w:tcW w:w="1586" w:type="dxa"/>
            <w:tcBorders>
              <w:top w:val="nil"/>
              <w:left w:val="nil"/>
              <w:bottom w:val="single" w:color="auto" w:sz="4" w:space="0"/>
              <w:right w:val="single" w:color="auto" w:sz="4" w:space="0"/>
            </w:tcBorders>
            <w:vAlign w:val="center"/>
          </w:tcPr>
          <w:p w14:paraId="761FDC1A">
            <w:pPr>
              <w:jc w:val="center"/>
              <w:rPr>
                <w:rFonts w:ascii="仿宋_GB2312" w:hAnsi="宋体" w:eastAsia="仿宋_GB2312" w:cs="宋体"/>
                <w:kern w:val="0"/>
                <w:sz w:val="24"/>
              </w:rPr>
            </w:pPr>
            <w:r>
              <w:rPr>
                <w:rFonts w:hint="eastAsia" w:ascii="仿宋_GB2312" w:hAnsi="宋体" w:cs="宋体"/>
                <w:kern w:val="0"/>
                <w:sz w:val="24"/>
              </w:rPr>
              <w:t>18665533799</w:t>
            </w:r>
          </w:p>
        </w:tc>
      </w:tr>
      <w:tr w14:paraId="5FC928E7">
        <w:tblPrEx>
          <w:tblCellMar>
            <w:top w:w="0" w:type="dxa"/>
            <w:left w:w="108" w:type="dxa"/>
            <w:bottom w:w="0" w:type="dxa"/>
            <w:right w:w="108" w:type="dxa"/>
          </w:tblCellMar>
        </w:tblPrEx>
        <w:trPr>
          <w:trHeight w:val="840" w:hRule="atLeast"/>
        </w:trPr>
        <w:tc>
          <w:tcPr>
            <w:tcW w:w="1151" w:type="dxa"/>
            <w:vMerge w:val="continue"/>
            <w:tcBorders>
              <w:top w:val="nil"/>
              <w:left w:val="single" w:color="auto" w:sz="4" w:space="0"/>
              <w:bottom w:val="nil"/>
              <w:right w:val="single" w:color="auto" w:sz="4" w:space="0"/>
            </w:tcBorders>
            <w:vAlign w:val="center"/>
          </w:tcPr>
          <w:p w14:paraId="3D41A45A">
            <w:pPr>
              <w:widowControl/>
              <w:jc w:val="left"/>
              <w:rPr>
                <w:rFonts w:ascii="仿宋_GB2312" w:hAnsi="宋体" w:cs="宋体"/>
                <w:kern w:val="0"/>
                <w:sz w:val="24"/>
              </w:rPr>
            </w:pPr>
          </w:p>
        </w:tc>
        <w:tc>
          <w:tcPr>
            <w:tcW w:w="926" w:type="dxa"/>
            <w:tcBorders>
              <w:top w:val="nil"/>
              <w:left w:val="nil"/>
              <w:bottom w:val="single" w:color="auto" w:sz="4" w:space="0"/>
              <w:right w:val="single" w:color="auto" w:sz="4" w:space="0"/>
            </w:tcBorders>
            <w:vAlign w:val="center"/>
          </w:tcPr>
          <w:p w14:paraId="080FFFC1">
            <w:pPr>
              <w:widowControl/>
              <w:jc w:val="center"/>
              <w:rPr>
                <w:rFonts w:ascii="仿宋_GB2312" w:hAnsi="宋体" w:eastAsia="仿宋_GB2312" w:cs="宋体"/>
                <w:kern w:val="0"/>
                <w:sz w:val="24"/>
              </w:rPr>
            </w:pPr>
            <w:r>
              <w:rPr>
                <w:rFonts w:hint="eastAsia" w:ascii="仿宋_GB2312" w:hAnsi="宋体" w:cs="宋体"/>
                <w:kern w:val="0"/>
                <w:sz w:val="24"/>
              </w:rPr>
              <w:t xml:space="preserve">张 伟  </w:t>
            </w:r>
          </w:p>
        </w:tc>
        <w:tc>
          <w:tcPr>
            <w:tcW w:w="2824" w:type="dxa"/>
            <w:tcBorders>
              <w:top w:val="single" w:color="auto" w:sz="4" w:space="0"/>
              <w:left w:val="nil"/>
              <w:bottom w:val="single" w:color="auto" w:sz="4" w:space="0"/>
              <w:right w:val="single" w:color="auto" w:sz="4" w:space="0"/>
            </w:tcBorders>
            <w:vAlign w:val="center"/>
          </w:tcPr>
          <w:p w14:paraId="3A3F66A5">
            <w:pPr>
              <w:widowControl/>
              <w:jc w:val="left"/>
              <w:rPr>
                <w:rFonts w:ascii="仿宋_GB2312" w:hAnsi="宋体" w:cs="宋体"/>
                <w:kern w:val="0"/>
                <w:sz w:val="24"/>
              </w:rPr>
            </w:pPr>
            <w:r>
              <w:rPr>
                <w:rFonts w:hint="eastAsia" w:ascii="仿宋_GB2312" w:hAnsi="宋体" w:cs="宋体"/>
                <w:kern w:val="0"/>
                <w:sz w:val="24"/>
              </w:rPr>
              <w:t>区综合行政执法局</w:t>
            </w:r>
          </w:p>
        </w:tc>
        <w:tc>
          <w:tcPr>
            <w:tcW w:w="1441" w:type="dxa"/>
            <w:tcBorders>
              <w:top w:val="single" w:color="auto" w:sz="4" w:space="0"/>
              <w:left w:val="nil"/>
              <w:bottom w:val="single" w:color="auto" w:sz="4" w:space="0"/>
              <w:right w:val="single" w:color="auto" w:sz="4" w:space="0"/>
            </w:tcBorders>
            <w:vAlign w:val="center"/>
          </w:tcPr>
          <w:p w14:paraId="02FE7FEB">
            <w:pPr>
              <w:widowControl/>
              <w:jc w:val="center"/>
              <w:rPr>
                <w:rFonts w:ascii="仿宋_GB2312" w:hAnsi="宋体" w:cs="宋体"/>
                <w:kern w:val="0"/>
                <w:sz w:val="24"/>
              </w:rPr>
            </w:pPr>
            <w:r>
              <w:rPr>
                <w:rFonts w:hint="eastAsia" w:ascii="仿宋_GB2312" w:hAnsi="宋体" w:cs="宋体"/>
                <w:kern w:val="0"/>
                <w:sz w:val="24"/>
              </w:rPr>
              <w:t>副局长</w:t>
            </w:r>
          </w:p>
        </w:tc>
        <w:tc>
          <w:tcPr>
            <w:tcW w:w="1132" w:type="dxa"/>
            <w:tcBorders>
              <w:top w:val="single" w:color="auto" w:sz="4" w:space="0"/>
              <w:left w:val="nil"/>
              <w:bottom w:val="single" w:color="auto" w:sz="4" w:space="0"/>
              <w:right w:val="single" w:color="auto" w:sz="4" w:space="0"/>
            </w:tcBorders>
            <w:vAlign w:val="center"/>
          </w:tcPr>
          <w:p w14:paraId="769F044B">
            <w:pPr>
              <w:jc w:val="center"/>
              <w:rPr>
                <w:rFonts w:ascii="仿宋_GB2312" w:hAnsi="宋体" w:eastAsia="仿宋_GB2312" w:cs="宋体"/>
                <w:kern w:val="0"/>
                <w:sz w:val="24"/>
              </w:rPr>
            </w:pPr>
            <w:r>
              <w:rPr>
                <w:rFonts w:hint="eastAsia" w:ascii="仿宋_GB2312" w:hAnsi="宋体" w:cs="宋体"/>
                <w:kern w:val="0"/>
                <w:sz w:val="24"/>
              </w:rPr>
              <w:t>6922767</w:t>
            </w:r>
          </w:p>
        </w:tc>
        <w:tc>
          <w:tcPr>
            <w:tcW w:w="1586" w:type="dxa"/>
            <w:tcBorders>
              <w:top w:val="nil"/>
              <w:left w:val="nil"/>
              <w:bottom w:val="single" w:color="auto" w:sz="4" w:space="0"/>
              <w:right w:val="single" w:color="auto" w:sz="4" w:space="0"/>
            </w:tcBorders>
            <w:vAlign w:val="center"/>
          </w:tcPr>
          <w:p w14:paraId="233309CE">
            <w:pPr>
              <w:jc w:val="center"/>
              <w:rPr>
                <w:rFonts w:ascii="仿宋_GB2312" w:hAnsi="宋体" w:eastAsia="仿宋_GB2312" w:cs="宋体"/>
                <w:kern w:val="0"/>
                <w:sz w:val="24"/>
              </w:rPr>
            </w:pPr>
            <w:r>
              <w:rPr>
                <w:rFonts w:hint="eastAsia" w:ascii="仿宋_GB2312" w:hAnsi="宋体" w:cs="宋体"/>
                <w:kern w:val="0"/>
                <w:sz w:val="24"/>
              </w:rPr>
              <w:t>15005353181</w:t>
            </w:r>
          </w:p>
        </w:tc>
      </w:tr>
      <w:tr w14:paraId="1A7B4D2B">
        <w:tblPrEx>
          <w:tblCellMar>
            <w:top w:w="0" w:type="dxa"/>
            <w:left w:w="108" w:type="dxa"/>
            <w:bottom w:w="0" w:type="dxa"/>
            <w:right w:w="108" w:type="dxa"/>
          </w:tblCellMar>
        </w:tblPrEx>
        <w:trPr>
          <w:trHeight w:val="840" w:hRule="atLeast"/>
        </w:trPr>
        <w:tc>
          <w:tcPr>
            <w:tcW w:w="1151" w:type="dxa"/>
            <w:tcBorders>
              <w:top w:val="nil"/>
              <w:left w:val="single" w:color="auto" w:sz="4" w:space="0"/>
              <w:bottom w:val="nil"/>
              <w:right w:val="single" w:color="auto" w:sz="4" w:space="0"/>
            </w:tcBorders>
            <w:vAlign w:val="center"/>
          </w:tcPr>
          <w:p w14:paraId="6420BCB2">
            <w:pPr>
              <w:widowControl/>
              <w:jc w:val="left"/>
              <w:rPr>
                <w:rFonts w:ascii="仿宋_GB2312" w:hAnsi="宋体" w:cs="宋体"/>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6AF46263">
            <w:pPr>
              <w:widowControl/>
              <w:jc w:val="center"/>
              <w:rPr>
                <w:rFonts w:ascii="仿宋_GB2312" w:hAnsi="宋体" w:cs="宋体"/>
                <w:kern w:val="0"/>
                <w:sz w:val="24"/>
              </w:rPr>
            </w:pPr>
            <w:r>
              <w:rPr>
                <w:rFonts w:hint="eastAsia" w:ascii="仿宋_GB2312" w:hAnsi="宋体" w:cs="宋体"/>
                <w:kern w:val="0"/>
                <w:sz w:val="24"/>
              </w:rPr>
              <w:t>彭四喜</w:t>
            </w:r>
          </w:p>
        </w:tc>
        <w:tc>
          <w:tcPr>
            <w:tcW w:w="2824" w:type="dxa"/>
            <w:tcBorders>
              <w:top w:val="single" w:color="auto" w:sz="4" w:space="0"/>
              <w:left w:val="single" w:color="auto" w:sz="4" w:space="0"/>
              <w:bottom w:val="single" w:color="auto" w:sz="4" w:space="0"/>
              <w:right w:val="single" w:color="auto" w:sz="4" w:space="0"/>
            </w:tcBorders>
            <w:vAlign w:val="center"/>
          </w:tcPr>
          <w:p w14:paraId="517EABA3">
            <w:pPr>
              <w:widowControl/>
              <w:jc w:val="left"/>
              <w:rPr>
                <w:rFonts w:ascii="仿宋_GB2312" w:hAnsi="宋体" w:cs="宋体"/>
                <w:kern w:val="0"/>
                <w:sz w:val="24"/>
              </w:rPr>
            </w:pPr>
            <w:r>
              <w:rPr>
                <w:rFonts w:hint="eastAsia" w:ascii="仿宋_GB2312" w:hAnsi="宋体" w:cs="宋体"/>
                <w:kern w:val="0"/>
                <w:sz w:val="24"/>
              </w:rPr>
              <w:t>市应急管理局高新区分局</w:t>
            </w:r>
          </w:p>
        </w:tc>
        <w:tc>
          <w:tcPr>
            <w:tcW w:w="1441" w:type="dxa"/>
            <w:tcBorders>
              <w:top w:val="single" w:color="auto" w:sz="4" w:space="0"/>
              <w:left w:val="single" w:color="auto" w:sz="4" w:space="0"/>
              <w:bottom w:val="single" w:color="auto" w:sz="4" w:space="0"/>
              <w:right w:val="single" w:color="auto" w:sz="4" w:space="0"/>
            </w:tcBorders>
            <w:vAlign w:val="center"/>
          </w:tcPr>
          <w:p w14:paraId="44EFC34D">
            <w:pPr>
              <w:widowControl/>
              <w:jc w:val="center"/>
              <w:rPr>
                <w:rFonts w:ascii="仿宋_GB2312" w:hAnsi="宋体" w:cs="宋体"/>
                <w:kern w:val="0"/>
                <w:sz w:val="24"/>
              </w:rPr>
            </w:pPr>
            <w:r>
              <w:rPr>
                <w:rFonts w:hint="eastAsia" w:ascii="仿宋_GB2312" w:hAnsi="宋体" w:cs="宋体"/>
                <w:kern w:val="0"/>
                <w:sz w:val="24"/>
              </w:rPr>
              <w:t>副局长</w:t>
            </w:r>
          </w:p>
        </w:tc>
        <w:tc>
          <w:tcPr>
            <w:tcW w:w="1132" w:type="dxa"/>
            <w:tcBorders>
              <w:top w:val="single" w:color="auto" w:sz="4" w:space="0"/>
              <w:left w:val="single" w:color="auto" w:sz="4" w:space="0"/>
              <w:bottom w:val="single" w:color="auto" w:sz="4" w:space="0"/>
              <w:right w:val="single" w:color="auto" w:sz="4" w:space="0"/>
            </w:tcBorders>
            <w:vAlign w:val="center"/>
          </w:tcPr>
          <w:p w14:paraId="5E6A64CE">
            <w:pPr>
              <w:jc w:val="center"/>
              <w:rPr>
                <w:rFonts w:ascii="仿宋_GB2312" w:hAnsi="宋体" w:cs="宋体"/>
                <w:kern w:val="0"/>
                <w:sz w:val="24"/>
              </w:rPr>
            </w:pPr>
            <w:r>
              <w:rPr>
                <w:rFonts w:ascii="仿宋_GB2312" w:hAnsi="宋体" w:cs="宋体"/>
                <w:kern w:val="0"/>
                <w:sz w:val="24"/>
              </w:rPr>
              <w:t>6922320</w:t>
            </w:r>
          </w:p>
        </w:tc>
        <w:tc>
          <w:tcPr>
            <w:tcW w:w="1586" w:type="dxa"/>
            <w:tcBorders>
              <w:top w:val="single" w:color="auto" w:sz="4" w:space="0"/>
              <w:left w:val="single" w:color="auto" w:sz="4" w:space="0"/>
              <w:bottom w:val="single" w:color="auto" w:sz="4" w:space="0"/>
              <w:right w:val="single" w:color="auto" w:sz="4" w:space="0"/>
            </w:tcBorders>
            <w:vAlign w:val="center"/>
          </w:tcPr>
          <w:p w14:paraId="429684D6">
            <w:pPr>
              <w:jc w:val="center"/>
              <w:rPr>
                <w:rFonts w:ascii="仿宋_GB2312" w:hAnsi="宋体" w:cs="宋体"/>
                <w:kern w:val="0"/>
                <w:sz w:val="24"/>
              </w:rPr>
            </w:pPr>
            <w:r>
              <w:rPr>
                <w:rFonts w:ascii="仿宋_GB2312" w:hAnsi="宋体" w:cs="宋体"/>
                <w:kern w:val="0"/>
                <w:sz w:val="24"/>
              </w:rPr>
              <w:t>13963821232</w:t>
            </w:r>
          </w:p>
        </w:tc>
      </w:tr>
      <w:tr w14:paraId="3917FCBE">
        <w:tblPrEx>
          <w:tblCellMar>
            <w:top w:w="0" w:type="dxa"/>
            <w:left w:w="108" w:type="dxa"/>
            <w:bottom w:w="0" w:type="dxa"/>
            <w:right w:w="108" w:type="dxa"/>
          </w:tblCellMar>
        </w:tblPrEx>
        <w:trPr>
          <w:trHeight w:val="840" w:hRule="atLeast"/>
        </w:trPr>
        <w:tc>
          <w:tcPr>
            <w:tcW w:w="1151" w:type="dxa"/>
            <w:tcBorders>
              <w:top w:val="nil"/>
              <w:left w:val="single" w:color="auto" w:sz="4" w:space="0"/>
              <w:bottom w:val="nil"/>
              <w:right w:val="single" w:color="auto" w:sz="4" w:space="0"/>
            </w:tcBorders>
            <w:vAlign w:val="center"/>
          </w:tcPr>
          <w:p w14:paraId="70496B9F">
            <w:pPr>
              <w:widowControl/>
              <w:jc w:val="left"/>
              <w:rPr>
                <w:rFonts w:ascii="仿宋_GB2312" w:hAnsi="宋体" w:cs="宋体"/>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50526D3A">
            <w:pPr>
              <w:widowControl/>
              <w:jc w:val="center"/>
              <w:rPr>
                <w:rFonts w:ascii="仿宋_GB2312" w:hAnsi="宋体" w:cs="宋体"/>
                <w:kern w:val="0"/>
                <w:sz w:val="24"/>
              </w:rPr>
            </w:pPr>
            <w:r>
              <w:rPr>
                <w:rFonts w:hint="eastAsia" w:ascii="仿宋_GB2312" w:hAnsi="宋体" w:cs="宋体"/>
                <w:kern w:val="0"/>
                <w:sz w:val="24"/>
              </w:rPr>
              <w:t>刘奎玉</w:t>
            </w:r>
          </w:p>
        </w:tc>
        <w:tc>
          <w:tcPr>
            <w:tcW w:w="2824" w:type="dxa"/>
            <w:tcBorders>
              <w:top w:val="single" w:color="auto" w:sz="4" w:space="0"/>
              <w:left w:val="single" w:color="auto" w:sz="4" w:space="0"/>
              <w:bottom w:val="single" w:color="auto" w:sz="4" w:space="0"/>
              <w:right w:val="single" w:color="auto" w:sz="4" w:space="0"/>
            </w:tcBorders>
            <w:vAlign w:val="center"/>
          </w:tcPr>
          <w:p w14:paraId="247BE61B">
            <w:pPr>
              <w:widowControl/>
              <w:jc w:val="left"/>
              <w:rPr>
                <w:rFonts w:ascii="仿宋_GB2312" w:hAnsi="宋体" w:cs="宋体"/>
                <w:kern w:val="0"/>
                <w:sz w:val="24"/>
              </w:rPr>
            </w:pPr>
            <w:r>
              <w:rPr>
                <w:rFonts w:hint="eastAsia" w:ascii="仿宋_GB2312" w:hAnsi="宋体" w:cs="宋体"/>
                <w:kern w:val="0"/>
                <w:sz w:val="24"/>
              </w:rPr>
              <w:t>区公安分局</w:t>
            </w:r>
          </w:p>
        </w:tc>
        <w:tc>
          <w:tcPr>
            <w:tcW w:w="1441" w:type="dxa"/>
            <w:tcBorders>
              <w:top w:val="single" w:color="auto" w:sz="4" w:space="0"/>
              <w:left w:val="single" w:color="auto" w:sz="4" w:space="0"/>
              <w:bottom w:val="single" w:color="auto" w:sz="4" w:space="0"/>
              <w:right w:val="single" w:color="auto" w:sz="4" w:space="0"/>
            </w:tcBorders>
            <w:vAlign w:val="center"/>
          </w:tcPr>
          <w:p w14:paraId="67302B72">
            <w:pPr>
              <w:widowControl/>
              <w:jc w:val="center"/>
              <w:rPr>
                <w:rFonts w:ascii="仿宋_GB2312" w:hAnsi="宋体" w:cs="宋体"/>
                <w:kern w:val="0"/>
                <w:sz w:val="24"/>
              </w:rPr>
            </w:pPr>
            <w:r>
              <w:rPr>
                <w:rFonts w:hint="eastAsia" w:ascii="仿宋_GB2312" w:hAnsi="宋体" w:cs="宋体"/>
                <w:kern w:val="0"/>
                <w:sz w:val="24"/>
              </w:rPr>
              <w:t>副局长</w:t>
            </w:r>
          </w:p>
        </w:tc>
        <w:tc>
          <w:tcPr>
            <w:tcW w:w="1132" w:type="dxa"/>
            <w:tcBorders>
              <w:top w:val="single" w:color="auto" w:sz="4" w:space="0"/>
              <w:left w:val="single" w:color="auto" w:sz="4" w:space="0"/>
              <w:bottom w:val="single" w:color="auto" w:sz="4" w:space="0"/>
              <w:right w:val="single" w:color="auto" w:sz="4" w:space="0"/>
            </w:tcBorders>
            <w:vAlign w:val="center"/>
          </w:tcPr>
          <w:p w14:paraId="4264DDE3">
            <w:pPr>
              <w:widowControl/>
              <w:jc w:val="center"/>
              <w:rPr>
                <w:rFonts w:ascii="仿宋_GB2312" w:hAnsi="宋体" w:cs="宋体"/>
                <w:kern w:val="0"/>
                <w:sz w:val="24"/>
              </w:rPr>
            </w:pPr>
            <w:r>
              <w:rPr>
                <w:rFonts w:hint="eastAsia" w:ascii="仿宋_GB2312" w:hAnsi="宋体" w:cs="宋体"/>
                <w:kern w:val="0"/>
                <w:sz w:val="24"/>
              </w:rPr>
              <w:t>6922715</w:t>
            </w:r>
          </w:p>
        </w:tc>
        <w:tc>
          <w:tcPr>
            <w:tcW w:w="1586" w:type="dxa"/>
            <w:tcBorders>
              <w:top w:val="single" w:color="auto" w:sz="4" w:space="0"/>
              <w:left w:val="single" w:color="auto" w:sz="4" w:space="0"/>
              <w:bottom w:val="single" w:color="auto" w:sz="4" w:space="0"/>
              <w:right w:val="single" w:color="auto" w:sz="4" w:space="0"/>
            </w:tcBorders>
            <w:vAlign w:val="center"/>
          </w:tcPr>
          <w:p w14:paraId="7EF00511">
            <w:pPr>
              <w:widowControl/>
              <w:jc w:val="right"/>
              <w:rPr>
                <w:rFonts w:ascii="仿宋_GB2312" w:hAnsi="宋体" w:cs="宋体"/>
                <w:kern w:val="0"/>
                <w:sz w:val="24"/>
              </w:rPr>
            </w:pPr>
            <w:r>
              <w:rPr>
                <w:rFonts w:ascii="仿宋_GB2312" w:hAnsi="宋体" w:cs="宋体"/>
                <w:kern w:val="0"/>
                <w:sz w:val="24"/>
              </w:rPr>
              <w:t>18815351007</w:t>
            </w:r>
          </w:p>
        </w:tc>
      </w:tr>
      <w:tr w14:paraId="42F84631">
        <w:tblPrEx>
          <w:tblCellMar>
            <w:top w:w="0" w:type="dxa"/>
            <w:left w:w="108" w:type="dxa"/>
            <w:bottom w:w="0" w:type="dxa"/>
            <w:right w:w="108" w:type="dxa"/>
          </w:tblCellMar>
        </w:tblPrEx>
        <w:trPr>
          <w:trHeight w:val="841" w:hRule="atLeast"/>
        </w:trPr>
        <w:tc>
          <w:tcPr>
            <w:tcW w:w="1151" w:type="dxa"/>
            <w:tcBorders>
              <w:top w:val="nil"/>
              <w:left w:val="single" w:color="auto" w:sz="4" w:space="0"/>
              <w:bottom w:val="nil"/>
              <w:right w:val="single" w:color="auto" w:sz="4" w:space="0"/>
            </w:tcBorders>
            <w:vAlign w:val="center"/>
          </w:tcPr>
          <w:p w14:paraId="2A8856D1">
            <w:pPr>
              <w:widowControl/>
              <w:jc w:val="left"/>
              <w:rPr>
                <w:rFonts w:ascii="仿宋_GB2312" w:hAnsi="宋体" w:cs="宋体"/>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3878C524">
            <w:pPr>
              <w:widowControl/>
              <w:jc w:val="center"/>
              <w:rPr>
                <w:rFonts w:ascii="仿宋_GB2312" w:hAnsi="宋体" w:eastAsia="仿宋_GB2312" w:cs="宋体"/>
                <w:kern w:val="0"/>
                <w:sz w:val="24"/>
              </w:rPr>
            </w:pPr>
            <w:r>
              <w:rPr>
                <w:rFonts w:hint="eastAsia" w:ascii="仿宋_GB2312" w:hAnsi="宋体" w:cs="宋体"/>
                <w:kern w:val="0"/>
                <w:sz w:val="24"/>
              </w:rPr>
              <w:t>徐恒昌</w:t>
            </w:r>
          </w:p>
        </w:tc>
        <w:tc>
          <w:tcPr>
            <w:tcW w:w="2824" w:type="dxa"/>
            <w:tcBorders>
              <w:top w:val="single" w:color="auto" w:sz="4" w:space="0"/>
              <w:left w:val="single" w:color="auto" w:sz="4" w:space="0"/>
              <w:bottom w:val="single" w:color="auto" w:sz="4" w:space="0"/>
              <w:right w:val="single" w:color="auto" w:sz="4" w:space="0"/>
            </w:tcBorders>
            <w:vAlign w:val="center"/>
          </w:tcPr>
          <w:p w14:paraId="4A70578D">
            <w:pPr>
              <w:widowControl/>
              <w:jc w:val="left"/>
              <w:rPr>
                <w:rFonts w:ascii="仿宋_GB2312" w:hAnsi="宋体" w:cs="宋体"/>
                <w:kern w:val="0"/>
                <w:sz w:val="24"/>
              </w:rPr>
            </w:pPr>
            <w:r>
              <w:rPr>
                <w:rFonts w:hint="eastAsia" w:ascii="仿宋_GB2312" w:hAnsi="宋体" w:cs="宋体"/>
                <w:kern w:val="0"/>
                <w:sz w:val="24"/>
              </w:rPr>
              <w:t>区消防大队</w:t>
            </w:r>
          </w:p>
        </w:tc>
        <w:tc>
          <w:tcPr>
            <w:tcW w:w="1441" w:type="dxa"/>
            <w:tcBorders>
              <w:top w:val="single" w:color="auto" w:sz="4" w:space="0"/>
              <w:left w:val="single" w:color="auto" w:sz="4" w:space="0"/>
              <w:bottom w:val="single" w:color="auto" w:sz="4" w:space="0"/>
              <w:right w:val="single" w:color="auto" w:sz="4" w:space="0"/>
            </w:tcBorders>
            <w:vAlign w:val="center"/>
          </w:tcPr>
          <w:p w14:paraId="047F9C54">
            <w:pPr>
              <w:widowControl/>
              <w:jc w:val="center"/>
              <w:rPr>
                <w:rFonts w:ascii="仿宋_GB2312" w:hAnsi="宋体" w:eastAsia="仿宋_GB2312" w:cs="宋体"/>
                <w:kern w:val="0"/>
                <w:sz w:val="24"/>
              </w:rPr>
            </w:pPr>
            <w:r>
              <w:rPr>
                <w:rFonts w:hint="eastAsia" w:ascii="仿宋_GB2312" w:hAnsi="宋体" w:cs="宋体"/>
                <w:kern w:val="0"/>
                <w:sz w:val="24"/>
              </w:rPr>
              <w:t>大队长</w:t>
            </w:r>
          </w:p>
        </w:tc>
        <w:tc>
          <w:tcPr>
            <w:tcW w:w="1132" w:type="dxa"/>
            <w:tcBorders>
              <w:top w:val="single" w:color="auto" w:sz="4" w:space="0"/>
              <w:left w:val="single" w:color="auto" w:sz="4" w:space="0"/>
              <w:bottom w:val="single" w:color="auto" w:sz="4" w:space="0"/>
              <w:right w:val="single" w:color="auto" w:sz="4" w:space="0"/>
            </w:tcBorders>
            <w:vAlign w:val="center"/>
          </w:tcPr>
          <w:p w14:paraId="172C4768">
            <w:pPr>
              <w:widowControl/>
              <w:jc w:val="center"/>
              <w:rPr>
                <w:rFonts w:ascii="仿宋_GB2312" w:hAnsi="宋体" w:eastAsia="仿宋_GB2312" w:cs="宋体"/>
                <w:kern w:val="0"/>
                <w:sz w:val="24"/>
              </w:rPr>
            </w:pPr>
            <w:r>
              <w:rPr>
                <w:rFonts w:hint="eastAsia" w:ascii="仿宋_GB2312" w:hAnsi="宋体" w:cs="宋体"/>
                <w:kern w:val="0"/>
                <w:sz w:val="24"/>
              </w:rPr>
              <w:t>6758589</w:t>
            </w:r>
          </w:p>
        </w:tc>
        <w:tc>
          <w:tcPr>
            <w:tcW w:w="1586" w:type="dxa"/>
            <w:tcBorders>
              <w:top w:val="single" w:color="auto" w:sz="4" w:space="0"/>
              <w:left w:val="single" w:color="auto" w:sz="4" w:space="0"/>
              <w:bottom w:val="single" w:color="auto" w:sz="4" w:space="0"/>
              <w:right w:val="single" w:color="auto" w:sz="4" w:space="0"/>
            </w:tcBorders>
            <w:vAlign w:val="center"/>
          </w:tcPr>
          <w:p w14:paraId="245227D0">
            <w:pPr>
              <w:widowControl/>
              <w:jc w:val="right"/>
              <w:rPr>
                <w:rFonts w:ascii="仿宋_GB2312" w:hAnsi="宋体" w:eastAsia="仿宋_GB2312" w:cs="宋体"/>
                <w:kern w:val="0"/>
                <w:sz w:val="24"/>
              </w:rPr>
            </w:pPr>
            <w:r>
              <w:rPr>
                <w:rFonts w:hint="eastAsia" w:ascii="仿宋_GB2312" w:hAnsi="宋体" w:cs="宋体"/>
                <w:kern w:val="0"/>
                <w:sz w:val="24"/>
              </w:rPr>
              <w:t>13806455553</w:t>
            </w:r>
          </w:p>
        </w:tc>
      </w:tr>
      <w:tr w14:paraId="0A259093">
        <w:tblPrEx>
          <w:tblCellMar>
            <w:top w:w="0" w:type="dxa"/>
            <w:left w:w="108" w:type="dxa"/>
            <w:bottom w:w="0" w:type="dxa"/>
            <w:right w:w="108" w:type="dxa"/>
          </w:tblCellMar>
        </w:tblPrEx>
        <w:trPr>
          <w:trHeight w:val="840" w:hRule="atLeast"/>
        </w:trPr>
        <w:tc>
          <w:tcPr>
            <w:tcW w:w="1151" w:type="dxa"/>
            <w:tcBorders>
              <w:top w:val="nil"/>
              <w:left w:val="single" w:color="auto" w:sz="4" w:space="0"/>
              <w:bottom w:val="single" w:color="auto" w:sz="4" w:space="0"/>
              <w:right w:val="single" w:color="auto" w:sz="4" w:space="0"/>
            </w:tcBorders>
            <w:vAlign w:val="center"/>
          </w:tcPr>
          <w:p w14:paraId="6503C10F">
            <w:pPr>
              <w:widowControl/>
              <w:jc w:val="left"/>
              <w:rPr>
                <w:rFonts w:ascii="仿宋_GB2312" w:hAnsi="宋体" w:cs="宋体"/>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1F9FF99D">
            <w:pPr>
              <w:widowControl/>
              <w:jc w:val="center"/>
              <w:rPr>
                <w:rFonts w:ascii="仿宋_GB2312" w:hAnsi="宋体" w:eastAsia="仿宋_GB2312" w:cs="宋体"/>
                <w:kern w:val="0"/>
                <w:sz w:val="24"/>
              </w:rPr>
            </w:pPr>
            <w:r>
              <w:rPr>
                <w:rFonts w:hint="eastAsia" w:ascii="仿宋_GB2312" w:hAnsi="宋体" w:cs="宋体"/>
                <w:kern w:val="0"/>
                <w:sz w:val="24"/>
              </w:rPr>
              <w:t>隋典伟</w:t>
            </w:r>
          </w:p>
        </w:tc>
        <w:tc>
          <w:tcPr>
            <w:tcW w:w="2824" w:type="dxa"/>
            <w:tcBorders>
              <w:top w:val="single" w:color="auto" w:sz="4" w:space="0"/>
              <w:left w:val="single" w:color="auto" w:sz="4" w:space="0"/>
              <w:bottom w:val="single" w:color="auto" w:sz="4" w:space="0"/>
              <w:right w:val="single" w:color="auto" w:sz="4" w:space="0"/>
            </w:tcBorders>
            <w:vAlign w:val="center"/>
          </w:tcPr>
          <w:p w14:paraId="722FE5EC">
            <w:pPr>
              <w:widowControl/>
              <w:jc w:val="left"/>
              <w:rPr>
                <w:rFonts w:ascii="仿宋_GB2312" w:hAnsi="宋体" w:eastAsia="仿宋_GB2312" w:cs="宋体"/>
                <w:kern w:val="0"/>
                <w:sz w:val="24"/>
              </w:rPr>
            </w:pPr>
            <w:r>
              <w:rPr>
                <w:rFonts w:hint="eastAsia" w:ascii="仿宋_GB2312" w:hAnsi="宋体" w:cs="宋体"/>
                <w:kern w:val="0"/>
                <w:sz w:val="24"/>
              </w:rPr>
              <w:t>交警五大队</w:t>
            </w:r>
          </w:p>
        </w:tc>
        <w:tc>
          <w:tcPr>
            <w:tcW w:w="1441" w:type="dxa"/>
            <w:tcBorders>
              <w:top w:val="single" w:color="auto" w:sz="4" w:space="0"/>
              <w:left w:val="single" w:color="auto" w:sz="4" w:space="0"/>
              <w:bottom w:val="single" w:color="auto" w:sz="4" w:space="0"/>
              <w:right w:val="single" w:color="auto" w:sz="4" w:space="0"/>
            </w:tcBorders>
            <w:vAlign w:val="center"/>
          </w:tcPr>
          <w:p w14:paraId="1BDAD8BA">
            <w:pPr>
              <w:widowControl/>
              <w:jc w:val="center"/>
              <w:rPr>
                <w:rFonts w:ascii="仿宋_GB2312" w:hAnsi="宋体" w:eastAsia="仿宋_GB2312" w:cs="宋体"/>
                <w:kern w:val="0"/>
                <w:sz w:val="24"/>
              </w:rPr>
            </w:pPr>
            <w:r>
              <w:rPr>
                <w:rFonts w:hint="eastAsia" w:ascii="仿宋_GB2312" w:hAnsi="宋体" w:cs="宋体"/>
                <w:kern w:val="0"/>
                <w:sz w:val="24"/>
              </w:rPr>
              <w:t>科员</w:t>
            </w:r>
          </w:p>
        </w:tc>
        <w:tc>
          <w:tcPr>
            <w:tcW w:w="1132" w:type="dxa"/>
            <w:tcBorders>
              <w:top w:val="single" w:color="auto" w:sz="4" w:space="0"/>
              <w:left w:val="single" w:color="auto" w:sz="4" w:space="0"/>
              <w:bottom w:val="single" w:color="auto" w:sz="4" w:space="0"/>
              <w:right w:val="single" w:color="auto" w:sz="4" w:space="0"/>
            </w:tcBorders>
            <w:vAlign w:val="center"/>
          </w:tcPr>
          <w:p w14:paraId="3411ED88">
            <w:pPr>
              <w:widowControl/>
              <w:jc w:val="center"/>
              <w:rPr>
                <w:rFonts w:ascii="仿宋_GB2312" w:hAnsi="宋体" w:eastAsia="仿宋_GB2312" w:cs="宋体"/>
                <w:kern w:val="0"/>
                <w:sz w:val="24"/>
              </w:rPr>
            </w:pPr>
            <w:r>
              <w:rPr>
                <w:rFonts w:hint="eastAsia" w:ascii="仿宋_GB2312" w:hAnsi="宋体" w:cs="宋体"/>
                <w:kern w:val="0"/>
                <w:sz w:val="24"/>
              </w:rPr>
              <w:t>324680</w:t>
            </w:r>
          </w:p>
        </w:tc>
        <w:tc>
          <w:tcPr>
            <w:tcW w:w="1586" w:type="dxa"/>
            <w:tcBorders>
              <w:top w:val="single" w:color="auto" w:sz="4" w:space="0"/>
              <w:left w:val="single" w:color="auto" w:sz="4" w:space="0"/>
              <w:bottom w:val="single" w:color="auto" w:sz="4" w:space="0"/>
              <w:right w:val="single" w:color="auto" w:sz="4" w:space="0"/>
            </w:tcBorders>
            <w:vAlign w:val="center"/>
          </w:tcPr>
          <w:p w14:paraId="44CBB3C6">
            <w:pPr>
              <w:widowControl/>
              <w:jc w:val="right"/>
              <w:rPr>
                <w:rFonts w:ascii="仿宋_GB2312" w:hAnsi="宋体" w:eastAsia="仿宋_GB2312" w:cs="宋体"/>
                <w:kern w:val="0"/>
                <w:sz w:val="24"/>
              </w:rPr>
            </w:pPr>
            <w:r>
              <w:rPr>
                <w:rFonts w:hint="eastAsia" w:ascii="仿宋_GB2312" w:hAnsi="宋体" w:cs="宋体"/>
                <w:kern w:val="0"/>
                <w:sz w:val="24"/>
              </w:rPr>
              <w:t>18660063735</w:t>
            </w:r>
          </w:p>
        </w:tc>
      </w:tr>
    </w:tbl>
    <w:p w14:paraId="5305ED5C">
      <w:pPr>
        <w:spacing w:line="560" w:lineRule="exact"/>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附件2:</w:t>
      </w:r>
    </w:p>
    <w:p w14:paraId="1EC40A9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应急处置流程图</w:t>
      </w:r>
    </w:p>
    <w:p w14:paraId="4B5BF0F6">
      <w:r>
        <w:pict>
          <v:shape id="_x0000_s2156" o:spid="_x0000_s2156" o:spt="202" type="#_x0000_t202" style="position:absolute;left:0pt;margin-left:-34.1pt;margin-top:207pt;height:23.4pt;width:58.65pt;mso-position-vertical-relative:page;z-index:251665408;mso-width-relative:page;mso-height-relative:page;" coordsize="21600,21600" o:gfxdata="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ZklJ51wAAAAoBAAAPAAAAAAAAAAEAIAAAACIAAABkcnMvZG93bnJldi54bWxQSwEC&#10;FAAUAAAACACHTuJAxqp2Y/UBAADpAwAADgAAAAAAAAABACAAAAAmAQAAZHJzL2Uyb0RvYy54bWxQ&#10;SwUGAAAAAAYABgBZAQAAjQUAAAAA&#10;">
            <v:path/>
            <v:fill focussize="0,0"/>
            <v:stroke weight="0.5pt" joinstyle="round"/>
            <v:imagedata o:title=""/>
            <o:lock v:ext="edit"/>
            <v:textbox>
              <w:txbxContent>
                <w:p w14:paraId="589718D1">
                  <w:pPr>
                    <w:spacing w:line="300" w:lineRule="exact"/>
                    <w:rPr>
                      <w:szCs w:val="21"/>
                    </w:rPr>
                  </w:pPr>
                  <w:r>
                    <w:rPr>
                      <w:rFonts w:hint="eastAsia"/>
                      <w:szCs w:val="21"/>
                    </w:rPr>
                    <w:t>事故报告</w:t>
                  </w:r>
                </w:p>
              </w:txbxContent>
            </v:textbox>
          </v:shape>
        </w:pict>
      </w:r>
      <w:r>
        <w:pict>
          <v:shape id="_x0000_s2155" o:spid="_x0000_s2155" o:spt="202" type="#_x0000_t202" style="position:absolute;left:0pt;margin-left:65pt;margin-top:8.9pt;height:39.8pt;width:172.15pt;z-index:251667456;mso-width-relative:page;mso-height-relative:page;" coordsize="21600,21600" o:gfxdata="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dZ5r91QAAAAkBAAAPAAAAAAAAAAEAIAAAACIAAABkcnMvZG93bnJldi54bWxQSwECFAAU&#10;AAAACACHTuJAIA9sNfQBAADqAwAADgAAAAAAAAABACAAAAAkAQAAZHJzL2Uyb0RvYy54bWxQSwUG&#10;AAAAAAYABgBZAQAAigUAAAAA&#10;">
            <v:path/>
            <v:fill focussize="0,0"/>
            <v:stroke weight="0.5pt" joinstyle="round"/>
            <v:imagedata o:title=""/>
            <o:lock v:ext="edit"/>
            <v:textbox>
              <w:txbxContent>
                <w:p w14:paraId="2CB75202">
                  <w:pPr>
                    <w:spacing w:line="300" w:lineRule="exact"/>
                    <w:jc w:val="center"/>
                  </w:pPr>
                  <w:r>
                    <w:rPr>
                      <w:rFonts w:hint="eastAsia"/>
                      <w:szCs w:val="21"/>
                    </w:rPr>
                    <w:t>接报人员填写事故情况报表区人防工程事故应急领导小组办公室</w:t>
                  </w:r>
                </w:p>
              </w:txbxContent>
            </v:textbox>
          </v:shape>
        </w:pict>
      </w:r>
      <w:r>
        <w:pict>
          <v:shape id="_x0000_s2154" o:spid="_x0000_s2154" o:spt="32" type="#_x0000_t32" style="position:absolute;left:0pt;margin-left:25.7pt;margin-top:28.95pt;height:0pt;width:36.7pt;z-index:251666432;mso-width-relative:page;mso-height-relative:page;" filled="f" coordsize="21600,21600" o:gfxdata="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kK&#10;P3rXAAAACAEAAA8AAAAAAAAAAQAgAAAAIgAAAGRycy9kb3ducmV2LnhtbFBLAQIUABQAAAAIAIdO&#10;4kBKIlWc6wEAAKoDAAAOAAAAAAAAAAEAIAAAACYBAABkcnMvZTJvRG9jLnhtbFBLBQYAAAAABgAG&#10;AFkBAACDBQAAAAA=&#10;">
            <v:path arrowok="t"/>
            <v:fill on="f" focussize="0,0"/>
            <v:stroke weight="0.5pt" joinstyle="miter" endarrow="open"/>
            <v:imagedata o:title=""/>
            <o:lock v:ext="edit"/>
          </v:shape>
        </w:pict>
      </w:r>
      <w:r>
        <w:pict>
          <v:shape id="_x0000_s2153" o:spid="_x0000_s2153" o:spt="202" type="#_x0000_t202" style="position:absolute;left:0pt;margin-left:282.35pt;margin-top:7.35pt;height:40.85pt;width:149.15pt;z-index:251669504;mso-width-relative:page;mso-height-relative:page;" coordsize="21600,21600" o:gfxdata="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3NEQ2AAAAAkBAAAPAAAAAAAAAAEAIAAAACIAAABkcnMvZG93bnJldi54bWxQSwECFAAU&#10;AAAACACHTuJA3oXiyfEBAADqAwAADgAAAAAAAAABACAAAAAnAQAAZHJzL2Uyb0RvYy54bWxQSwUG&#10;AAAAAAYABgBZAQAAigUAAAAA&#10;">
            <v:path/>
            <v:fill focussize="0,0"/>
            <v:stroke joinstyle="miter"/>
            <v:imagedata o:title=""/>
            <o:lock v:ext="edit"/>
            <v:textbox>
              <w:txbxContent>
                <w:p w14:paraId="3073EAD2">
                  <w:pPr>
                    <w:spacing w:line="300" w:lineRule="exact"/>
                    <w:jc w:val="center"/>
                    <w:rPr>
                      <w:szCs w:val="21"/>
                    </w:rPr>
                  </w:pPr>
                  <w:r>
                    <w:rPr>
                      <w:rFonts w:hint="eastAsia"/>
                      <w:szCs w:val="21"/>
                    </w:rPr>
                    <w:t>事故应急领导小组办公室提出启动相应应急预案建议</w:t>
                  </w:r>
                </w:p>
              </w:txbxContent>
            </v:textbox>
          </v:shape>
        </w:pict>
      </w:r>
      <w:r>
        <w:pict>
          <v:shape id="_x0000_s2152" o:spid="_x0000_s2152" o:spt="32" type="#_x0000_t32" style="position:absolute;left:0pt;margin-left:244.55pt;margin-top:29.4pt;height:0pt;width:36.7pt;z-index:251668480;mso-width-relative:page;mso-height-relative:page;" filled="f" coordsize="21600,21600" o:gfxdata="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I&#10;1eh/2AAAAAkBAAAPAAAAAAAAAAEAIAAAACIAAABkcnMvZG93bnJldi54bWxQSwECFAAUAAAACACH&#10;TuJAlCeeb+sBAACqAwAADgAAAAAAAAABACAAAAAnAQAAZHJzL2Uyb0RvYy54bWxQSwUGAAAAAAYA&#10;BgBZAQAAhAUAAAAA&#10;">
            <v:path arrowok="t"/>
            <v:fill on="f" focussize="0,0"/>
            <v:stroke weight="0.5pt" joinstyle="miter" endarrow="open"/>
            <v:imagedata o:title=""/>
            <o:lock v:ext="edit"/>
          </v:shape>
        </w:pict>
      </w:r>
    </w:p>
    <w:p w14:paraId="21DF7ED1"/>
    <w:p w14:paraId="00E809D5">
      <w:r>
        <w:pict>
          <v:shape id="_x0000_s2151" o:spid="_x0000_s2151" o:spt="202" type="#_x0000_t202" style="position:absolute;left:0pt;margin-left:320.35pt;margin-top:27.3pt;height:37.45pt;width:113.95pt;z-index:251673600;mso-width-relative:page;mso-height-relative:page;" coordsize="21600,21600" o:gfxdata="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gwE3I2QAAAAoBAAAPAAAAAAAAAAEAIAAAACIAAABkcnMvZG93bnJldi54bWxQSwECFAAU&#10;AAAACACHTuJA/Dp5w/ABAADqAwAADgAAAAAAAAABACAAAAAoAQAAZHJzL2Uyb0RvYy54bWxQSwUG&#10;AAAAAAYABgBZAQAAigUAAAAA&#10;">
            <v:path/>
            <v:fill focussize="0,0"/>
            <v:stroke joinstyle="miter"/>
            <v:imagedata o:title=""/>
            <o:lock v:ext="edit"/>
            <v:textbox>
              <w:txbxContent>
                <w:p w14:paraId="78D9E97D">
                  <w:pPr>
                    <w:spacing w:line="300" w:lineRule="exact"/>
                    <w:jc w:val="center"/>
                  </w:pPr>
                  <w:r>
                    <w:rPr>
                      <w:rFonts w:hint="eastAsia"/>
                    </w:rPr>
                    <w:t>事故应急领导小组办公室立即开展工作</w:t>
                  </w:r>
                </w:p>
              </w:txbxContent>
            </v:textbox>
          </v:shape>
        </w:pict>
      </w:r>
    </w:p>
    <w:p w14:paraId="5DD62281">
      <w:pPr>
        <w:tabs>
          <w:tab w:val="left" w:pos="5790"/>
        </w:tabs>
        <w:jc w:val="left"/>
        <w:rPr>
          <w:szCs w:val="21"/>
        </w:rPr>
      </w:pPr>
      <w:r>
        <w:pict>
          <v:shape id="_x0000_s2150" o:spid="_x0000_s2150" o:spt="202" type="#_x0000_t202" style="position:absolute;left:0pt;margin-left:5.35pt;margin-top:4.25pt;height:27.95pt;width:257.45pt;z-index:251671552;mso-width-relative:page;mso-height-relative:page;" coordsize="21600,21600" o:gfxdata="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2mpefVAAAABwEAAA8AAAAAAAAAAQAgAAAAIgAAAGRycy9kb3ducmV2LnhtbFBLAQIUABQA&#10;AAAIAIdO4kAolq6+8wEAAOoDAAAOAAAAAAAAAAEAIAAAACQBAABkcnMvZTJvRG9jLnhtbFBLBQYA&#10;AAAABgAGAFkBAACJBQAAAAA=&#10;">
            <v:path/>
            <v:fill focussize="0,0"/>
            <v:stroke joinstyle="miter"/>
            <v:imagedata o:title=""/>
            <o:lock v:ext="edit"/>
            <v:textbox>
              <w:txbxContent>
                <w:p w14:paraId="02D28521">
                  <w:pPr>
                    <w:spacing w:line="300" w:lineRule="exact"/>
                    <w:jc w:val="center"/>
                  </w:pPr>
                  <w:r>
                    <w:rPr>
                      <w:rFonts w:hint="eastAsia"/>
                    </w:rPr>
                    <w:t>区人防工程事故应急领导小组组长决定启动应急预案</w:t>
                  </w:r>
                </w:p>
              </w:txbxContent>
            </v:textbox>
          </v:shape>
        </w:pict>
      </w:r>
      <w:r>
        <w:pict>
          <v:shape id="_x0000_s2149" o:spid="_x0000_s2149" o:spt="32" type="#_x0000_t32" style="position:absolute;left:0pt;margin-left:-32.1pt;margin-top:17.85pt;height:0pt;width:36.7pt;z-index:251670528;mso-width-relative:page;mso-height-relative:page;" filled="f" coordsize="21600,21600" o:gfxdata="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gRVyL&#10;1QAAAAcBAAAPAAAAAAAAAAEAIAAAACIAAABkcnMvZG93bnJldi54bWxQSwECFAAUAAAACACHTuJA&#10;TD9UhOsBAACqAwAADgAAAAAAAAABACAAAAAkAQAAZHJzL2Uyb0RvYy54bWxQSwUGAAAAAAYABgBZ&#10;AQAAgQUAAAAA&#10;">
            <v:path arrowok="t"/>
            <v:fill on="f" focussize="0,0"/>
            <v:stroke weight="0.5pt" joinstyle="miter" endarrow="open"/>
            <v:imagedata o:title=""/>
            <o:lock v:ext="edit"/>
          </v:shape>
        </w:pict>
      </w:r>
      <w:r>
        <w:pict>
          <v:shape id="_x0000_s2148" o:spid="_x0000_s2148" o:spt="32" type="#_x0000_t32" style="position:absolute;left:0pt;flip:y;margin-left:265.15pt;margin-top:19.8pt;height:0.05pt;width:54.45pt;z-index:251672576;mso-width-relative:page;mso-height-relative:page;" filled="f" coordsize="21600,21600" o:gfxdata="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m6dx9gAAAAJAQAADwAAAAAAAAABACAAAAAiAAAAZHJzL2Rvd25yZXYueG1sUEsBAhQA&#10;FAAAAAgAh07iQOrGLSHyAQAAtgMAAA4AAAAAAAAAAQAgAAAAJwEAAGRycy9lMm9Eb2MueG1sUEsF&#10;BgAAAAAGAAYAWQEAAIsFAAAAAA==&#10;">
            <v:path arrowok="t"/>
            <v:fill on="f" focussize="0,0"/>
            <v:stroke weight="0.5pt" joinstyle="miter" endarrow="open"/>
            <v:imagedata o:title=""/>
            <o:lock v:ext="edit"/>
          </v:shape>
        </w:pict>
      </w:r>
      <w:r>
        <w:rPr>
          <w:rFonts w:hint="eastAsia"/>
        </w:rPr>
        <w:t xml:space="preserve">                                   </w:t>
      </w:r>
      <w:r>
        <w:rPr>
          <w:rFonts w:hint="eastAsia"/>
          <w:szCs w:val="21"/>
        </w:rPr>
        <w:t xml:space="preserve">应急响应    </w:t>
      </w:r>
    </w:p>
    <w:p w14:paraId="33B9D8E8">
      <w:pPr>
        <w:tabs>
          <w:tab w:val="left" w:pos="5790"/>
        </w:tabs>
        <w:jc w:val="left"/>
        <w:rPr>
          <w:szCs w:val="21"/>
        </w:rPr>
      </w:pPr>
    </w:p>
    <w:p w14:paraId="1CDB8392">
      <w:pPr>
        <w:tabs>
          <w:tab w:val="left" w:pos="5790"/>
        </w:tabs>
        <w:jc w:val="left"/>
        <w:rPr>
          <w:szCs w:val="21"/>
        </w:rPr>
      </w:pPr>
      <w:r>
        <w:pict>
          <v:shape id="_x0000_s2147" o:spid="_x0000_s2147" o:spt="32" type="#_x0000_t32" style="position:absolute;left:0pt;flip:y;margin-left:-24.7pt;margin-top:20.5pt;height:28.5pt;width:37pt;z-index:251675648;mso-width-relative:page;mso-height-relative:page;" filled="f" coordsize="21600,21600" o:gfxdata="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ki9hjYAAAACAEAAA8AAAAAAAAAAQAgAAAAIgAAAGRycy9kb3ducmV2Lnht&#10;bFBLAQIUABQAAAAIAIdO4kAAfa6j+QEAALkDAAAOAAAAAAAAAAEAIAAAACcBAABkcnMvZTJvRG9j&#10;LnhtbFBLBQYAAAAABgAGAFkBAACSBQAAAAA=&#10;">
            <v:path arrowok="t"/>
            <v:fill on="f" focussize="0,0"/>
            <v:stroke weight="0.5pt" joinstyle="miter" endarrow="open"/>
            <v:imagedata o:title=""/>
            <o:lock v:ext="edit"/>
          </v:shape>
        </w:pict>
      </w:r>
      <w:r>
        <w:pict>
          <v:shape id="_x0000_s2146" o:spid="_x0000_s2146" o:spt="202" type="#_x0000_t202" style="position:absolute;left:0pt;margin-left:21.1pt;margin-top:6.85pt;height:22.5pt;width:231pt;z-index:251679744;mso-width-relative:page;mso-height-relative:page;" coordsize="21600,21600" o:gfxdata="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oTcdPXAAAACAEAAA8AAAAAAAAAAQAgAAAAIgAAAGRycy9kb3ducmV2LnhtbFBLAQIU&#10;ABQAAAAIAIdO4kANRmDD9AEAAOoDAAAOAAAAAAAAAAEAIAAAACYBAABkcnMvZTJvRG9jLnhtbFBL&#10;BQYAAAAABgAGAFkBAACMBQAAAAA=&#10;">
            <v:path/>
            <v:fill focussize="0,0"/>
            <v:stroke joinstyle="miter"/>
            <v:imagedata o:title=""/>
            <o:lock v:ext="edit"/>
            <v:textbox>
              <w:txbxContent>
                <w:p w14:paraId="6FF54236">
                  <w:pPr>
                    <w:spacing w:line="300" w:lineRule="exact"/>
                    <w:jc w:val="center"/>
                    <w:rPr>
                      <w:szCs w:val="21"/>
                    </w:rPr>
                  </w:pPr>
                  <w:r>
                    <w:rPr>
                      <w:rFonts w:hint="eastAsia"/>
                      <w:szCs w:val="21"/>
                    </w:rPr>
                    <w:t>立即报告区综合管理部和市人防办公室</w:t>
                  </w:r>
                </w:p>
              </w:txbxContent>
            </v:textbox>
          </v:shape>
        </w:pict>
      </w:r>
    </w:p>
    <w:p w14:paraId="69B49442">
      <w:pPr>
        <w:tabs>
          <w:tab w:val="left" w:pos="5790"/>
        </w:tabs>
        <w:jc w:val="left"/>
        <w:rPr>
          <w:szCs w:val="21"/>
        </w:rPr>
      </w:pPr>
      <w:r>
        <w:pict>
          <v:shape id="_x0000_s2145" o:spid="_x0000_s2145" o:spt="202" type="#_x0000_t202" style="position:absolute;left:0pt;margin-left:20.35pt;margin-top:17.3pt;height:22.5pt;width:230.95pt;z-index:251680768;mso-width-relative:page;mso-height-relative:page;" coordsize="21600,21600" o:gfxdata="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uAzqe2AAAAAgBAAAPAAAAAAAAAAEAIAAAACIAAABkcnMvZG93bnJldi54bWxQSwEC&#10;FAAUAAAACACHTuJAnofrd/QBAADqAwAADgAAAAAAAAABACAAAAAnAQAAZHJzL2Uyb0RvYy54bWxQ&#10;SwUGAAAAAAYABgBZAQAAjQUAAAAA&#10;">
            <v:path/>
            <v:fill focussize="0,0"/>
            <v:stroke joinstyle="miter"/>
            <v:imagedata o:title=""/>
            <o:lock v:ext="edit"/>
            <v:textbox>
              <w:txbxContent>
                <w:p w14:paraId="7F97E8A5">
                  <w:pPr>
                    <w:spacing w:line="300" w:lineRule="exact"/>
                    <w:jc w:val="center"/>
                    <w:rPr>
                      <w:szCs w:val="21"/>
                    </w:rPr>
                  </w:pPr>
                  <w:r>
                    <w:rPr>
                      <w:rFonts w:hint="eastAsia"/>
                      <w:szCs w:val="21"/>
                    </w:rPr>
                    <w:t>迅速提出事故处置方案</w:t>
                  </w:r>
                </w:p>
              </w:txbxContent>
            </v:textbox>
          </v:shape>
        </w:pict>
      </w:r>
      <w:r>
        <w:pict>
          <v:shape id="_x0000_s2144" o:spid="_x0000_s2144" o:spt="32" type="#_x0000_t32" style="position:absolute;left:0pt;flip:y;margin-left:-24.7pt;margin-top:28.55pt;height:8.25pt;width:37.75pt;z-index:251676672;mso-width-relative:page;mso-height-relative:page;" filled="f" coordsize="21600,21600" o:gfxdata="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X1hzPZAAAACAEAAA8AAAAAAAAAAQAgAAAAIgAAAGRycy9kb3ducmV2Lnht&#10;bFBLAQIUABQAAAAIAIdO4kAQd4xl+AEAALkDAAAOAAAAAAAAAAEAIAAAACgBAABkcnMvZTJvRG9j&#10;LnhtbFBLBQYAAAAABgAGAFkBAACSBQAAAAA=&#10;">
            <v:path arrowok="t"/>
            <v:fill on="f" focussize="0,0"/>
            <v:stroke weight="0.5pt" joinstyle="miter" endarrow="open"/>
            <v:imagedata o:title=""/>
            <o:lock v:ext="edit"/>
          </v:shape>
        </w:pict>
      </w:r>
    </w:p>
    <w:p w14:paraId="345A9954">
      <w:pPr>
        <w:tabs>
          <w:tab w:val="left" w:pos="5790"/>
        </w:tabs>
        <w:jc w:val="left"/>
        <w:rPr>
          <w:szCs w:val="21"/>
        </w:rPr>
      </w:pPr>
      <w:r>
        <w:pict>
          <v:shape id="_x0000_s2143" o:spid="_x0000_s2143" o:spt="202" type="#_x0000_t202" style="position:absolute;left:0pt;margin-left:300.3pt;margin-top:20.7pt;height:36.75pt;width:140.25pt;z-index:251685888;mso-width-relative:page;mso-height-relative:page;" coordsize="21600,21600" o:gfxdata="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PDgLXAAAACgEAAA8AAAAAAAAAAQAgAAAAIgAAAGRycy9kb3ducmV2LnhtbFBLAQIUABQA&#10;AAAIAIdO4kCHhiql8QEAAOoDAAAOAAAAAAAAAAEAIAAAACYBAABkcnMvZTJvRG9jLnhtbFBLBQYA&#10;AAAABgAGAFkBAACJBQAAAAA=&#10;">
            <v:path/>
            <v:fill focussize="0,0"/>
            <v:stroke joinstyle="miter"/>
            <v:imagedata o:title=""/>
            <o:lock v:ext="edit"/>
            <v:textbox>
              <w:txbxContent>
                <w:p w14:paraId="3007F6C8">
                  <w:pPr>
                    <w:spacing w:line="300" w:lineRule="exact"/>
                    <w:jc w:val="center"/>
                    <w:rPr>
                      <w:szCs w:val="21"/>
                    </w:rPr>
                  </w:pPr>
                  <w:r>
                    <w:rPr>
                      <w:rFonts w:hint="eastAsia"/>
                      <w:szCs w:val="21"/>
                    </w:rPr>
                    <w:t>向区管委、市人防办有关部门通报有关情况</w:t>
                  </w:r>
                </w:p>
              </w:txbxContent>
            </v:textbox>
          </v:shape>
        </w:pict>
      </w:r>
      <w:r>
        <w:pict>
          <v:shape id="_x0000_s2142" o:spid="_x0000_s2142" o:spt="202" type="#_x0000_t202" style="position:absolute;left:0pt;margin-left:19.6pt;margin-top:29.1pt;height:21.7pt;width:231.05pt;z-index:251681792;mso-width-relative:page;mso-height-relative:page;" coordsize="21600,21600" o:gfxdata="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krdntkAAAAJAQAADwAAAAAAAAABACAAAAAiAAAAZHJzL2Rvd25yZXYueG1sUEsB&#10;AhQAFAAAAAgAh07iQOBWjgL0AQAA6gMAAA4AAAAAAAAAAQAgAAAAKAEAAGRycy9lMm9Eb2MueG1s&#10;UEsFBgAAAAAGAAYAWQEAAI4FAAAAAA==&#10;">
            <v:path/>
            <v:fill focussize="0,0"/>
            <v:stroke joinstyle="miter"/>
            <v:imagedata o:title=""/>
            <o:lock v:ext="edit"/>
            <v:textbox>
              <w:txbxContent>
                <w:p w14:paraId="6D73CAC1">
                  <w:pPr>
                    <w:spacing w:line="300" w:lineRule="exact"/>
                    <w:jc w:val="center"/>
                    <w:rPr>
                      <w:szCs w:val="21"/>
                    </w:rPr>
                  </w:pPr>
                  <w:r>
                    <w:rPr>
                      <w:rFonts w:hint="eastAsia"/>
                      <w:szCs w:val="21"/>
                    </w:rPr>
                    <w:t>迅速通知相关部门及科室开展工作</w:t>
                  </w:r>
                </w:p>
              </w:txbxContent>
            </v:textbox>
          </v:shape>
        </w:pict>
      </w:r>
      <w:r>
        <w:pict>
          <v:shape id="_x0000_s2141" o:spid="_x0000_s2141" o:spt="32" type="#_x0000_t32" style="position:absolute;left:0pt;margin-left:-24.7pt;margin-top:26.85pt;height:12.75pt;width:37.75pt;z-index:251677696;mso-width-relative:page;mso-height-relative:page;" filled="f" coordsize="21600,21600" o:gfxdata="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mWZStkAAAAIAQAADwAAAAAAAAABACAAAAAiAAAAZHJzL2Rvd25yZXYueG1sUEsBAhQA&#10;FAAAAAgAh07iQKQMRZDxAQAArwMAAA4AAAAAAAAAAQAgAAAAKAEAAGRycy9lMm9Eb2MueG1sUEsF&#10;BgAAAAAGAAYAWQEAAIsFAAAAAA==&#10;">
            <v:path arrowok="t"/>
            <v:fill on="f" focussize="0,0"/>
            <v:stroke weight="0.5pt" joinstyle="miter" endarrow="open"/>
            <v:imagedata o:title=""/>
            <o:lock v:ext="edit"/>
          </v:shape>
        </w:pict>
      </w:r>
    </w:p>
    <w:p w14:paraId="04D205E1">
      <w:pPr>
        <w:tabs>
          <w:tab w:val="left" w:pos="5790"/>
        </w:tabs>
        <w:jc w:val="left"/>
        <w:rPr>
          <w:szCs w:val="21"/>
        </w:rPr>
      </w:pPr>
      <w:r>
        <w:pict>
          <v:shape id="_x0000_s2140" o:spid="_x0000_s2140" o:spt="32" type="#_x0000_t32" style="position:absolute;left:0pt;margin-left:255.8pt;margin-top:10.5pt;height:0pt;width:36.7pt;z-index:251674624;mso-width-relative:page;mso-height-relative:page;" filled="f" coordsize="21600,21600" o:gfxdata="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t7&#10;5X3XAAAACQEAAA8AAAAAAAAAAQAgAAAAIgAAAGRycy9kb3ducmV2LnhtbFBLAQIUABQAAAAIAIdO&#10;4kC4CMh36wEAAKoDAAAOAAAAAAAAAAEAIAAAACYBAABkcnMvZTJvRG9jLnhtbFBLBQYAAAAABgAG&#10;AFkBAACDBQAAAAA=&#10;">
            <v:path arrowok="t"/>
            <v:fill on="f" focussize="0,0"/>
            <v:stroke weight="0.5pt" joinstyle="miter" endarrow="open"/>
            <v:imagedata o:title=""/>
            <o:lock v:ext="edit"/>
          </v:shape>
        </w:pict>
      </w:r>
      <w:r>
        <w:pict>
          <v:shape id="_x0000_s2139" o:spid="_x0000_s2139" o:spt="32" type="#_x0000_t32" style="position:absolute;left:0pt;margin-left:-25.45pt;margin-top:29.25pt;height:21.6pt;width:32.3pt;z-index:251678720;mso-width-relative:page;mso-height-relative:page;" filled="f" coordsize="21600,21600" o:gfxdata="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xkq2QAAAAkBAAAPAAAAAAAAAAEAIAAAACIAAABkcnMvZG93bnJldi54bWxQSwECFAAU&#10;AAAACACHTuJAzCeEVPABAACvAwAADgAAAAAAAAABACAAAAAoAQAAZHJzL2Uyb0RvYy54bWxQSwUG&#10;AAAAAAYABgBZAQAAigUAAAAA&#10;">
            <v:path arrowok="t"/>
            <v:fill on="f" focussize="0,0"/>
            <v:stroke weight="0.5pt" joinstyle="miter" endarrow="open"/>
            <v:imagedata o:title=""/>
            <o:lock v:ext="edit"/>
          </v:shape>
        </w:pict>
      </w:r>
    </w:p>
    <w:p w14:paraId="37BC08AC">
      <w:pPr>
        <w:tabs>
          <w:tab w:val="left" w:pos="5790"/>
        </w:tabs>
        <w:jc w:val="left"/>
        <w:rPr>
          <w:szCs w:val="21"/>
        </w:rPr>
      </w:pPr>
      <w:r>
        <w:pict>
          <v:shape id="_x0000_s2138" o:spid="_x0000_s2138" o:spt="202" type="#_x0000_t202" style="position:absolute;left:0pt;margin-left:18.85pt;margin-top:12.15pt;height:24pt;width:232.45pt;z-index:251682816;mso-width-relative:page;mso-height-relative:page;" coordsize="21600,21600" o:gfxdata="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J1Z8rYAAAACAEAAA8AAAAAAAAAAQAgAAAAIgAAAGRycy9kb3ducmV2LnhtbFBLAQIU&#10;ABQAAAAIAIdO4kDk7hrE8wEAAOoDAAAOAAAAAAAAAAEAIAAAACcBAABkcnMvZTJvRG9jLnhtbFBL&#10;BQYAAAAABgAGAFkBAACMBQAAAAA=&#10;">
            <v:path/>
            <v:fill focussize="0,0"/>
            <v:stroke joinstyle="miter"/>
            <v:imagedata o:title=""/>
            <o:lock v:ext="edit"/>
            <v:textbox>
              <w:txbxContent>
                <w:p w14:paraId="2A29AEA7">
                  <w:pPr>
                    <w:spacing w:line="300" w:lineRule="exact"/>
                    <w:jc w:val="center"/>
                    <w:rPr>
                      <w:szCs w:val="21"/>
                    </w:rPr>
                  </w:pPr>
                  <w:r>
                    <w:rPr>
                      <w:rFonts w:hint="eastAsia"/>
                      <w:szCs w:val="21"/>
                    </w:rPr>
                    <w:t>收集汇总应急处置工作情况</w:t>
                  </w:r>
                </w:p>
              </w:txbxContent>
            </v:textbox>
          </v:shape>
        </w:pict>
      </w:r>
    </w:p>
    <w:p w14:paraId="2626902C">
      <w:pPr>
        <w:tabs>
          <w:tab w:val="left" w:pos="5790"/>
        </w:tabs>
        <w:jc w:val="left"/>
        <w:rPr>
          <w:szCs w:val="21"/>
        </w:rPr>
      </w:pPr>
      <w:r>
        <w:pict>
          <v:shape id="_x0000_s2137" o:spid="_x0000_s2137" o:spt="202" type="#_x0000_t202" style="position:absolute;left:0pt;margin-left:19.6pt;margin-top:24.55pt;height:23.25pt;width:231.75pt;z-index:251683840;mso-width-relative:page;mso-height-relative:page;" coordsize="21600,21600" o:gfxdata="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Z/VxHYAAAACAEAAA8AAAAAAAAAAQAgAAAAIgAAAGRycy9kb3ducmV2LnhtbFBLAQIUABQA&#10;AAAIAIdO4kAd/rfB8AEAAOoDAAAOAAAAAAAAAAEAIAAAACcBAABkcnMvZTJvRG9jLnhtbFBLBQYA&#10;AAAABgAGAFkBAACJBQAAAAA=&#10;">
            <v:path/>
            <v:fill focussize="0,0"/>
            <v:stroke joinstyle="miter"/>
            <v:imagedata o:title=""/>
            <o:lock v:ext="edit"/>
            <v:textbox>
              <w:txbxContent>
                <w:p w14:paraId="3C399D0F">
                  <w:pPr>
                    <w:spacing w:line="300" w:lineRule="exact"/>
                    <w:jc w:val="center"/>
                    <w:rPr>
                      <w:szCs w:val="21"/>
                    </w:rPr>
                  </w:pPr>
                  <w:r>
                    <w:rPr>
                      <w:rFonts w:hint="eastAsia"/>
                      <w:szCs w:val="21"/>
                    </w:rPr>
                    <w:t>撰写调查报告，提出处理意见</w:t>
                  </w:r>
                </w:p>
              </w:txbxContent>
            </v:textbox>
          </v:shape>
        </w:pict>
      </w:r>
      <w:r>
        <w:pict>
          <v:shape id="_x0000_s2136" o:spid="_x0000_s2136" o:spt="32" type="#_x0000_t32" style="position:absolute;left:0pt;margin-left:-26.95pt;margin-top:1.55pt;height:33.6pt;width:36.8pt;z-index:251684864;mso-width-relative:page;mso-height-relative:page;" filled="f" coordsize="21600,21600" o:gfxdata="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7yC73XAAAABwEAAA8AAAAAAAAAAQAgAAAAIgAAAGRycy9kb3ducmV2LnhtbFBLAQIUABQA&#10;AAAIAIdO4kBDMQ9U8QEAAK8DAAAOAAAAAAAAAAEAIAAAACYBAABkcnMvZTJvRG9jLnhtbFBLBQYA&#10;AAAABgAGAFkBAACJBQAAAAA=&#10;">
            <v:path arrowok="t"/>
            <v:fill on="f" focussize="0,0"/>
            <v:stroke weight="0.5pt" joinstyle="miter" endarrow="open"/>
            <v:imagedata o:title=""/>
            <o:lock v:ext="edit"/>
          </v:shape>
        </w:pict>
      </w:r>
    </w:p>
    <w:p w14:paraId="1ED1212B">
      <w:pPr>
        <w:tabs>
          <w:tab w:val="left" w:pos="5790"/>
        </w:tabs>
        <w:jc w:val="left"/>
        <w:rPr>
          <w:szCs w:val="21"/>
        </w:rPr>
      </w:pPr>
    </w:p>
    <w:p w14:paraId="51673C7D">
      <w:pPr>
        <w:tabs>
          <w:tab w:val="left" w:pos="5790"/>
        </w:tabs>
        <w:jc w:val="left"/>
        <w:rPr>
          <w:szCs w:val="21"/>
        </w:rPr>
      </w:pPr>
    </w:p>
    <w:p w14:paraId="27AF17DC">
      <w:pPr>
        <w:tabs>
          <w:tab w:val="left" w:pos="5790"/>
        </w:tabs>
        <w:ind w:firstLine="7272" w:firstLineChars="3600"/>
        <w:jc w:val="left"/>
        <w:rPr>
          <w:szCs w:val="21"/>
        </w:rPr>
      </w:pPr>
      <w:r>
        <w:pict>
          <v:shape id="_x0000_s2135" o:spid="_x0000_s2135" o:spt="32" type="#_x0000_t32" style="position:absolute;left:0pt;margin-left:9.8pt;margin-top:24.6pt;height:0pt;width:36.7pt;z-index:251686912;mso-width-relative:page;mso-height-relative:page;" filled="f" coordsize="21600,21600" o:gfxdata="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fhTG&#10;1QAAAAcBAAAPAAAAAAAAAAEAIAAAACIAAABkcnMvZG93bnJldi54bWxQSwECFAAUAAAACACHTuJA&#10;7jx7d+sBAACqAwAADgAAAAAAAAABACAAAAAkAQAAZHJzL2Uyb0RvYy54bWxQSwUGAAAAAAYABgBZ&#10;AQAAgQUAAAAA&#10;">
            <v:path arrowok="t"/>
            <v:fill on="f" focussize="0,0"/>
            <v:stroke weight="0.5pt" joinstyle="miter" endarrow="open"/>
            <v:imagedata o:title=""/>
            <o:lock v:ext="edit"/>
          </v:shape>
        </w:pict>
      </w:r>
      <w:r>
        <w:pict>
          <v:shape id="_x0000_s2134" o:spid="_x0000_s2134" o:spt="202" type="#_x0000_t202" style="position:absolute;left:0pt;margin-left:51.3pt;margin-top:15.2pt;height:21pt;width:125.2pt;z-index:251687936;mso-width-relative:page;mso-height-relative:page;" coordsize="21600,21600" o:gfxdata="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AoQbtgAAAAJAQAADwAAAAAAAAABACAAAAAiAAAAZHJzL2Rvd25yZXYueG1sUEsBAhQA&#10;FAAAAAgAh07iQNYO5IvyAQAA6gMAAA4AAAAAAAAAAQAgAAAAJwEAAGRycy9lMm9Eb2MueG1sUEsF&#10;BgAAAAAGAAYAWQEAAIsFAAAAAA==&#10;">
            <v:path/>
            <v:fill focussize="0,0"/>
            <v:stroke joinstyle="miter"/>
            <v:imagedata o:title=""/>
            <o:lock v:ext="edit"/>
            <v:textbox>
              <w:txbxContent>
                <w:p w14:paraId="60728259">
                  <w:pPr>
                    <w:spacing w:line="300" w:lineRule="exact"/>
                    <w:jc w:val="center"/>
                    <w:rPr>
                      <w:szCs w:val="21"/>
                    </w:rPr>
                  </w:pPr>
                  <w:r>
                    <w:rPr>
                      <w:rFonts w:hint="eastAsia"/>
                      <w:szCs w:val="21"/>
                    </w:rPr>
                    <w:t>提出终止应急响应建议</w:t>
                  </w:r>
                </w:p>
              </w:txbxContent>
            </v:textbox>
          </v:shape>
        </w:pict>
      </w:r>
      <w:r>
        <w:pict>
          <v:shape id="_x0000_s2133" o:spid="_x0000_s2133" o:spt="32" type="#_x0000_t32" style="position:absolute;left:0pt;margin-left:177.8pt;margin-top:24.4pt;height:0pt;width:36.7pt;z-index:251688960;mso-width-relative:page;mso-height-relative:page;" filled="f" coordsize="21600,21600" o:gfxdata="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Lz&#10;0/nYAAAACQEAAA8AAAAAAAAAAQAgAAAAIgAAAGRycy9kb3ducmV2LnhtbFBLAQIUABQAAAAIAIdO&#10;4kA3L5nB6gEAAKoDAAAOAAAAAAAAAAEAIAAAACcBAABkcnMvZTJvRG9jLnhtbFBLBQYAAAAABgAG&#10;AFkBAACDBQAAAAA=&#10;">
            <v:path arrowok="t"/>
            <v:fill on="f" focussize="0,0"/>
            <v:stroke weight="0.5pt" joinstyle="miter" endarrow="open"/>
            <v:imagedata o:title=""/>
            <o:lock v:ext="edit"/>
          </v:shape>
        </w:pict>
      </w:r>
      <w:r>
        <w:pict>
          <v:shape id="_x0000_s2132" o:spid="_x0000_s2132" o:spt="202" type="#_x0000_t202" style="position:absolute;left:0pt;margin-left:216.3pt;margin-top:6pt;height:36.75pt;width:138.75pt;z-index:251689984;mso-width-relative:page;mso-height-relative:page;" coordsize="21600,21600" o:gfxdata="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lALa9gAAAAJAQAADwAAAAAAAAABACAAAAAiAAAAZHJzL2Rvd25yZXYueG1sUEsBAhQAFAAA&#10;AAgAh07iQNXouEvvAQAA6gMAAA4AAAAAAAAAAQAgAAAAJwEAAGRycy9lMm9Eb2MueG1sUEsFBgAA&#10;AAAGAAYAWQEAAIgFAAAAAA==&#10;">
            <v:path/>
            <v:fill focussize="0,0"/>
            <v:stroke joinstyle="miter"/>
            <v:imagedata o:title=""/>
            <o:lock v:ext="edit"/>
            <v:textbox>
              <w:txbxContent>
                <w:p w14:paraId="2B15AA58">
                  <w:pPr>
                    <w:spacing w:line="300" w:lineRule="exact"/>
                    <w:jc w:val="center"/>
                    <w:rPr>
                      <w:szCs w:val="21"/>
                    </w:rPr>
                  </w:pPr>
                  <w:r>
                    <w:rPr>
                      <w:rFonts w:hint="eastAsia"/>
                      <w:szCs w:val="21"/>
                    </w:rPr>
                    <w:t>区人防工程事故应急领导小组做出应急结束决定</w:t>
                  </w:r>
                </w:p>
              </w:txbxContent>
            </v:textbox>
          </v:shape>
        </w:pict>
      </w:r>
      <w:r>
        <w:pict>
          <v:shape id="_x0000_s2131" o:spid="_x0000_s2131" o:spt="32" type="#_x0000_t32" style="position:absolute;left:0pt;flip:y;margin-left:356.3pt;margin-top:23.05pt;height:0.6pt;width:68.55pt;z-index:251691008;mso-width-relative:page;mso-height-relative:page;" filled="f" coordsize="21600,21600" o:gfxdata="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e9g9kAAAAJAQAADwAAAAAAAAABACAAAAAiAAAAZHJzL2Rvd25yZXYueG1s&#10;UEsBAhQAFAAAAAgAh07iQNy/81P3AQAAtwMAAA4AAAAAAAAAAQAgAAAAKAEAAGRycy9lMm9Eb2Mu&#10;eG1sUEsFBgAAAAAGAAYAWQEAAJEFAAAAAA==&#10;">
            <v:path arrowok="t"/>
            <v:fill on="f" focussize="0,0"/>
            <v:stroke weight="0.5pt" joinstyle="miter" endarrow="open"/>
            <v:imagedata o:title=""/>
            <o:lock v:ext="edit"/>
          </v:shape>
        </w:pict>
      </w:r>
      <w:r>
        <w:rPr>
          <w:rFonts w:hint="eastAsia"/>
          <w:szCs w:val="21"/>
        </w:rPr>
        <w:t>应急响应结束</w:t>
      </w:r>
    </w:p>
    <w:p w14:paraId="7378328E">
      <w:pPr>
        <w:tabs>
          <w:tab w:val="left" w:pos="5790"/>
        </w:tabs>
        <w:jc w:val="left"/>
        <w:rPr>
          <w:szCs w:val="21"/>
        </w:rPr>
      </w:pPr>
    </w:p>
    <w:p w14:paraId="48117ECC">
      <w:pPr>
        <w:tabs>
          <w:tab w:val="left" w:pos="5790"/>
        </w:tabs>
        <w:jc w:val="left"/>
        <w:rPr>
          <w:szCs w:val="21"/>
        </w:rPr>
      </w:pPr>
      <w:r>
        <w:pict>
          <v:shape id="_x0000_s2130" o:spid="_x0000_s2130" o:spt="202" type="#_x0000_t202" style="position:absolute;left:0pt;margin-left:13.1pt;margin-top:19.45pt;height:39.8pt;width:86.35pt;z-index:251660288;mso-width-relative:page;mso-height-relative:page;" coordsize="21600,21600" o:gfxdata="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kAh2dcAAAAJAQAADwAAAAAAAAABACAAAAAiAAAAZHJzL2Rvd25yZXYueG1sUEsBAhQA&#10;FAAAAAgAh07iQGXR5lzzAQAA6gMAAA4AAAAAAAAAAQAgAAAAJgEAAGRycy9lMm9Eb2MueG1sUEsF&#10;BgAAAAAGAAYAWQEAAIsFAAAAAA==&#10;">
            <v:path/>
            <v:fill focussize="0,0"/>
            <v:stroke joinstyle="miter"/>
            <v:imagedata o:title=""/>
            <o:lock v:ext="edit"/>
            <v:textbox>
              <w:txbxContent>
                <w:p w14:paraId="645463EA">
                  <w:pPr>
                    <w:spacing w:line="300" w:lineRule="exact"/>
                    <w:jc w:val="center"/>
                    <w:rPr>
                      <w:szCs w:val="21"/>
                    </w:rPr>
                  </w:pPr>
                  <w:r>
                    <w:rPr>
                      <w:rFonts w:hint="eastAsia"/>
                      <w:szCs w:val="21"/>
                    </w:rPr>
                    <w:t>对后期处置工作进行监督</w:t>
                  </w:r>
                </w:p>
              </w:txbxContent>
            </v:textbox>
          </v:shape>
        </w:pict>
      </w:r>
      <w:r>
        <w:pict>
          <v:shape id="_x0000_s2129" o:spid="_x0000_s2129" o:spt="202" type="#_x0000_t202" style="position:absolute;left:0pt;margin-left:282.35pt;margin-top:24.5pt;height:25.5pt;width:120.75pt;z-index:251664384;mso-width-relative:page;mso-height-relative:page;" coordsize="21600,21600" o:gfxdata="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c7ycdgAAAAKAQAADwAAAAAAAAABACAAAAAiAAAAZHJzL2Rvd25yZXYueG1sUEsBAhQA&#10;FAAAAAgAh07iQCmW6IzyAQAA6gMAAA4AAAAAAAAAAQAgAAAAJwEAAGRycy9lMm9Eb2MueG1sUEsF&#10;BgAAAAAGAAYAWQEAAIsFAAAAAA==&#10;">
            <v:path/>
            <v:fill focussize="0,0"/>
            <v:stroke joinstyle="miter"/>
            <v:imagedata o:title=""/>
            <o:lock v:ext="edit"/>
            <v:textbox>
              <w:txbxContent>
                <w:p w14:paraId="027663C0">
                  <w:pPr>
                    <w:spacing w:line="300" w:lineRule="exact"/>
                    <w:jc w:val="center"/>
                    <w:rPr>
                      <w:szCs w:val="21"/>
                    </w:rPr>
                  </w:pPr>
                  <w:r>
                    <w:rPr>
                      <w:rFonts w:hint="eastAsia"/>
                      <w:szCs w:val="21"/>
                    </w:rPr>
                    <w:t>上报应急处置总结报告</w:t>
                  </w:r>
                </w:p>
              </w:txbxContent>
            </v:textbox>
          </v:shape>
        </w:pict>
      </w:r>
      <w:r>
        <w:pict>
          <v:shape id="_x0000_s2128" o:spid="_x0000_s2128" o:spt="202" type="#_x0000_t202" style="position:absolute;left:0pt;margin-left:140.6pt;margin-top:26.6pt;height:24pt;width:99.8pt;z-index:251662336;mso-width-relative:page;mso-height-relative:page;" coordsize="21600,21600" o:gfxdata="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XLQktgAAAAKAQAADwAAAAAAAAABACAAAAAiAAAAZHJzL2Rvd25yZXYueG1sUEsB&#10;AhQAFAAAAAgAh07iQI0Tja/1AQAA6gMAAA4AAAAAAAAAAQAgAAAAJwEAAGRycy9lMm9Eb2MueG1s&#10;UEsFBgAAAAAGAAYAWQEAAI4FAAAAAA==&#10;">
            <v:path/>
            <v:fill focussize="0,0"/>
            <v:stroke joinstyle="miter"/>
            <v:imagedata o:title=""/>
            <o:lock v:ext="edit"/>
            <v:textbox>
              <w:txbxContent>
                <w:p w14:paraId="29D33633">
                  <w:pPr>
                    <w:spacing w:line="300" w:lineRule="exact"/>
                    <w:jc w:val="center"/>
                    <w:rPr>
                      <w:szCs w:val="21"/>
                    </w:rPr>
                  </w:pPr>
                  <w:r>
                    <w:rPr>
                      <w:rFonts w:hint="eastAsia"/>
                      <w:szCs w:val="21"/>
                    </w:rPr>
                    <w:t>总结分析经验教训</w:t>
                  </w:r>
                </w:p>
              </w:txbxContent>
            </v:textbox>
          </v:shape>
        </w:pict>
      </w:r>
    </w:p>
    <w:p w14:paraId="08D25AA4">
      <w:pPr>
        <w:tabs>
          <w:tab w:val="left" w:pos="5790"/>
        </w:tabs>
        <w:jc w:val="left"/>
        <w:rPr>
          <w:szCs w:val="21"/>
        </w:rPr>
      </w:pPr>
      <w:r>
        <w:pict>
          <v:shape id="_x0000_s2127" o:spid="_x0000_s2127" o:spt="32" type="#_x0000_t32" style="position:absolute;left:0pt;margin-left:243.05pt;margin-top:8.95pt;height:0pt;width:36.7pt;z-index:251663360;mso-width-relative:page;mso-height-relative:page;" filled="f" coordsize="21600,21600" o:gfxdata="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fM&#10;p4rXAAAACQEAAA8AAAAAAAAAAQAgAAAAIgAAAGRycy9kb3ducmV2LnhtbFBLAQIUABQAAAAIAIdO&#10;4kDpKlIy6wEAAKoDAAAOAAAAAAAAAAEAIAAAACYBAABkcnMvZTJvRG9jLnhtbFBLBQYAAAAABgAG&#10;AFkBAACDBQAAAAA=&#10;">
            <v:path arrowok="t"/>
            <v:fill on="f" focussize="0,0"/>
            <v:stroke weight="0.5pt" joinstyle="miter" endarrow="open"/>
            <v:imagedata o:title=""/>
            <o:lock v:ext="edit"/>
          </v:shape>
        </w:pict>
      </w:r>
      <w:r>
        <w:pict>
          <v:shape id="_x0000_s2126" o:spid="_x0000_s2126" o:spt="32" type="#_x0000_t32" style="position:absolute;left:0pt;margin-left:100.55pt;margin-top:10.1pt;height:0pt;width:36.7pt;z-index:251661312;mso-width-relative:page;mso-height-relative:page;" filled="f" coordsize="21600,21600" o:gfxdata="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RK5&#10;ltYAAAAJAQAADwAAAAAAAAABACAAAAAiAAAAZHJzL2Rvd25yZXYueG1sUEsBAhQAFAAAAAgAh07i&#10;QEUFL0vrAQAAqgMAAA4AAAAAAAAAAQAgAAAAJQEAAGRycy9lMm9Eb2MueG1sUEsFBgAAAAAGAAYA&#10;WQEAAIIFAAAAAA==&#10;">
            <v:path arrowok="t"/>
            <v:fill on="f" focussize="0,0"/>
            <v:stroke weight="0.5pt" joinstyle="miter" endarrow="open"/>
            <v:imagedata o:title=""/>
            <o:lock v:ext="edit"/>
          </v:shape>
        </w:pict>
      </w:r>
      <w:r>
        <w:rPr>
          <w:rFonts w:hint="eastAsia"/>
          <w:szCs w:val="21"/>
        </w:rPr>
        <w:t xml:space="preserve">                                                                                  </w:t>
      </w:r>
    </w:p>
    <w:p w14:paraId="15FDFCA4">
      <w:pPr>
        <w:tabs>
          <w:tab w:val="left" w:pos="5790"/>
        </w:tabs>
        <w:jc w:val="left"/>
        <w:rPr>
          <w:szCs w:val="21"/>
        </w:rPr>
      </w:pPr>
    </w:p>
    <w:p w14:paraId="092C582D">
      <w:pPr>
        <w:pStyle w:val="19"/>
        <w:snapToGrid w:val="0"/>
        <w:spacing w:before="0" w:beforeAutospacing="0" w:after="0" w:afterAutospacing="0" w:line="560" w:lineRule="atLeast"/>
        <w:rPr>
          <w:rFonts w:ascii="仿宋_GB2312" w:hAnsi="仿宋_GB2312" w:eastAsia="仿宋_GB2312"/>
          <w:kern w:val="2"/>
          <w:sz w:val="32"/>
          <w:szCs w:val="32"/>
        </w:rPr>
        <w:sectPr>
          <w:footerReference r:id="rId6" w:type="default"/>
          <w:pgSz w:w="11906" w:h="16838"/>
          <w:pgMar w:top="2098" w:right="1417" w:bottom="1984" w:left="1531" w:header="851" w:footer="1417" w:gutter="0"/>
          <w:pgNumType w:start="1"/>
          <w:cols w:space="720" w:num="1"/>
          <w:docGrid w:type="linesAndChars" w:linePitch="590" w:charSpace="-1675"/>
        </w:sectPr>
      </w:pPr>
    </w:p>
    <w:p w14:paraId="283AC8F1">
      <w:pPr>
        <w:spacing w:line="560" w:lineRule="exact"/>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附件3:</w:t>
      </w:r>
    </w:p>
    <w:p w14:paraId="60AF9401">
      <w:pPr>
        <w:spacing w:line="560" w:lineRule="exact"/>
        <w:rPr>
          <w:rFonts w:ascii="方正黑体简体" w:hAnsi="宋体" w:eastAsia="方正黑体简体" w:cs="宋体"/>
          <w:kern w:val="0"/>
        </w:rPr>
      </w:pPr>
    </w:p>
    <w:p w14:paraId="60B3E484">
      <w:pPr>
        <w:pStyle w:val="19"/>
        <w:snapToGrid w:val="0"/>
        <w:spacing w:before="0" w:beforeAutospacing="0" w:afterLines="50" w:afterAutospacing="0" w:line="360" w:lineRule="auto"/>
        <w:jc w:val="center"/>
        <w:rPr>
          <w:rFonts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人防工程事故分级表</w:t>
      </w:r>
    </w:p>
    <w:tbl>
      <w:tblPr>
        <w:tblStyle w:val="1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571"/>
        <w:gridCol w:w="4678"/>
        <w:gridCol w:w="1098"/>
      </w:tblGrid>
      <w:tr w14:paraId="3EAC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14:paraId="6C59A0BA">
            <w:pPr>
              <w:pStyle w:val="19"/>
              <w:snapToGrid w:val="0"/>
              <w:spacing w:before="0" w:beforeAutospacing="0" w:after="0" w:afterAutospacing="0" w:line="560" w:lineRule="atLeast"/>
              <w:jc w:val="center"/>
              <w:rPr>
                <w:rFonts w:ascii="黑体" w:hAnsi="仿宋_GB2312" w:eastAsia="黑体"/>
                <w:kern w:val="2"/>
                <w:sz w:val="28"/>
                <w:szCs w:val="28"/>
              </w:rPr>
            </w:pPr>
            <w:r>
              <w:rPr>
                <w:rFonts w:hint="eastAsia" w:ascii="黑体" w:hAnsi="仿宋_GB2312" w:eastAsia="黑体"/>
                <w:kern w:val="2"/>
                <w:sz w:val="28"/>
                <w:szCs w:val="28"/>
              </w:rPr>
              <w:t>级别</w:t>
            </w:r>
          </w:p>
        </w:tc>
        <w:tc>
          <w:tcPr>
            <w:tcW w:w="2571" w:type="dxa"/>
          </w:tcPr>
          <w:p w14:paraId="6E6CDE34">
            <w:pPr>
              <w:pStyle w:val="19"/>
              <w:snapToGrid w:val="0"/>
              <w:spacing w:before="0" w:beforeAutospacing="0" w:after="0" w:afterAutospacing="0" w:line="560" w:lineRule="atLeast"/>
              <w:jc w:val="center"/>
              <w:rPr>
                <w:rFonts w:ascii="黑体" w:hAnsi="仿宋_GB2312" w:eastAsia="黑体"/>
                <w:kern w:val="2"/>
                <w:sz w:val="28"/>
                <w:szCs w:val="28"/>
              </w:rPr>
            </w:pPr>
            <w:r>
              <w:rPr>
                <w:rFonts w:hint="eastAsia" w:ascii="黑体" w:hAnsi="仿宋_GB2312" w:eastAsia="黑体"/>
                <w:kern w:val="2"/>
                <w:sz w:val="28"/>
                <w:szCs w:val="28"/>
              </w:rPr>
              <w:t>严重程度</w:t>
            </w:r>
          </w:p>
        </w:tc>
        <w:tc>
          <w:tcPr>
            <w:tcW w:w="4678" w:type="dxa"/>
          </w:tcPr>
          <w:p w14:paraId="7861FB68">
            <w:pPr>
              <w:pStyle w:val="19"/>
              <w:snapToGrid w:val="0"/>
              <w:spacing w:before="0" w:beforeAutospacing="0" w:after="0" w:afterAutospacing="0" w:line="560" w:lineRule="atLeast"/>
              <w:jc w:val="center"/>
              <w:rPr>
                <w:rFonts w:ascii="黑体" w:hAnsi="仿宋_GB2312" w:eastAsia="黑体"/>
                <w:kern w:val="2"/>
                <w:sz w:val="28"/>
                <w:szCs w:val="28"/>
              </w:rPr>
            </w:pPr>
            <w:r>
              <w:rPr>
                <w:rFonts w:hint="eastAsia" w:ascii="黑体" w:hAnsi="仿宋_GB2312" w:eastAsia="黑体"/>
                <w:kern w:val="2"/>
                <w:sz w:val="28"/>
                <w:szCs w:val="28"/>
              </w:rPr>
              <w:t>造成后果</w:t>
            </w:r>
          </w:p>
        </w:tc>
        <w:tc>
          <w:tcPr>
            <w:tcW w:w="1098" w:type="dxa"/>
          </w:tcPr>
          <w:p w14:paraId="491ABFB8">
            <w:pPr>
              <w:pStyle w:val="19"/>
              <w:snapToGrid w:val="0"/>
              <w:spacing w:before="0" w:beforeAutospacing="0" w:after="0" w:afterAutospacing="0" w:line="560" w:lineRule="atLeast"/>
              <w:jc w:val="center"/>
              <w:rPr>
                <w:rFonts w:ascii="黑体" w:hAnsi="仿宋_GB2312" w:eastAsia="黑体"/>
                <w:kern w:val="2"/>
                <w:sz w:val="28"/>
                <w:szCs w:val="28"/>
              </w:rPr>
            </w:pPr>
          </w:p>
        </w:tc>
      </w:tr>
      <w:tr w14:paraId="66E8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467CF7A4">
            <w:pPr>
              <w:pStyle w:val="19"/>
              <w:snapToGrid w:val="0"/>
              <w:spacing w:before="0" w:beforeAutospacing="0" w:after="0" w:afterAutospacing="0" w:line="560" w:lineRule="atLeast"/>
              <w:jc w:val="center"/>
              <w:rPr>
                <w:rFonts w:ascii="仿宋_GB2312" w:hAnsi="仿宋_GB2312" w:eastAsia="仿宋_GB2312"/>
                <w:kern w:val="2"/>
                <w:sz w:val="32"/>
                <w:szCs w:val="32"/>
              </w:rPr>
            </w:pPr>
            <w:r>
              <w:rPr>
                <w:rFonts w:hint="eastAsia"/>
                <w:kern w:val="2"/>
                <w:sz w:val="21"/>
                <w:szCs w:val="21"/>
              </w:rPr>
              <w:t>Ⅰ级</w:t>
            </w:r>
          </w:p>
        </w:tc>
        <w:tc>
          <w:tcPr>
            <w:tcW w:w="2571" w:type="dxa"/>
            <w:vAlign w:val="center"/>
          </w:tcPr>
          <w:p w14:paraId="297F90F6">
            <w:pPr>
              <w:pStyle w:val="19"/>
              <w:snapToGrid w:val="0"/>
              <w:spacing w:before="0" w:beforeAutospacing="0" w:after="0" w:afterAutospacing="0" w:line="400" w:lineRule="exact"/>
              <w:jc w:val="center"/>
              <w:rPr>
                <w:kern w:val="2"/>
                <w:sz w:val="21"/>
                <w:szCs w:val="21"/>
              </w:rPr>
            </w:pPr>
            <w:r>
              <w:rPr>
                <w:rFonts w:hint="eastAsia"/>
                <w:kern w:val="2"/>
                <w:sz w:val="21"/>
                <w:szCs w:val="21"/>
              </w:rPr>
              <w:t>特别重大</w:t>
            </w:r>
          </w:p>
        </w:tc>
        <w:tc>
          <w:tcPr>
            <w:tcW w:w="4678" w:type="dxa"/>
          </w:tcPr>
          <w:p w14:paraId="595A4A42">
            <w:pPr>
              <w:pStyle w:val="19"/>
              <w:snapToGrid w:val="0"/>
              <w:spacing w:before="0" w:beforeAutospacing="0" w:after="0" w:afterAutospacing="0" w:line="320" w:lineRule="exact"/>
              <w:rPr>
                <w:kern w:val="2"/>
                <w:sz w:val="21"/>
                <w:szCs w:val="21"/>
              </w:rPr>
            </w:pPr>
            <w:r>
              <w:rPr>
                <w:rFonts w:hint="eastAsia"/>
                <w:kern w:val="2"/>
                <w:sz w:val="21"/>
                <w:szCs w:val="21"/>
              </w:rPr>
              <w:t>造成30人以上死亡（含失踪），或危及30人以上生命安全，或l亿元以上直接经济损失，或100人以上重伤的人防工程事故</w:t>
            </w:r>
          </w:p>
        </w:tc>
        <w:tc>
          <w:tcPr>
            <w:tcW w:w="1098" w:type="dxa"/>
          </w:tcPr>
          <w:p w14:paraId="0CFD103D">
            <w:pPr>
              <w:pStyle w:val="19"/>
              <w:snapToGrid w:val="0"/>
              <w:spacing w:before="0" w:beforeAutospacing="0" w:after="0" w:afterAutospacing="0" w:line="560" w:lineRule="atLeast"/>
              <w:rPr>
                <w:rFonts w:ascii="仿宋_GB2312" w:hAnsi="仿宋_GB2312" w:eastAsia="仿宋_GB2312"/>
                <w:kern w:val="2"/>
                <w:sz w:val="32"/>
                <w:szCs w:val="32"/>
              </w:rPr>
            </w:pPr>
          </w:p>
        </w:tc>
      </w:tr>
      <w:tr w14:paraId="005C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174C58C9">
            <w:pPr>
              <w:pStyle w:val="19"/>
              <w:snapToGrid w:val="0"/>
              <w:spacing w:before="0" w:beforeAutospacing="0" w:after="0" w:afterAutospacing="0" w:line="560" w:lineRule="atLeast"/>
              <w:jc w:val="center"/>
              <w:rPr>
                <w:rFonts w:ascii="仿宋_GB2312" w:hAnsi="仿宋_GB2312" w:eastAsia="仿宋_GB2312"/>
                <w:kern w:val="2"/>
                <w:sz w:val="32"/>
                <w:szCs w:val="32"/>
              </w:rPr>
            </w:pPr>
            <w:r>
              <w:rPr>
                <w:rFonts w:hint="eastAsia"/>
                <w:kern w:val="2"/>
                <w:sz w:val="21"/>
                <w:szCs w:val="21"/>
              </w:rPr>
              <w:t>Ⅱ级</w:t>
            </w:r>
          </w:p>
        </w:tc>
        <w:tc>
          <w:tcPr>
            <w:tcW w:w="2571" w:type="dxa"/>
            <w:vAlign w:val="center"/>
          </w:tcPr>
          <w:p w14:paraId="6C6A6365">
            <w:pPr>
              <w:pStyle w:val="19"/>
              <w:snapToGrid w:val="0"/>
              <w:spacing w:before="0" w:beforeAutospacing="0" w:after="0" w:afterAutospacing="0" w:line="400" w:lineRule="exact"/>
              <w:jc w:val="center"/>
              <w:rPr>
                <w:kern w:val="2"/>
                <w:sz w:val="21"/>
                <w:szCs w:val="21"/>
              </w:rPr>
            </w:pPr>
            <w:r>
              <w:rPr>
                <w:rFonts w:hint="eastAsia"/>
                <w:kern w:val="2"/>
                <w:sz w:val="21"/>
                <w:szCs w:val="21"/>
              </w:rPr>
              <w:t>重大</w:t>
            </w:r>
          </w:p>
        </w:tc>
        <w:tc>
          <w:tcPr>
            <w:tcW w:w="4678" w:type="dxa"/>
          </w:tcPr>
          <w:p w14:paraId="186E59AA">
            <w:pPr>
              <w:pStyle w:val="19"/>
              <w:snapToGrid w:val="0"/>
              <w:spacing w:before="0" w:beforeAutospacing="0" w:after="0" w:afterAutospacing="0" w:line="320" w:lineRule="exact"/>
              <w:rPr>
                <w:rFonts w:ascii="仿宋_GB2312" w:hAnsi="仿宋_GB2312" w:eastAsia="仿宋_GB2312"/>
                <w:kern w:val="2"/>
                <w:sz w:val="32"/>
                <w:szCs w:val="32"/>
              </w:rPr>
            </w:pPr>
            <w:r>
              <w:rPr>
                <w:rFonts w:hint="eastAsia"/>
                <w:kern w:val="2"/>
                <w:sz w:val="21"/>
                <w:szCs w:val="21"/>
              </w:rPr>
              <w:t>造成10人以上、30人以下死亡（含失踪），或危及10人以上、30人以下生命安全，或直接经济损失5000万元以上、l亿元以下，或50人以上、100人以下重伤的人防工程事故</w:t>
            </w:r>
          </w:p>
        </w:tc>
        <w:tc>
          <w:tcPr>
            <w:tcW w:w="1098" w:type="dxa"/>
          </w:tcPr>
          <w:p w14:paraId="31F8AB25">
            <w:pPr>
              <w:pStyle w:val="19"/>
              <w:snapToGrid w:val="0"/>
              <w:spacing w:before="0" w:beforeAutospacing="0" w:after="0" w:afterAutospacing="0" w:line="560" w:lineRule="atLeast"/>
              <w:rPr>
                <w:rFonts w:ascii="仿宋_GB2312" w:hAnsi="仿宋_GB2312" w:eastAsia="仿宋_GB2312"/>
                <w:kern w:val="2"/>
                <w:sz w:val="32"/>
                <w:szCs w:val="32"/>
              </w:rPr>
            </w:pPr>
          </w:p>
        </w:tc>
      </w:tr>
      <w:tr w14:paraId="525A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1B231737">
            <w:pPr>
              <w:pStyle w:val="19"/>
              <w:snapToGrid w:val="0"/>
              <w:spacing w:before="0" w:beforeAutospacing="0" w:after="0" w:afterAutospacing="0" w:line="560" w:lineRule="atLeast"/>
              <w:jc w:val="center"/>
              <w:rPr>
                <w:rFonts w:ascii="仿宋_GB2312" w:hAnsi="仿宋_GB2312" w:eastAsia="仿宋_GB2312"/>
                <w:kern w:val="2"/>
                <w:sz w:val="32"/>
                <w:szCs w:val="32"/>
              </w:rPr>
            </w:pPr>
            <w:r>
              <w:rPr>
                <w:rFonts w:hint="eastAsia"/>
                <w:kern w:val="2"/>
                <w:sz w:val="21"/>
                <w:szCs w:val="21"/>
              </w:rPr>
              <w:t>Ⅲ级</w:t>
            </w:r>
          </w:p>
        </w:tc>
        <w:tc>
          <w:tcPr>
            <w:tcW w:w="2571" w:type="dxa"/>
            <w:vAlign w:val="center"/>
          </w:tcPr>
          <w:p w14:paraId="63167495">
            <w:pPr>
              <w:pStyle w:val="19"/>
              <w:snapToGrid w:val="0"/>
              <w:spacing w:before="0" w:beforeAutospacing="0" w:after="0" w:afterAutospacing="0" w:line="400" w:lineRule="exact"/>
              <w:jc w:val="center"/>
              <w:rPr>
                <w:kern w:val="2"/>
                <w:sz w:val="21"/>
                <w:szCs w:val="21"/>
              </w:rPr>
            </w:pPr>
            <w:r>
              <w:rPr>
                <w:rFonts w:hint="eastAsia"/>
                <w:kern w:val="2"/>
                <w:sz w:val="21"/>
                <w:szCs w:val="21"/>
              </w:rPr>
              <w:t>较大</w:t>
            </w:r>
          </w:p>
        </w:tc>
        <w:tc>
          <w:tcPr>
            <w:tcW w:w="4678" w:type="dxa"/>
          </w:tcPr>
          <w:p w14:paraId="287ED01A">
            <w:pPr>
              <w:pStyle w:val="19"/>
              <w:snapToGrid w:val="0"/>
              <w:spacing w:before="0" w:beforeAutospacing="0" w:after="0" w:afterAutospacing="0" w:line="320" w:lineRule="exact"/>
              <w:rPr>
                <w:kern w:val="2"/>
                <w:sz w:val="21"/>
                <w:szCs w:val="21"/>
              </w:rPr>
            </w:pPr>
            <w:r>
              <w:rPr>
                <w:rFonts w:hint="eastAsia"/>
                <w:kern w:val="2"/>
                <w:sz w:val="21"/>
                <w:szCs w:val="21"/>
              </w:rPr>
              <w:t>造成3人以上、10人以下死亡（含失踪），或危及3人以上、10人以下生命安全，或直接经济损失1000万元以上、5000万元以下，或10人以上、50人以下重伤的人防工程事故</w:t>
            </w:r>
          </w:p>
        </w:tc>
        <w:tc>
          <w:tcPr>
            <w:tcW w:w="1098" w:type="dxa"/>
          </w:tcPr>
          <w:p w14:paraId="3AD6C6E2">
            <w:pPr>
              <w:pStyle w:val="19"/>
              <w:snapToGrid w:val="0"/>
              <w:spacing w:before="0" w:beforeAutospacing="0" w:after="0" w:afterAutospacing="0" w:line="560" w:lineRule="atLeast"/>
              <w:rPr>
                <w:rFonts w:ascii="仿宋_GB2312" w:hAnsi="仿宋_GB2312" w:eastAsia="仿宋_GB2312"/>
                <w:kern w:val="2"/>
                <w:sz w:val="32"/>
                <w:szCs w:val="32"/>
              </w:rPr>
            </w:pPr>
          </w:p>
        </w:tc>
      </w:tr>
      <w:tr w14:paraId="628F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7FBA7082">
            <w:pPr>
              <w:pStyle w:val="19"/>
              <w:snapToGrid w:val="0"/>
              <w:spacing w:before="0" w:beforeAutospacing="0" w:after="0" w:afterAutospacing="0" w:line="560" w:lineRule="atLeast"/>
              <w:jc w:val="center"/>
              <w:rPr>
                <w:rFonts w:ascii="仿宋_GB2312" w:hAnsi="仿宋_GB2312" w:eastAsia="仿宋_GB2312"/>
                <w:kern w:val="2"/>
                <w:sz w:val="32"/>
                <w:szCs w:val="32"/>
              </w:rPr>
            </w:pPr>
            <w:r>
              <w:rPr>
                <w:rFonts w:hint="eastAsia"/>
                <w:kern w:val="2"/>
                <w:sz w:val="21"/>
                <w:szCs w:val="21"/>
              </w:rPr>
              <w:t>Ⅳ级</w:t>
            </w:r>
          </w:p>
        </w:tc>
        <w:tc>
          <w:tcPr>
            <w:tcW w:w="2571" w:type="dxa"/>
            <w:vAlign w:val="center"/>
          </w:tcPr>
          <w:p w14:paraId="75741271">
            <w:pPr>
              <w:pStyle w:val="19"/>
              <w:snapToGrid w:val="0"/>
              <w:spacing w:before="0" w:beforeAutospacing="0" w:after="0" w:afterAutospacing="0" w:line="360" w:lineRule="exact"/>
              <w:jc w:val="center"/>
              <w:rPr>
                <w:rFonts w:ascii="仿宋_GB2312" w:hAnsi="仿宋_GB2312" w:eastAsia="仿宋_GB2312"/>
                <w:kern w:val="2"/>
                <w:sz w:val="32"/>
                <w:szCs w:val="32"/>
              </w:rPr>
            </w:pPr>
            <w:r>
              <w:rPr>
                <w:rFonts w:hint="eastAsia"/>
                <w:kern w:val="2"/>
                <w:sz w:val="21"/>
                <w:szCs w:val="21"/>
              </w:rPr>
              <w:t>一般</w:t>
            </w:r>
          </w:p>
        </w:tc>
        <w:tc>
          <w:tcPr>
            <w:tcW w:w="4678" w:type="dxa"/>
          </w:tcPr>
          <w:p w14:paraId="5849E340">
            <w:pPr>
              <w:pStyle w:val="19"/>
              <w:snapToGrid w:val="0"/>
              <w:spacing w:before="0" w:beforeAutospacing="0" w:after="0" w:afterAutospacing="0" w:line="320" w:lineRule="exact"/>
              <w:rPr>
                <w:kern w:val="2"/>
                <w:sz w:val="21"/>
                <w:szCs w:val="21"/>
              </w:rPr>
            </w:pPr>
            <w:r>
              <w:rPr>
                <w:rFonts w:hint="eastAsia"/>
                <w:kern w:val="2"/>
                <w:sz w:val="21"/>
                <w:szCs w:val="21"/>
              </w:rPr>
              <w:t>造成3人以下死亡（含失踪），或危及3人以下生命安全，或1000万元以下直接经济损失，或10人以下重伤的人防工程事故</w:t>
            </w:r>
          </w:p>
        </w:tc>
        <w:tc>
          <w:tcPr>
            <w:tcW w:w="1098" w:type="dxa"/>
          </w:tcPr>
          <w:p w14:paraId="5177930E">
            <w:pPr>
              <w:pStyle w:val="19"/>
              <w:snapToGrid w:val="0"/>
              <w:spacing w:before="0" w:beforeAutospacing="0" w:after="0" w:afterAutospacing="0" w:line="560" w:lineRule="atLeast"/>
              <w:rPr>
                <w:rFonts w:ascii="仿宋_GB2312" w:hAnsi="仿宋_GB2312" w:eastAsia="仿宋_GB2312"/>
                <w:kern w:val="2"/>
                <w:sz w:val="32"/>
                <w:szCs w:val="32"/>
              </w:rPr>
            </w:pPr>
          </w:p>
        </w:tc>
      </w:tr>
      <w:tr w14:paraId="1CD1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tcPr>
          <w:p w14:paraId="375E65A6">
            <w:pPr>
              <w:pStyle w:val="19"/>
              <w:snapToGrid w:val="0"/>
              <w:spacing w:before="0" w:beforeAutospacing="0" w:after="0" w:afterAutospacing="0" w:line="400" w:lineRule="exact"/>
              <w:jc w:val="center"/>
              <w:rPr>
                <w:kern w:val="2"/>
                <w:sz w:val="21"/>
                <w:szCs w:val="21"/>
              </w:rPr>
            </w:pPr>
            <w:r>
              <w:rPr>
                <w:rFonts w:hint="eastAsia"/>
                <w:kern w:val="2"/>
                <w:sz w:val="21"/>
                <w:szCs w:val="21"/>
              </w:rPr>
              <w:t>备注</w:t>
            </w:r>
          </w:p>
        </w:tc>
        <w:tc>
          <w:tcPr>
            <w:tcW w:w="8347" w:type="dxa"/>
            <w:gridSpan w:val="3"/>
          </w:tcPr>
          <w:p w14:paraId="173866C2">
            <w:pPr>
              <w:pStyle w:val="19"/>
              <w:snapToGrid w:val="0"/>
              <w:spacing w:before="0" w:beforeAutospacing="0" w:after="0" w:afterAutospacing="0" w:line="400" w:lineRule="exact"/>
              <w:rPr>
                <w:kern w:val="2"/>
                <w:sz w:val="21"/>
                <w:szCs w:val="21"/>
              </w:rPr>
            </w:pPr>
            <w:r>
              <w:rPr>
                <w:rFonts w:hint="eastAsia"/>
                <w:kern w:val="2"/>
                <w:sz w:val="21"/>
                <w:szCs w:val="21"/>
              </w:rPr>
              <w:t>本款所称的“以上”包含本数，所称“以下”不包含本数</w:t>
            </w:r>
          </w:p>
        </w:tc>
      </w:tr>
    </w:tbl>
    <w:p w14:paraId="08E39C7A">
      <w:pPr>
        <w:pStyle w:val="19"/>
        <w:snapToGrid w:val="0"/>
        <w:spacing w:before="0" w:beforeAutospacing="0" w:after="0" w:afterAutospacing="0" w:line="400" w:lineRule="exact"/>
        <w:rPr>
          <w:kern w:val="2"/>
          <w:sz w:val="21"/>
          <w:szCs w:val="21"/>
        </w:rPr>
      </w:pPr>
    </w:p>
    <w:p w14:paraId="35CD091B"/>
    <w:p w14:paraId="4C36DD51">
      <w:pPr>
        <w:pStyle w:val="2"/>
      </w:pPr>
    </w:p>
    <w:p w14:paraId="1A6E82E4"/>
    <w:p w14:paraId="3E15A91C"/>
    <w:p w14:paraId="3149B3B5"/>
    <w:p w14:paraId="7831ECDA"/>
    <w:p w14:paraId="1DAC47A7"/>
    <w:p w14:paraId="1E9A1F4D"/>
    <w:p w14:paraId="2E981DA4"/>
    <w:p w14:paraId="179139DA"/>
    <w:p w14:paraId="4223BE7B">
      <w:pPr>
        <w:spacing w:beforeLines="100" w:afterLines="100"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bCs/>
          <w:kern w:val="0"/>
          <w:sz w:val="44"/>
          <w:szCs w:val="44"/>
        </w:rPr>
        <w:t>烟台高新区建筑工程事故</w:t>
      </w:r>
      <w:r>
        <w:rPr>
          <w:rFonts w:hint="eastAsia" w:ascii="方正小标宋简体" w:hAnsi="Helvetica" w:eastAsia="方正小标宋简体" w:cs="Helvetica"/>
          <w:sz w:val="44"/>
          <w:szCs w:val="44"/>
        </w:rPr>
        <w:t>专项</w:t>
      </w:r>
      <w:r>
        <w:rPr>
          <w:rFonts w:hint="eastAsia" w:ascii="方正小标宋简体" w:hAnsi="宋体" w:eastAsia="方正小标宋简体" w:cs="宋体"/>
          <w:bCs/>
          <w:kern w:val="0"/>
          <w:sz w:val="44"/>
          <w:szCs w:val="44"/>
        </w:rPr>
        <w:t>应急预案</w:t>
      </w:r>
    </w:p>
    <w:p w14:paraId="1A02AC9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为提高建设工程生产质量安全事故应急快速反应能力，确保科学、及时、有效地应对建设工程质量安全事故，结合我区建设工程安全生产实际，制定本预案。</w:t>
      </w:r>
    </w:p>
    <w:p w14:paraId="0503C399">
      <w:pPr>
        <w:spacing w:line="560" w:lineRule="exact"/>
        <w:ind w:firstLine="640" w:firstLineChars="200"/>
        <w:rPr>
          <w:rFonts w:ascii="黑体" w:hAnsi="宋体" w:eastAsia="黑体" w:cs="宋体"/>
          <w:kern w:val="0"/>
          <w:sz w:val="32"/>
          <w:szCs w:val="32"/>
        </w:rPr>
      </w:pPr>
      <w:r>
        <w:rPr>
          <w:rFonts w:hint="eastAsia" w:ascii="黑体" w:hAnsi="宋体" w:eastAsia="黑体" w:cs="宋体"/>
          <w:bCs/>
          <w:kern w:val="0"/>
          <w:sz w:val="32"/>
          <w:szCs w:val="32"/>
        </w:rPr>
        <w:t>一、总则</w:t>
      </w:r>
    </w:p>
    <w:p w14:paraId="1E5C9B40">
      <w:pPr>
        <w:spacing w:line="560" w:lineRule="exact"/>
        <w:ind w:firstLine="640" w:firstLineChars="200"/>
        <w:rPr>
          <w:rFonts w:ascii="黑体" w:hAnsi="宋体" w:eastAsia="黑体" w:cs="宋体"/>
          <w:kern w:val="0"/>
          <w:sz w:val="32"/>
          <w:szCs w:val="32"/>
        </w:rPr>
      </w:pPr>
      <w:r>
        <w:rPr>
          <w:rFonts w:hint="eastAsia" w:ascii="楷体_GB2312" w:hAnsi="宋体" w:eastAsia="楷体_GB2312" w:cs="宋体"/>
          <w:kern w:val="0"/>
          <w:sz w:val="32"/>
          <w:szCs w:val="32"/>
        </w:rPr>
        <w:t>(一)编制目的</w:t>
      </w:r>
    </w:p>
    <w:p w14:paraId="6022A44E">
      <w:pPr>
        <w:spacing w:line="560" w:lineRule="exact"/>
        <w:ind w:firstLine="640" w:firstLineChars="200"/>
        <w:rPr>
          <w:rFonts w:ascii="楷体_GB2312" w:hAnsi="宋体" w:eastAsia="楷体_GB2312" w:cs="宋体"/>
          <w:kern w:val="0"/>
          <w:sz w:val="32"/>
          <w:szCs w:val="32"/>
        </w:rPr>
      </w:pPr>
      <w:r>
        <w:rPr>
          <w:rFonts w:hint="eastAsia" w:ascii="仿宋_GB2312" w:hAnsi="宋体" w:eastAsia="仿宋_GB2312" w:cs="宋体"/>
          <w:kern w:val="0"/>
          <w:sz w:val="32"/>
          <w:szCs w:val="32"/>
        </w:rPr>
        <w:t>快速、有效地处置建设工程质量安全事故和突发性气象灾害，最大限度地减少人员伤亡、财产损失以及不良社会影响，维护我区经济发展和社会稳定。</w:t>
      </w:r>
    </w:p>
    <w:p w14:paraId="624473E8">
      <w:pPr>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(二)编制依据</w:t>
      </w:r>
    </w:p>
    <w:p w14:paraId="1AF9F5E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依据国家有关法律法规和《烟台市建设工程重大质量安全事故应急预案》、《烟台市总体应急预案操作手册》，制定本预案。</w:t>
      </w:r>
    </w:p>
    <w:p w14:paraId="41ABC618">
      <w:pPr>
        <w:spacing w:line="560" w:lineRule="exact"/>
        <w:ind w:firstLine="640" w:firstLineChars="200"/>
        <w:rPr>
          <w:rFonts w:ascii="仿宋_GB2312" w:hAnsi="宋体" w:eastAsia="仿宋_GB2312" w:cs="宋体"/>
          <w:kern w:val="0"/>
          <w:sz w:val="32"/>
          <w:szCs w:val="32"/>
        </w:rPr>
      </w:pPr>
      <w:r>
        <w:rPr>
          <w:rFonts w:hint="eastAsia" w:ascii="楷体_GB2312" w:hAnsi="宋体" w:eastAsia="楷体_GB2312" w:cs="宋体"/>
          <w:kern w:val="0"/>
          <w:sz w:val="32"/>
          <w:szCs w:val="32"/>
        </w:rPr>
        <w:t>(三)适用范围</w:t>
      </w:r>
    </w:p>
    <w:p w14:paraId="5F0ABA27">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适用于我区建设工程新建、扩建、改建活动中发生质量安全事故的应急处置工作。</w:t>
      </w:r>
    </w:p>
    <w:p w14:paraId="7C479BAA">
      <w:pPr>
        <w:spacing w:line="560" w:lineRule="exact"/>
        <w:ind w:firstLine="640" w:firstLineChars="200"/>
        <w:rPr>
          <w:rFonts w:ascii="仿宋_GB2312" w:hAnsi="宋体" w:eastAsia="仿宋_GB2312" w:cs="宋体"/>
          <w:kern w:val="0"/>
          <w:sz w:val="32"/>
          <w:szCs w:val="32"/>
        </w:rPr>
      </w:pPr>
      <w:r>
        <w:rPr>
          <w:rFonts w:hint="eastAsia" w:ascii="楷体_GB2312" w:hAnsi="宋体" w:eastAsia="楷体_GB2312" w:cs="宋体"/>
          <w:kern w:val="0"/>
          <w:sz w:val="32"/>
          <w:szCs w:val="32"/>
        </w:rPr>
        <w:t>(四)工作原则</w:t>
      </w:r>
    </w:p>
    <w:p w14:paraId="39B2B31B">
      <w:pPr>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1、以人为本，明确职责。</w:t>
      </w:r>
      <w:r>
        <w:rPr>
          <w:rFonts w:hint="eastAsia" w:ascii="仿宋_GB2312" w:hAnsi="宋体" w:eastAsia="仿宋_GB2312" w:cs="宋体"/>
          <w:kern w:val="0"/>
          <w:sz w:val="32"/>
          <w:szCs w:val="32"/>
        </w:rPr>
        <w:t>以保护人民群众生命财产安全为首要目标，实行强化政府监管与规范企业经营相结合的长效管理原则；建立健全质量安全事故风险防范体系，积极预防、及时控制、消除隐患，提高事故预防和处理能力，尽可能避免或减少质量安全事故的发生。</w:t>
      </w:r>
    </w:p>
    <w:p w14:paraId="53A513A9">
      <w:pPr>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2、统一领导，分级响应。</w:t>
      </w:r>
      <w:r>
        <w:rPr>
          <w:rFonts w:hint="eastAsia" w:ascii="仿宋_GB2312" w:hAnsi="宋体" w:eastAsia="仿宋_GB2312" w:cs="宋体"/>
          <w:kern w:val="0"/>
          <w:sz w:val="32"/>
          <w:szCs w:val="32"/>
        </w:rPr>
        <w:t>在管委的统一领导下，明确各级的职责及应急工作程序，有效处置突发事件。</w:t>
      </w:r>
    </w:p>
    <w:p w14:paraId="27767C4D">
      <w:pPr>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3、统筹协调，快速反应。</w:t>
      </w:r>
      <w:r>
        <w:rPr>
          <w:rFonts w:hint="eastAsia" w:ascii="仿宋_GB2312" w:hAnsi="宋体" w:eastAsia="仿宋_GB2312" w:cs="宋体"/>
          <w:kern w:val="0"/>
          <w:sz w:val="32"/>
          <w:szCs w:val="32"/>
        </w:rPr>
        <w:t>统筹协调各级应急工作机构，建立健全快速反应机制，强化人力、物力、财力储备，增强应急处理能力；做到发现、报告、处理、控制等环节紧密衔接，一旦出现情况，快速反应，及时准确处理。</w:t>
      </w:r>
    </w:p>
    <w:p w14:paraId="3485DF18">
      <w:pPr>
        <w:spacing w:line="560" w:lineRule="exact"/>
        <w:ind w:firstLine="640" w:firstLineChars="200"/>
        <w:rPr>
          <w:rFonts w:ascii="仿宋_GB2312" w:hAnsi="宋体" w:eastAsia="仿宋_GB2312" w:cs="宋体"/>
          <w:kern w:val="0"/>
          <w:sz w:val="32"/>
          <w:szCs w:val="32"/>
        </w:rPr>
      </w:pPr>
      <w:r>
        <w:rPr>
          <w:rFonts w:hint="eastAsia" w:ascii="黑体" w:hAnsi="宋体" w:eastAsia="黑体" w:cs="宋体"/>
          <w:bCs/>
          <w:kern w:val="0"/>
          <w:sz w:val="32"/>
          <w:szCs w:val="32"/>
        </w:rPr>
        <w:t>二、组织指挥体系及职责</w:t>
      </w:r>
    </w:p>
    <w:p w14:paraId="2CD5627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在高新区工委、管委的统一领导下，成立烟台高新区建设工程事故应急领导小组。</w:t>
      </w:r>
    </w:p>
    <w:p w14:paraId="4F961A49">
      <w:pPr>
        <w:spacing w:line="560" w:lineRule="exact"/>
        <w:ind w:firstLine="640" w:firstLineChars="200"/>
        <w:rPr>
          <w:rFonts w:ascii="仿宋_GB2312" w:hAnsi="宋体" w:eastAsia="仿宋_GB2312" w:cs="宋体"/>
          <w:kern w:val="0"/>
          <w:sz w:val="32"/>
          <w:szCs w:val="32"/>
        </w:rPr>
      </w:pPr>
      <w:r>
        <w:rPr>
          <w:rFonts w:hint="eastAsia" w:ascii="楷体_GB2312" w:hAnsi="宋体" w:eastAsia="楷体_GB2312" w:cs="宋体"/>
          <w:kern w:val="0"/>
          <w:sz w:val="32"/>
          <w:szCs w:val="32"/>
        </w:rPr>
        <w:t>（一）应急领导小组</w:t>
      </w:r>
    </w:p>
    <w:p w14:paraId="50078A9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成立烟台高新区建设工程事故应急领导小组，区管委分管副主任担任组长，区规划国土建设部负责人任副组长，成员由马山街道办事处、区综合管理部、区党群工作部、区规划国土建设部、区财政金融部、应急管理分局、公安分局、区消防救援大队、卫生健康管理办公室等部门分管负责人组成。</w:t>
      </w:r>
    </w:p>
    <w:p w14:paraId="4998392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建立和完善应急组织体系和应急预案，及时了解掌握建设工程质量安全事故情况，及时向市政府和上级行业主管部门报告事故情况，指挥、协调高新区建设工程重大事故应急救援工作，组织开展事故应急救援技术研究、应急预案宣传教育工作。</w:t>
      </w:r>
    </w:p>
    <w:p w14:paraId="5D225D46">
      <w:pPr>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（二）应急领导小组办公室</w:t>
      </w:r>
    </w:p>
    <w:p w14:paraId="67609F1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建设工程事故应急领导小组设立应急领导小组办公室，办公室设在区规划国土建设部，由区规划国土建设部部长任主任，分管副部长任副主任，办公室成员由规划国土建设部相关人员组成。</w:t>
      </w:r>
    </w:p>
    <w:p w14:paraId="39B62411">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1、组成</w:t>
      </w:r>
    </w:p>
    <w:p w14:paraId="35E345E8">
      <w:pPr>
        <w:spacing w:line="560" w:lineRule="exact"/>
        <w:ind w:firstLine="640" w:firstLineChars="200"/>
        <w:rPr>
          <w:rFonts w:ascii="宋体" w:hAnsi="宋体" w:eastAsia="仿宋_GB2312" w:cs="宋体"/>
          <w:kern w:val="0"/>
          <w:sz w:val="32"/>
          <w:szCs w:val="32"/>
        </w:rPr>
      </w:pPr>
      <w:r>
        <w:rPr>
          <w:rFonts w:hint="eastAsia" w:ascii="仿宋_GB2312" w:hAnsi="宋体" w:eastAsia="仿宋_GB2312" w:cs="宋体"/>
          <w:kern w:val="0"/>
          <w:sz w:val="32"/>
          <w:szCs w:val="32"/>
        </w:rPr>
        <w:t>主  任：杨  林</w:t>
      </w:r>
    </w:p>
    <w:p w14:paraId="5783E9D4">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副主任：谭义伟、刘  聪</w:t>
      </w:r>
    </w:p>
    <w:p w14:paraId="2E7D01B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成  员： 徐  伟、于  超、曹  伟、董卫涛、袁举鹏、车  轮、王兴广</w:t>
      </w:r>
    </w:p>
    <w:p w14:paraId="5365308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2、职责</w:t>
      </w:r>
    </w:p>
    <w:p w14:paraId="6338C8C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(1)组织、指导对施工企业和人员进行质量安全知识和应急预案教育。</w:t>
      </w:r>
    </w:p>
    <w:p w14:paraId="77622E51">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(2)根据机构人员变化，及时调整建设工程质量安全事故应急机构通信网络。</w:t>
      </w:r>
    </w:p>
    <w:p w14:paraId="1BE822C2">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(3)在应急响应期间，负责应急领导小组、成员单位、现场指挥小组和专家工作组的联络，及时传达应急领导小组的指示。应急响应时，负责收集情况，提出报告和建议。</w:t>
      </w:r>
    </w:p>
    <w:p w14:paraId="52CD9DC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(4)调度车辆，配备应急灯等用具。</w:t>
      </w:r>
    </w:p>
    <w:p w14:paraId="5C70F2B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(5)落实好应急救援值班制度。</w:t>
      </w:r>
    </w:p>
    <w:p w14:paraId="50E1EB02">
      <w:pPr>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(三)应急处置现场指挥部</w:t>
      </w:r>
      <w:r>
        <w:rPr>
          <w:rFonts w:hint="eastAsia" w:ascii="仿宋_GB2312" w:hAnsi="宋体" w:eastAsia="仿宋_GB2312" w:cs="宋体"/>
          <w:kern w:val="0"/>
          <w:sz w:val="32"/>
          <w:szCs w:val="32"/>
        </w:rPr>
        <w:t>(以下简称现场指挥部)</w:t>
      </w:r>
    </w:p>
    <w:p w14:paraId="54D5C43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事故发生后，由区建设工程事故应急领导小组成立现场指挥部，领导小组组长担任现场指挥部总指挥，同时成立抢险救灾组、警戒保卫组、医疗救护组、综合协调组、应急抢险救援队、事故单位应急救援队六个小组，抢险救灾组负责组织协调其余小组，具体人员及职责如下：</w:t>
      </w:r>
    </w:p>
    <w:p w14:paraId="652EB604">
      <w:pPr>
        <w:spacing w:line="560" w:lineRule="exact"/>
        <w:ind w:firstLine="640" w:firstLineChars="200"/>
        <w:rPr>
          <w:rFonts w:ascii="仿宋_GB2312" w:hAnsi="宋体" w:eastAsia="仿宋_GB2312" w:cs="宋体"/>
          <w:kern w:val="0"/>
          <w:sz w:val="32"/>
          <w:szCs w:val="32"/>
        </w:rPr>
      </w:pPr>
      <w:r>
        <w:rPr>
          <w:rFonts w:hint="eastAsia" w:ascii="楷体_GB2312" w:hAnsi="宋体" w:eastAsia="楷体_GB2312" w:cs="宋体"/>
          <w:kern w:val="0"/>
          <w:sz w:val="32"/>
          <w:szCs w:val="32"/>
        </w:rPr>
        <w:t>1、抢险救灾组</w:t>
      </w:r>
    </w:p>
    <w:p w14:paraId="590D216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由区规划国土建设部副部长谭义伟任组长，区规划国土建设部相关工作人员、烟台市住房和城乡建设执法监察支队高新区分站相关人员为成员。</w:t>
      </w:r>
    </w:p>
    <w:p w14:paraId="7BE6CC2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具体职责：</w:t>
      </w:r>
    </w:p>
    <w:p w14:paraId="039C4B24">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依据掌握的信息情况制定救援处置方案，并组织实施；组织抢救事故现场人员、物资财产；及时向应急处置现场指挥部报告抢险救灾进展情况；担负事故现场的工程设施安全性鉴定；研究现场处置方案、提出相应对策和意见；研究分析事故原因和有关情况。</w:t>
      </w:r>
    </w:p>
    <w:p w14:paraId="0AAFBE28">
      <w:pPr>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2、警戒保卫组</w:t>
      </w:r>
    </w:p>
    <w:p w14:paraId="1E5584CC">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由区公安分局副局长刘奎玉任组长，马山街道办事处</w:t>
      </w:r>
      <w:r>
        <w:rPr>
          <w:rFonts w:ascii="仿宋_GB2312" w:hAnsi="宋体" w:eastAsia="仿宋_GB2312" w:cs="宋体"/>
          <w:kern w:val="0"/>
          <w:sz w:val="32"/>
          <w:szCs w:val="32"/>
        </w:rPr>
        <w:t>(</w:t>
      </w:r>
      <w:r>
        <w:rPr>
          <w:rFonts w:hint="eastAsia" w:ascii="仿宋_GB2312" w:hAnsi="宋体" w:eastAsia="仿宋_GB2312" w:cs="宋体"/>
          <w:kern w:val="0"/>
          <w:sz w:val="32"/>
          <w:szCs w:val="32"/>
        </w:rPr>
        <w:t>通海管理处、辛安管理处、金山湾管理处</w:t>
      </w:r>
      <w:r>
        <w:rPr>
          <w:rFonts w:ascii="仿宋_GB2312" w:hAnsi="宋体" w:eastAsia="仿宋_GB2312" w:cs="宋体"/>
          <w:kern w:val="0"/>
          <w:sz w:val="32"/>
          <w:szCs w:val="32"/>
        </w:rPr>
        <w:t>)</w:t>
      </w:r>
      <w:r>
        <w:rPr>
          <w:rFonts w:hint="eastAsia" w:ascii="仿宋_GB2312" w:hAnsi="宋体" w:eastAsia="仿宋_GB2312" w:cs="宋体"/>
          <w:kern w:val="0"/>
          <w:sz w:val="32"/>
          <w:szCs w:val="32"/>
        </w:rPr>
        <w:t>、区公安分局、区消防救援大队等有关负责人为成员。</w:t>
      </w:r>
    </w:p>
    <w:p w14:paraId="40DC3CD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具体职责：</w:t>
      </w:r>
    </w:p>
    <w:p w14:paraId="0913108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及时封闭或半封闭事故现场，划定警戒区，严禁无关人员进入现场；保障抢险救援车辆及运送物资人员车辆畅通无阻；组织疏导事故现场人员，疏散物资，维护现场秩序；保护事故现场。</w:t>
      </w:r>
    </w:p>
    <w:p w14:paraId="6511F63D">
      <w:pPr>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3、医疗救护组</w:t>
      </w:r>
    </w:p>
    <w:p w14:paraId="0DC40C4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市卫健委高新区管理办公室刘京波任组长，业务科室和高新区医院相关人员为成员。</w:t>
      </w:r>
    </w:p>
    <w:p w14:paraId="10CD2C41">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具体职责：</w:t>
      </w:r>
    </w:p>
    <w:p w14:paraId="3629D4A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负责组织医疗卫生应急救援队伍，提供医疗保障；负责事故中受伤人员的救护工作。</w:t>
      </w:r>
    </w:p>
    <w:p w14:paraId="295D75D3">
      <w:pPr>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4、综合协调组</w:t>
      </w:r>
    </w:p>
    <w:p w14:paraId="280BA82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由规划国土建设部谭义伟同志任组长，区综合管理部、区党群工作部、应急管理分局、区财政金融部、区公安分局、马山街道办事处</w:t>
      </w:r>
      <w:r>
        <w:rPr>
          <w:rFonts w:ascii="仿宋_GB2312" w:hAnsi="宋体" w:eastAsia="仿宋_GB2312" w:cs="宋体"/>
          <w:kern w:val="0"/>
          <w:sz w:val="32"/>
          <w:szCs w:val="32"/>
        </w:rPr>
        <w:t>(</w:t>
      </w:r>
      <w:r>
        <w:rPr>
          <w:rFonts w:hint="eastAsia" w:ascii="仿宋_GB2312" w:hAnsi="宋体" w:eastAsia="仿宋_GB2312" w:cs="宋体"/>
          <w:kern w:val="0"/>
          <w:sz w:val="32"/>
          <w:szCs w:val="32"/>
        </w:rPr>
        <w:t>通海管理处、辛安管理处、金山湾管理处</w:t>
      </w:r>
      <w:r>
        <w:rPr>
          <w:rFonts w:ascii="仿宋_GB2312" w:hAnsi="宋体" w:eastAsia="仿宋_GB2312" w:cs="宋体"/>
          <w:kern w:val="0"/>
          <w:sz w:val="32"/>
          <w:szCs w:val="32"/>
        </w:rPr>
        <w:t>)</w:t>
      </w:r>
      <w:r>
        <w:rPr>
          <w:rFonts w:hint="eastAsia" w:ascii="仿宋_GB2312" w:hAnsi="宋体" w:eastAsia="仿宋_GB2312" w:cs="宋体"/>
          <w:kern w:val="0"/>
          <w:sz w:val="32"/>
          <w:szCs w:val="32"/>
        </w:rPr>
        <w:t>及事故单位等有关负责人为成员。</w:t>
      </w:r>
    </w:p>
    <w:p w14:paraId="0F2DCC71">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具体职责：</w:t>
      </w:r>
    </w:p>
    <w:p w14:paraId="485F29B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做好后勤保障和综合协调工作；协调做好善后处理工作；协调组织情况上报，新闻、信息发布等工作。</w:t>
      </w:r>
    </w:p>
    <w:p w14:paraId="25666E93">
      <w:pPr>
        <w:spacing w:line="560" w:lineRule="exact"/>
        <w:ind w:firstLine="640" w:firstLineChars="200"/>
        <w:rPr>
          <w:rFonts w:ascii="仿宋_GB2312" w:hAnsi="宋体" w:eastAsia="仿宋_GB2312" w:cs="宋体"/>
          <w:kern w:val="0"/>
          <w:sz w:val="32"/>
          <w:szCs w:val="32"/>
        </w:rPr>
      </w:pPr>
      <w:r>
        <w:rPr>
          <w:rFonts w:hint="eastAsia" w:ascii="楷体_GB2312" w:hAnsi="宋体" w:eastAsia="楷体_GB2312" w:cs="宋体"/>
          <w:kern w:val="0"/>
          <w:sz w:val="32"/>
          <w:szCs w:val="32"/>
        </w:rPr>
        <w:t>5、应急抢险救援队</w:t>
      </w:r>
    </w:p>
    <w:p w14:paraId="2398DB2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确定由烟台市海兴建设工程有限公司编成应急抢险救援队伍，队长：纪海亭（总经理），电话：13606383219。抢险队设队长1名、副队长1名、电工2名、焊工2名、架子工4人、吊装工4名、驾驶员1名、普工4名，共19名。集中配备以下装备待用：客货两用车1辆、电工工具2套、木工工具1套、气割气焊1套、电焊机1台、钢筋钳2把、棕绳200米以及安全帽、应急灯、雨具等抢险配套工具若干。</w:t>
      </w:r>
    </w:p>
    <w:p w14:paraId="2CE8666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发生重特大安全事故出现抢险队不足时，由区突发公共事件领导小组办公室根据实际需要从区属在建工程施工单位中组建抢险救援队，参入抢险救援工作。</w:t>
      </w:r>
    </w:p>
    <w:p w14:paraId="29921408">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具体职责：</w:t>
      </w:r>
    </w:p>
    <w:p w14:paraId="2FB2295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服从应急处置现场指挥部的统一指挥，及时派遣队伍实施抢险救援工作。落实应急抢险救援人员，并进行应急抢险救援纪律、程序和注意事项的教育；按规定配全集中存放配备、装备，并派专人负责。</w:t>
      </w:r>
    </w:p>
    <w:p w14:paraId="706A7F72">
      <w:pPr>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6、事故单位应急救援队</w:t>
      </w:r>
    </w:p>
    <w:p w14:paraId="3B6E04F5">
      <w:pPr>
        <w:spacing w:line="560" w:lineRule="exact"/>
        <w:ind w:firstLine="640" w:firstLineChars="200"/>
        <w:rPr>
          <w:rFonts w:ascii="宋体" w:hAnsi="宋体" w:eastAsia="仿宋_GB2312" w:cs="宋体"/>
          <w:kern w:val="0"/>
          <w:sz w:val="32"/>
          <w:szCs w:val="32"/>
        </w:rPr>
      </w:pPr>
      <w:r>
        <w:rPr>
          <w:rFonts w:hint="eastAsia" w:ascii="宋体" w:hAnsi="宋体" w:eastAsia="仿宋_GB2312" w:cs="宋体"/>
          <w:kern w:val="0"/>
          <w:sz w:val="32"/>
          <w:szCs w:val="32"/>
        </w:rPr>
        <w:t>事故发生单位应按本单位的应急预案立即组织应急救援队。</w:t>
      </w:r>
    </w:p>
    <w:p w14:paraId="0152730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具体职责：</w:t>
      </w:r>
    </w:p>
    <w:p w14:paraId="4D7EE32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发生事件，第一时间上报并组织进行自救；配合相关部门处置好善后工作。</w:t>
      </w:r>
    </w:p>
    <w:p w14:paraId="608ED44F">
      <w:pPr>
        <w:spacing w:line="560" w:lineRule="exact"/>
        <w:ind w:firstLine="640" w:firstLineChars="200"/>
        <w:rPr>
          <w:rFonts w:ascii="仿宋_GB2312" w:hAnsi="宋体" w:eastAsia="仿宋_GB2312" w:cs="宋体"/>
          <w:kern w:val="0"/>
          <w:sz w:val="32"/>
          <w:szCs w:val="32"/>
        </w:rPr>
      </w:pPr>
      <w:r>
        <w:rPr>
          <w:rFonts w:hint="eastAsia" w:ascii="黑体" w:hAnsi="宋体" w:eastAsia="黑体" w:cs="宋体"/>
          <w:bCs/>
          <w:kern w:val="0"/>
          <w:sz w:val="32"/>
          <w:szCs w:val="32"/>
        </w:rPr>
        <w:t>三、事故分级</w:t>
      </w:r>
    </w:p>
    <w:p w14:paraId="6240DA3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按事故的严重程度和影响范围，将建设工程质量安全事故分为特别重大、重大、较大、一般事故四级。</w:t>
      </w:r>
    </w:p>
    <w:p w14:paraId="5608371C">
      <w:pPr>
        <w:spacing w:line="560" w:lineRule="exact"/>
        <w:ind w:firstLine="640" w:firstLineChars="200"/>
        <w:rPr>
          <w:rFonts w:ascii="仿宋_GB2312" w:hAnsi="宋体" w:eastAsia="仿宋_GB2312" w:cs="宋体"/>
          <w:kern w:val="0"/>
          <w:sz w:val="32"/>
          <w:szCs w:val="32"/>
        </w:rPr>
      </w:pPr>
      <w:r>
        <w:rPr>
          <w:rFonts w:hint="eastAsia" w:ascii="楷体_GB2312" w:hAnsi="宋体" w:eastAsia="楷体_GB2312" w:cs="宋体"/>
          <w:kern w:val="0"/>
          <w:sz w:val="32"/>
          <w:szCs w:val="32"/>
        </w:rPr>
        <w:t>(一)特别重大事故(I级)</w:t>
      </w:r>
    </w:p>
    <w:p w14:paraId="35A9A09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建设工程新建、扩建、改建、拆除活动中，发生一次死亡30人（含）以上，或一次造成直接经济损失1亿元（含）以上的事故和事故险情。</w:t>
      </w:r>
    </w:p>
    <w:p w14:paraId="27AAB5FC">
      <w:pPr>
        <w:spacing w:line="560" w:lineRule="exact"/>
        <w:ind w:firstLine="640" w:firstLineChars="200"/>
        <w:rPr>
          <w:rFonts w:ascii="仿宋_GB2312" w:hAnsi="宋体" w:eastAsia="仿宋_GB2312" w:cs="宋体"/>
          <w:kern w:val="0"/>
          <w:sz w:val="32"/>
          <w:szCs w:val="32"/>
        </w:rPr>
      </w:pPr>
      <w:r>
        <w:rPr>
          <w:rFonts w:hint="eastAsia" w:ascii="楷体_GB2312" w:hAnsi="宋体" w:eastAsia="楷体_GB2312" w:cs="宋体"/>
          <w:kern w:val="0"/>
          <w:sz w:val="32"/>
          <w:szCs w:val="32"/>
        </w:rPr>
        <w:t>(二)重大事故(II级)</w:t>
      </w:r>
    </w:p>
    <w:p w14:paraId="4AAD5491">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建设工程新建、扩建、改建活动中，发生一次死亡10人（含）以上30人（不含）以下，或一次造成直接经济损失5000万元（含）以上1亿元（不含）以下的事故和事故险情。</w:t>
      </w:r>
    </w:p>
    <w:p w14:paraId="30B15CF0">
      <w:pPr>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(三)较大事故(III级)</w:t>
      </w:r>
    </w:p>
    <w:p w14:paraId="402D69F0">
      <w:pPr>
        <w:spacing w:line="560" w:lineRule="exact"/>
        <w:ind w:firstLine="640" w:firstLineChars="200"/>
        <w:rPr>
          <w:rFonts w:ascii="楷体_GB2312" w:hAnsi="宋体" w:eastAsia="楷体_GB2312" w:cs="宋体"/>
          <w:kern w:val="0"/>
          <w:sz w:val="32"/>
          <w:szCs w:val="32"/>
        </w:rPr>
      </w:pPr>
      <w:r>
        <w:rPr>
          <w:rFonts w:hint="eastAsia" w:ascii="仿宋_GB2312" w:hAnsi="宋体" w:eastAsia="仿宋_GB2312" w:cs="宋体"/>
          <w:kern w:val="0"/>
          <w:sz w:val="32"/>
          <w:szCs w:val="32"/>
        </w:rPr>
        <w:t>建设工程新建、扩建、改建活动中，发生一次死亡3人以（含）上10人（不含）以下，或一次造成直接经济损失1000万元（含）以上5000万元（不含）以下的事故和事故险情。</w:t>
      </w:r>
    </w:p>
    <w:p w14:paraId="10E38DB3">
      <w:pPr>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(四)一般事故(IV级)</w:t>
      </w:r>
    </w:p>
    <w:p w14:paraId="384A1378">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建设工程新建、扩建、改建活动中，发生一次死亡3人（不含）以下，或一次造成直接经济损失1000万元（不含）以下的事故和事故险情。</w:t>
      </w:r>
    </w:p>
    <w:p w14:paraId="637BD1F2">
      <w:pPr>
        <w:spacing w:line="560" w:lineRule="exact"/>
        <w:ind w:firstLine="640" w:firstLineChars="200"/>
        <w:rPr>
          <w:rFonts w:ascii="仿宋_GB2312" w:hAnsi="宋体" w:eastAsia="仿宋_GB2312" w:cs="宋体"/>
          <w:kern w:val="0"/>
          <w:sz w:val="32"/>
          <w:szCs w:val="32"/>
        </w:rPr>
      </w:pPr>
      <w:r>
        <w:rPr>
          <w:rFonts w:hint="eastAsia" w:ascii="黑体" w:hAnsi="宋体" w:eastAsia="黑体" w:cs="宋体"/>
          <w:bCs/>
          <w:kern w:val="0"/>
          <w:sz w:val="32"/>
          <w:szCs w:val="32"/>
        </w:rPr>
        <w:t>四、应急响应</w:t>
      </w:r>
    </w:p>
    <w:p w14:paraId="14DFD828">
      <w:pPr>
        <w:spacing w:line="560" w:lineRule="exact"/>
        <w:ind w:firstLine="640" w:firstLineChars="200"/>
        <w:rPr>
          <w:rFonts w:ascii="仿宋_GB2312" w:hAnsi="宋体" w:eastAsia="仿宋_GB2312" w:cs="宋体"/>
          <w:kern w:val="0"/>
          <w:sz w:val="32"/>
          <w:szCs w:val="32"/>
        </w:rPr>
      </w:pPr>
      <w:r>
        <w:rPr>
          <w:rFonts w:hint="eastAsia" w:ascii="楷体_GB2312" w:hAnsi="宋体" w:eastAsia="楷体_GB2312" w:cs="宋体"/>
          <w:kern w:val="0"/>
          <w:sz w:val="32"/>
          <w:szCs w:val="32"/>
        </w:rPr>
        <w:t>(一)事故报告</w:t>
      </w:r>
    </w:p>
    <w:p w14:paraId="7B56A085">
      <w:pPr>
        <w:spacing w:line="560" w:lineRule="exact"/>
        <w:ind w:firstLine="640" w:firstLineChars="200"/>
        <w:rPr>
          <w:rFonts w:ascii="仿宋_GB2312" w:hAnsi="宋体" w:eastAsia="仿宋_GB2312" w:cs="宋体"/>
          <w:kern w:val="0"/>
          <w:sz w:val="32"/>
          <w:szCs w:val="32"/>
        </w:rPr>
      </w:pPr>
      <w:r>
        <w:rPr>
          <w:rFonts w:hint="eastAsia" w:ascii="楷体_GB2312" w:hAnsi="宋体" w:eastAsia="楷体_GB2312" w:cs="宋体"/>
          <w:kern w:val="0"/>
          <w:sz w:val="32"/>
          <w:szCs w:val="32"/>
        </w:rPr>
        <w:t>1、</w:t>
      </w:r>
      <w:r>
        <w:rPr>
          <w:rFonts w:hint="eastAsia" w:ascii="仿宋_GB2312" w:hAnsi="宋体" w:eastAsia="仿宋_GB2312" w:cs="宋体"/>
          <w:kern w:val="0"/>
          <w:sz w:val="32"/>
          <w:szCs w:val="32"/>
        </w:rPr>
        <w:t>报告原则</w:t>
      </w:r>
    </w:p>
    <w:p w14:paraId="7F46199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有关单位应遵循“迅速、准确”的原则，在第一时间上报建设工程IV级以上质量安全险情或重大事故情况。</w:t>
      </w:r>
    </w:p>
    <w:p w14:paraId="2D1E8A18">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2、报告程序</w:t>
      </w:r>
    </w:p>
    <w:p w14:paraId="13A1B882">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属于一般（Ⅳ级）事故，建设工程事故应急领导小组办公室在接到事故报告后，应在20分钟内将基本情况向区建设工程事故应急领导小组报告，处理完毕后6小时内将详细情况报告区建设工程事故应急领导小组。区建设工程事故应急领导小组应在30分钟内将基本情况向区突发公共事件领导小组办公室、烟台市住房和城乡建设局及烟台市应急管理局报告，处理完毕后12小时内将详细情况报告区突发公共事件领导小组办公室。</w:t>
      </w:r>
    </w:p>
    <w:p w14:paraId="0E654C9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属于较大（</w:t>
      </w:r>
      <w:r>
        <w:rPr>
          <w:rFonts w:hint="eastAsia" w:ascii="仿宋_GB2312" w:hAnsi="仿宋_GB2312" w:eastAsia="仿宋_GB2312" w:cs="仿宋_GB2312"/>
          <w:kern w:val="0"/>
          <w:sz w:val="32"/>
          <w:szCs w:val="32"/>
        </w:rPr>
        <w:t>Ⅲ</w:t>
      </w:r>
      <w:r>
        <w:rPr>
          <w:rFonts w:hint="eastAsia" w:ascii="仿宋_GB2312" w:hAnsi="宋体" w:eastAsia="仿宋_GB2312" w:cs="宋体"/>
          <w:kern w:val="0"/>
          <w:sz w:val="32"/>
          <w:szCs w:val="32"/>
        </w:rPr>
        <w:t>级）事故，建设工程事故应急领导小组办公室在接到事故报告后，应在10分钟内将基本情况向区建设工程事故应急领导小组报告，并在15分钟内将基本情况向区突发公共事件领导小组办公室、烟台市住房和城乡建设局及烟台市应急管理局报告，处理完毕后6小时内将详细情况报告区突发公共事件领导小组办公室。</w:t>
      </w:r>
    </w:p>
    <w:p w14:paraId="57789B5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属于重大（Ⅱ级）和特别重大（Ⅰ级）的突发公共事件，各专项应急领导小组办公室必须在事发5分钟内向区突发公共事件领导小组办公室、烟台市住房和城乡建设局及烟台市应急管理局报告。</w:t>
      </w:r>
    </w:p>
    <w:p w14:paraId="730F7252">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3．事故报告应包括以下内容：</w:t>
      </w:r>
    </w:p>
    <w:p w14:paraId="1763A9B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①事故发生单位概况；</w:t>
      </w:r>
    </w:p>
    <w:p w14:paraId="6C0BB88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②事故发生的时间、地点以及事故现场情况；</w:t>
      </w:r>
    </w:p>
    <w:p w14:paraId="255C2DE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③事故的简要经过；</w:t>
      </w:r>
    </w:p>
    <w:p w14:paraId="7D8DD56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④事故已经造成或者可能造成的伤亡人数（包括下落不明的人数）和初步估计的直接经济损失；</w:t>
      </w:r>
    </w:p>
    <w:p w14:paraId="275BE670">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⑤已经采取的措施；</w:t>
      </w:r>
    </w:p>
    <w:p w14:paraId="761667E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⑥其他应当报告的情况。</w:t>
      </w:r>
    </w:p>
    <w:p w14:paraId="0768EA3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4、通讯联络</w:t>
      </w:r>
    </w:p>
    <w:p w14:paraId="7F003BE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①区突发公共事件领导小组办公室值班电话：6922001</w:t>
      </w:r>
    </w:p>
    <w:p w14:paraId="771190C7">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②区建设工程事故应急领导办公室值班电话：6922182</w:t>
      </w:r>
    </w:p>
    <w:p w14:paraId="701AE4F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③区规划国土建设部：6922358</w:t>
      </w:r>
    </w:p>
    <w:p w14:paraId="29B55E1C">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④公安：110</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消防：119</w:t>
      </w:r>
    </w:p>
    <w:p w14:paraId="59249BE0">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⑤公安分局值班电话：6760110</w:t>
      </w:r>
    </w:p>
    <w:p w14:paraId="339E0A3C">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⑥应急管理分局值班电话：6</w:t>
      </w:r>
      <w:r>
        <w:rPr>
          <w:rFonts w:ascii="仿宋_GB2312" w:hAnsi="宋体" w:eastAsia="仿宋_GB2312" w:cs="宋体"/>
          <w:kern w:val="0"/>
          <w:sz w:val="32"/>
          <w:szCs w:val="32"/>
        </w:rPr>
        <w:t>755</w:t>
      </w:r>
      <w:r>
        <w:rPr>
          <w:rFonts w:hint="eastAsia" w:ascii="仿宋_GB2312" w:hAnsi="宋体" w:eastAsia="仿宋_GB2312" w:cs="宋体"/>
          <w:kern w:val="0"/>
          <w:sz w:val="32"/>
          <w:szCs w:val="32"/>
        </w:rPr>
        <w:t>119</w:t>
      </w:r>
    </w:p>
    <w:p w14:paraId="0A911B58">
      <w:pPr>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（二）现场保护</w:t>
      </w:r>
    </w:p>
    <w:p w14:paraId="7BC6DDF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事故单位必须严格保护事故现场；区公安分局须迅速调动警力赶赴事故现场，搞好现场保护，维护现场治安。</w:t>
      </w:r>
    </w:p>
    <w:p w14:paraId="6C40AA59">
      <w:pPr>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(三)预案启动</w:t>
      </w:r>
    </w:p>
    <w:p w14:paraId="5F73D2F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事故发生后，事故单位应首先启动本单位的事故应急救援预案进行抢救。区建设工程事故应急领导小组根据事故报告情况确定是否启动本预案。确需启动本预案的，立即按本预案赶赴现场，指挥应急救援工作。应急处置现场指挥部下设的各应急救援小组和救援队应立即按照本预案的要求迅速赶赴现场，开展应急救援工作。根据事故抢险救援的需要，应急指挥部可以请求区工委、管委调集社会各界力量支援。</w:t>
      </w:r>
    </w:p>
    <w:p w14:paraId="5831AB72">
      <w:pPr>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（四）应急救援程序</w:t>
      </w:r>
    </w:p>
    <w:p w14:paraId="33D659A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1．建立警戒区。由警戒保卫组会同应急专家工作组对事故现场及周边环境进行侦察，为事故处置划定警戒范围，由警戒保卫组建立警戒区，并在通往事故现场的主要干道上实行交通管制。</w:t>
      </w:r>
    </w:p>
    <w:p w14:paraId="69F9F3C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2．紧急疏散。由警戒保卫组指导、组织群众采取各种措施进行自身防护，迅速撤离出危险区域或可能受到危害的区域，同时做好自救与互救工作。</w:t>
      </w:r>
    </w:p>
    <w:p w14:paraId="5978CEC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3．人员抢救。医疗救护组抢救受伤人员脱离事故现场，进行救护。</w:t>
      </w:r>
    </w:p>
    <w:p w14:paraId="6F9B177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4．危险控制与消除。由现场指挥组会同应急专家与事故单位一起，根据事故具体情况，制定处置方案，对险情进行控制与消除。</w:t>
      </w:r>
    </w:p>
    <w:p w14:paraId="459D4999">
      <w:pPr>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（五）应急救援注意事项</w:t>
      </w:r>
    </w:p>
    <w:p w14:paraId="638AADF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1．救援人员进入事故区域应2—3人为一组，随时保持通讯联系。同时做好自身防护，避免发生伤亡。</w:t>
      </w:r>
    </w:p>
    <w:p w14:paraId="04C4772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2．事故抢险应尽可能与事故单位协同作战，与公安、消防、医疗急救等专业队伍协调行动，救援所用工具要具备防爆功能。</w:t>
      </w:r>
    </w:p>
    <w:p w14:paraId="29F8B61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3．现场医疗急救按照先救命后治伤、先重伤后轻伤、先复苏后固定、先止血后包扎、先救治后搬运的原则。</w:t>
      </w:r>
    </w:p>
    <w:p w14:paraId="1895AD89">
      <w:pPr>
        <w:spacing w:line="560" w:lineRule="exact"/>
        <w:ind w:firstLine="640" w:firstLineChars="200"/>
        <w:rPr>
          <w:rFonts w:ascii="仿宋_GB2312" w:hAnsi="宋体" w:eastAsia="仿宋_GB2312" w:cs="宋体"/>
          <w:kern w:val="0"/>
          <w:sz w:val="32"/>
          <w:szCs w:val="32"/>
        </w:rPr>
      </w:pPr>
      <w:r>
        <w:rPr>
          <w:rFonts w:hint="eastAsia" w:ascii="黑体" w:hAnsi="宋体" w:eastAsia="黑体" w:cs="宋体"/>
          <w:bCs/>
          <w:kern w:val="0"/>
          <w:sz w:val="32"/>
          <w:szCs w:val="32"/>
        </w:rPr>
        <w:t>五、事故应急救援体系、演习及应急救援物资准备</w:t>
      </w:r>
    </w:p>
    <w:p w14:paraId="31F3DB6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（一）根据全区建筑企业的分布情况，按照“充分利用现有救护资源、实行区域性有偿服务”的原则，建立专业救护队及企业应急救援队伍，建立区域性救护网络。</w:t>
      </w:r>
    </w:p>
    <w:p w14:paraId="1DE5D610">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（二）消防部门、建筑企业是建设工程生产安全事故应急救援的主要力量。</w:t>
      </w:r>
    </w:p>
    <w:p w14:paraId="68A26DC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（三）区规划国土建设部及时与市住建局协同做好建设工程生产安全事故应急救援咨询服务工作。</w:t>
      </w:r>
    </w:p>
    <w:p w14:paraId="1003069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（四）区规划国土建设部会同区公安分局、区消防救援大队等有关部门，根据区建设工程事故应急领导小组的部署组织《烟台高新区建设工程事故应急预案》的演练。</w:t>
      </w:r>
    </w:p>
    <w:p w14:paraId="2B152418">
      <w:pPr>
        <w:spacing w:line="560" w:lineRule="exact"/>
        <w:ind w:firstLine="640" w:firstLineChars="200"/>
        <w:rPr>
          <w:rFonts w:ascii="黑体" w:hAnsi="宋体" w:eastAsia="黑体" w:cs="宋体"/>
          <w:kern w:val="0"/>
          <w:sz w:val="32"/>
          <w:szCs w:val="32"/>
        </w:rPr>
      </w:pPr>
      <w:r>
        <w:rPr>
          <w:rFonts w:hint="eastAsia" w:ascii="黑体" w:hAnsi="宋体" w:eastAsia="黑体" w:cs="宋体"/>
          <w:bCs/>
          <w:kern w:val="0"/>
          <w:sz w:val="32"/>
          <w:szCs w:val="32"/>
        </w:rPr>
        <w:t>六、善后处置工作</w:t>
      </w:r>
    </w:p>
    <w:p w14:paraId="46A663A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1、突发事件发生后，及时组织或配合有关部门和单位进行善后处置工作，积极做好恢复生产经营工作，维护社会安定。</w:t>
      </w:r>
    </w:p>
    <w:p w14:paraId="497D3034">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2、根据国家有关规定，组织或配合相关部门对突发事件进行调查并及时结案。</w:t>
      </w:r>
    </w:p>
    <w:p w14:paraId="7E0D019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3、公司和项目经理要落实值班人员，防止意外事故再次发生。</w:t>
      </w:r>
    </w:p>
    <w:p w14:paraId="37778B3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4、按照国家相关规定组成事故调查组，及时展开调查、依法处置。</w:t>
      </w:r>
    </w:p>
    <w:p w14:paraId="5C944B6D">
      <w:pPr>
        <w:spacing w:line="560" w:lineRule="exact"/>
        <w:ind w:firstLine="640" w:firstLineChars="200"/>
        <w:rPr>
          <w:rFonts w:ascii="仿宋_GB2312" w:hAnsi="宋体" w:eastAsia="仿宋_GB2312" w:cs="宋体"/>
          <w:kern w:val="0"/>
          <w:sz w:val="32"/>
          <w:szCs w:val="32"/>
        </w:rPr>
      </w:pPr>
    </w:p>
    <w:p w14:paraId="44DAD300">
      <w:pPr>
        <w:spacing w:line="560" w:lineRule="exact"/>
        <w:ind w:firstLine="640" w:firstLineChars="200"/>
        <w:rPr>
          <w:rFonts w:ascii="仿宋_GB2312" w:hAnsi="宋体" w:eastAsia="仿宋_GB2312" w:cs="宋体"/>
          <w:kern w:val="0"/>
          <w:sz w:val="32"/>
          <w:szCs w:val="32"/>
        </w:rPr>
      </w:pPr>
    </w:p>
    <w:p w14:paraId="1E1AF457">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附件：</w:t>
      </w:r>
    </w:p>
    <w:p w14:paraId="5A156AB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1、烟台高新区建设工程事故应急领导小组成员名单及联系电话</w:t>
      </w:r>
    </w:p>
    <w:p w14:paraId="733DEDD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2、烟台高新区建设工程事故应急领导小组办公室成员名单及联系电话</w:t>
      </w:r>
    </w:p>
    <w:p w14:paraId="22F73513">
      <w:pPr>
        <w:tabs>
          <w:tab w:val="left" w:pos="158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3、烟台高新区建设工程事故应急救援小组成员名单及联系电话</w:t>
      </w:r>
    </w:p>
    <w:p w14:paraId="6714C537">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4、烟台高新区建设工程事故应急预案运行流程</w:t>
      </w:r>
    </w:p>
    <w:p w14:paraId="63424826">
      <w:pPr>
        <w:spacing w:line="560" w:lineRule="exact"/>
        <w:ind w:firstLine="640" w:firstLineChars="200"/>
        <w:rPr>
          <w:rFonts w:ascii="方正黑体简体" w:hAnsi="宋体" w:eastAsia="方正黑体简体" w:cs="宋体"/>
          <w:kern w:val="0"/>
          <w:sz w:val="32"/>
          <w:szCs w:val="32"/>
        </w:rPr>
      </w:pPr>
    </w:p>
    <w:p w14:paraId="06D40743">
      <w:pPr>
        <w:spacing w:line="560" w:lineRule="exact"/>
        <w:ind w:firstLine="640" w:firstLineChars="200"/>
        <w:rPr>
          <w:rFonts w:ascii="方正黑体简体" w:hAnsi="宋体" w:eastAsia="方正黑体简体" w:cs="宋体"/>
          <w:kern w:val="0"/>
          <w:sz w:val="32"/>
          <w:szCs w:val="32"/>
        </w:rPr>
      </w:pPr>
    </w:p>
    <w:p w14:paraId="7E29FD0C">
      <w:pPr>
        <w:spacing w:line="560" w:lineRule="exact"/>
        <w:ind w:firstLine="640" w:firstLineChars="200"/>
        <w:rPr>
          <w:rFonts w:ascii="方正黑体简体" w:hAnsi="宋体" w:eastAsia="方正黑体简体" w:cs="宋体"/>
          <w:kern w:val="0"/>
          <w:sz w:val="32"/>
          <w:szCs w:val="32"/>
        </w:rPr>
      </w:pPr>
    </w:p>
    <w:p w14:paraId="23671E5E">
      <w:pPr>
        <w:spacing w:line="560" w:lineRule="exact"/>
        <w:ind w:firstLine="640" w:firstLineChars="200"/>
        <w:rPr>
          <w:rFonts w:ascii="方正黑体简体" w:hAnsi="宋体" w:eastAsia="方正黑体简体" w:cs="宋体"/>
          <w:kern w:val="0"/>
          <w:sz w:val="32"/>
          <w:szCs w:val="32"/>
        </w:rPr>
      </w:pPr>
    </w:p>
    <w:p w14:paraId="2FD95904">
      <w:pPr>
        <w:spacing w:line="560" w:lineRule="exact"/>
        <w:ind w:firstLine="640" w:firstLineChars="200"/>
        <w:rPr>
          <w:rFonts w:ascii="方正黑体简体" w:hAnsi="宋体" w:eastAsia="方正黑体简体" w:cs="宋体"/>
          <w:kern w:val="0"/>
          <w:sz w:val="32"/>
          <w:szCs w:val="32"/>
        </w:rPr>
      </w:pPr>
    </w:p>
    <w:p w14:paraId="103512BD">
      <w:pPr>
        <w:spacing w:line="560" w:lineRule="exact"/>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附件1:</w:t>
      </w:r>
    </w:p>
    <w:p w14:paraId="0A2FCEDA">
      <w:pPr>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烟台高新区建设工程事故应急领导小组</w:t>
      </w:r>
    </w:p>
    <w:p w14:paraId="27988D57">
      <w:pPr>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成员名单及联系电话</w:t>
      </w:r>
    </w:p>
    <w:tbl>
      <w:tblPr>
        <w:tblStyle w:val="12"/>
        <w:tblW w:w="9060" w:type="dxa"/>
        <w:jc w:val="center"/>
        <w:tblLayout w:type="fixed"/>
        <w:tblCellMar>
          <w:top w:w="0" w:type="dxa"/>
          <w:left w:w="108" w:type="dxa"/>
          <w:bottom w:w="0" w:type="dxa"/>
          <w:right w:w="108" w:type="dxa"/>
        </w:tblCellMar>
      </w:tblPr>
      <w:tblGrid>
        <w:gridCol w:w="1176"/>
        <w:gridCol w:w="936"/>
        <w:gridCol w:w="2409"/>
        <w:gridCol w:w="1734"/>
        <w:gridCol w:w="1270"/>
        <w:gridCol w:w="1535"/>
      </w:tblGrid>
      <w:tr w14:paraId="20654481">
        <w:tblPrEx>
          <w:tblCellMar>
            <w:top w:w="0" w:type="dxa"/>
            <w:left w:w="108" w:type="dxa"/>
            <w:bottom w:w="0" w:type="dxa"/>
            <w:right w:w="108" w:type="dxa"/>
          </w:tblCellMar>
        </w:tblPrEx>
        <w:trPr>
          <w:trHeight w:val="84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3AE002D2">
            <w:pPr>
              <w:widowControl/>
              <w:jc w:val="left"/>
              <w:rPr>
                <w:rFonts w:ascii="仿宋_GB2312" w:hAnsi="宋体" w:eastAsia="仿宋_GB2312" w:cs="宋体"/>
                <w:kern w:val="0"/>
                <w:sz w:val="24"/>
              </w:rPr>
            </w:pPr>
            <w:r>
              <w:rPr>
                <w:rFonts w:hint="eastAsia" w:ascii="仿宋_GB2312" w:hAnsi="宋体" w:eastAsia="仿宋_GB2312" w:cs="宋体"/>
                <w:kern w:val="0"/>
                <w:sz w:val="24"/>
              </w:rPr>
              <w:t>应急职务</w:t>
            </w:r>
          </w:p>
        </w:tc>
        <w:tc>
          <w:tcPr>
            <w:tcW w:w="936" w:type="dxa"/>
            <w:tcBorders>
              <w:top w:val="single" w:color="auto" w:sz="4" w:space="0"/>
              <w:left w:val="nil"/>
              <w:bottom w:val="single" w:color="auto" w:sz="4" w:space="0"/>
              <w:right w:val="single" w:color="auto" w:sz="4" w:space="0"/>
            </w:tcBorders>
            <w:vAlign w:val="center"/>
          </w:tcPr>
          <w:p w14:paraId="49589483">
            <w:pPr>
              <w:widowControl/>
              <w:jc w:val="center"/>
              <w:rPr>
                <w:rFonts w:ascii="仿宋_GB2312" w:hAnsi="宋体" w:eastAsia="仿宋_GB2312" w:cs="宋体"/>
                <w:kern w:val="0"/>
                <w:sz w:val="24"/>
              </w:rPr>
            </w:pPr>
            <w:r>
              <w:rPr>
                <w:rFonts w:hint="eastAsia" w:ascii="仿宋_GB2312" w:hAnsi="宋体" w:eastAsia="仿宋_GB2312" w:cs="宋体"/>
                <w:kern w:val="0"/>
                <w:sz w:val="24"/>
              </w:rPr>
              <w:t>姓  名</w:t>
            </w:r>
          </w:p>
        </w:tc>
        <w:tc>
          <w:tcPr>
            <w:tcW w:w="2409" w:type="dxa"/>
            <w:tcBorders>
              <w:top w:val="single" w:color="auto" w:sz="4" w:space="0"/>
              <w:left w:val="nil"/>
              <w:bottom w:val="single" w:color="auto" w:sz="4" w:space="0"/>
              <w:right w:val="single" w:color="auto" w:sz="4" w:space="0"/>
            </w:tcBorders>
            <w:vAlign w:val="center"/>
          </w:tcPr>
          <w:p w14:paraId="492DE9FF">
            <w:pPr>
              <w:widowControl/>
              <w:jc w:val="center"/>
              <w:rPr>
                <w:rFonts w:ascii="仿宋_GB2312" w:hAnsi="宋体" w:eastAsia="仿宋_GB2312" w:cs="宋体"/>
                <w:kern w:val="0"/>
                <w:sz w:val="24"/>
              </w:rPr>
            </w:pPr>
            <w:r>
              <w:rPr>
                <w:rFonts w:hint="eastAsia" w:ascii="仿宋_GB2312" w:hAnsi="宋体" w:eastAsia="仿宋_GB2312" w:cs="宋体"/>
                <w:kern w:val="0"/>
                <w:sz w:val="24"/>
              </w:rPr>
              <w:t>单  位</w:t>
            </w:r>
          </w:p>
        </w:tc>
        <w:tc>
          <w:tcPr>
            <w:tcW w:w="1734" w:type="dxa"/>
            <w:tcBorders>
              <w:top w:val="single" w:color="auto" w:sz="4" w:space="0"/>
              <w:left w:val="nil"/>
              <w:bottom w:val="single" w:color="auto" w:sz="4" w:space="0"/>
              <w:right w:val="single" w:color="auto" w:sz="4" w:space="0"/>
            </w:tcBorders>
            <w:vAlign w:val="center"/>
          </w:tcPr>
          <w:p w14:paraId="15DF3CEC">
            <w:pPr>
              <w:widowControl/>
              <w:jc w:val="center"/>
              <w:rPr>
                <w:rFonts w:ascii="仿宋_GB2312" w:hAnsi="宋体" w:eastAsia="仿宋_GB2312" w:cs="宋体"/>
                <w:kern w:val="0"/>
                <w:sz w:val="24"/>
              </w:rPr>
            </w:pPr>
            <w:r>
              <w:rPr>
                <w:rFonts w:hint="eastAsia" w:ascii="仿宋_GB2312" w:hAnsi="宋体" w:eastAsia="仿宋_GB2312" w:cs="宋体"/>
                <w:kern w:val="0"/>
                <w:sz w:val="24"/>
              </w:rPr>
              <w:t>职  务</w:t>
            </w:r>
          </w:p>
        </w:tc>
        <w:tc>
          <w:tcPr>
            <w:tcW w:w="1270" w:type="dxa"/>
            <w:tcBorders>
              <w:top w:val="single" w:color="auto" w:sz="4" w:space="0"/>
              <w:left w:val="nil"/>
              <w:bottom w:val="single" w:color="auto" w:sz="4" w:space="0"/>
              <w:right w:val="single" w:color="auto" w:sz="4" w:space="0"/>
            </w:tcBorders>
            <w:vAlign w:val="center"/>
          </w:tcPr>
          <w:p w14:paraId="672771BC">
            <w:pPr>
              <w:widowControl/>
              <w:jc w:val="center"/>
              <w:rPr>
                <w:rFonts w:ascii="仿宋_GB2312" w:hAnsi="宋体" w:eastAsia="仿宋_GB2312" w:cs="宋体"/>
                <w:kern w:val="0"/>
                <w:sz w:val="24"/>
              </w:rPr>
            </w:pPr>
            <w:r>
              <w:rPr>
                <w:rFonts w:hint="eastAsia" w:ascii="仿宋_GB2312" w:hAnsi="宋体" w:eastAsia="仿宋_GB2312" w:cs="宋体"/>
                <w:kern w:val="0"/>
                <w:sz w:val="24"/>
              </w:rPr>
              <w:t>办公电话</w:t>
            </w:r>
          </w:p>
        </w:tc>
        <w:tc>
          <w:tcPr>
            <w:tcW w:w="1535" w:type="dxa"/>
            <w:tcBorders>
              <w:top w:val="single" w:color="auto" w:sz="4" w:space="0"/>
              <w:left w:val="nil"/>
              <w:bottom w:val="single" w:color="auto" w:sz="4" w:space="0"/>
              <w:right w:val="single" w:color="auto" w:sz="4" w:space="0"/>
            </w:tcBorders>
            <w:vAlign w:val="center"/>
          </w:tcPr>
          <w:p w14:paraId="18513BE1">
            <w:pPr>
              <w:widowControl/>
              <w:jc w:val="center"/>
              <w:rPr>
                <w:rFonts w:ascii="仿宋_GB2312" w:hAnsi="宋体" w:eastAsia="仿宋_GB2312" w:cs="宋体"/>
                <w:kern w:val="0"/>
                <w:sz w:val="24"/>
              </w:rPr>
            </w:pPr>
            <w:r>
              <w:rPr>
                <w:rFonts w:hint="eastAsia" w:ascii="仿宋_GB2312" w:hAnsi="宋体" w:eastAsia="仿宋_GB2312" w:cs="宋体"/>
                <w:kern w:val="0"/>
                <w:sz w:val="24"/>
              </w:rPr>
              <w:t>移动电话</w:t>
            </w:r>
          </w:p>
        </w:tc>
      </w:tr>
      <w:tr w14:paraId="0FBFC551">
        <w:tblPrEx>
          <w:tblCellMar>
            <w:top w:w="0" w:type="dxa"/>
            <w:left w:w="108" w:type="dxa"/>
            <w:bottom w:w="0" w:type="dxa"/>
            <w:right w:w="108" w:type="dxa"/>
          </w:tblCellMar>
        </w:tblPrEx>
        <w:trPr>
          <w:trHeight w:val="840" w:hRule="atLeast"/>
          <w:jc w:val="center"/>
        </w:trPr>
        <w:tc>
          <w:tcPr>
            <w:tcW w:w="1176" w:type="dxa"/>
            <w:tcBorders>
              <w:top w:val="nil"/>
              <w:left w:val="single" w:color="auto" w:sz="4" w:space="0"/>
              <w:bottom w:val="single" w:color="auto" w:sz="4" w:space="0"/>
              <w:right w:val="single" w:color="auto" w:sz="4" w:space="0"/>
            </w:tcBorders>
            <w:vAlign w:val="center"/>
          </w:tcPr>
          <w:p w14:paraId="1A302150">
            <w:pPr>
              <w:widowControl/>
              <w:jc w:val="center"/>
              <w:rPr>
                <w:rFonts w:ascii="仿宋_GB2312" w:hAnsi="宋体" w:eastAsia="仿宋_GB2312" w:cs="宋体"/>
                <w:kern w:val="0"/>
                <w:sz w:val="24"/>
              </w:rPr>
            </w:pPr>
            <w:r>
              <w:rPr>
                <w:rFonts w:hint="eastAsia" w:ascii="仿宋_GB2312" w:hAnsi="宋体" w:eastAsia="仿宋_GB2312" w:cs="宋体"/>
                <w:kern w:val="0"/>
                <w:sz w:val="24"/>
              </w:rPr>
              <w:t>总指挥</w:t>
            </w:r>
          </w:p>
        </w:tc>
        <w:tc>
          <w:tcPr>
            <w:tcW w:w="936" w:type="dxa"/>
            <w:tcBorders>
              <w:top w:val="nil"/>
              <w:left w:val="nil"/>
              <w:bottom w:val="single" w:color="auto" w:sz="4" w:space="0"/>
              <w:right w:val="single" w:color="auto" w:sz="4" w:space="0"/>
            </w:tcBorders>
            <w:vAlign w:val="center"/>
          </w:tcPr>
          <w:p w14:paraId="1FD99265">
            <w:pPr>
              <w:widowControl/>
              <w:jc w:val="center"/>
              <w:rPr>
                <w:rFonts w:ascii="仿宋_GB2312" w:hAnsi="宋体" w:eastAsia="仿宋_GB2312" w:cs="宋体"/>
                <w:kern w:val="0"/>
                <w:sz w:val="24"/>
              </w:rPr>
            </w:pPr>
            <w:r>
              <w:rPr>
                <w:rFonts w:hint="eastAsia" w:ascii="仿宋_GB2312" w:hAnsi="宋体" w:eastAsia="仿宋_GB2312" w:cs="宋体"/>
                <w:kern w:val="0"/>
                <w:sz w:val="24"/>
              </w:rPr>
              <w:t>王金腾</w:t>
            </w:r>
          </w:p>
        </w:tc>
        <w:tc>
          <w:tcPr>
            <w:tcW w:w="2409" w:type="dxa"/>
            <w:tcBorders>
              <w:top w:val="single" w:color="auto" w:sz="4" w:space="0"/>
              <w:left w:val="nil"/>
              <w:bottom w:val="single" w:color="auto" w:sz="4" w:space="0"/>
              <w:right w:val="single" w:color="auto" w:sz="4" w:space="0"/>
            </w:tcBorders>
            <w:vAlign w:val="center"/>
          </w:tcPr>
          <w:p w14:paraId="63A4C5C1">
            <w:pPr>
              <w:widowControl/>
              <w:jc w:val="left"/>
              <w:rPr>
                <w:rFonts w:ascii="仿宋_GB2312" w:hAnsi="宋体" w:eastAsia="仿宋_GB2312" w:cs="宋体"/>
                <w:kern w:val="0"/>
                <w:sz w:val="24"/>
              </w:rPr>
            </w:pPr>
            <w:r>
              <w:rPr>
                <w:rFonts w:hint="eastAsia" w:ascii="仿宋_GB2312" w:hAnsi="宋体" w:eastAsia="仿宋_GB2312" w:cs="宋体"/>
                <w:kern w:val="0"/>
                <w:sz w:val="24"/>
              </w:rPr>
              <w:t>区工委管委</w:t>
            </w:r>
          </w:p>
        </w:tc>
        <w:tc>
          <w:tcPr>
            <w:tcW w:w="1734" w:type="dxa"/>
            <w:tcBorders>
              <w:top w:val="single" w:color="auto" w:sz="4" w:space="0"/>
              <w:left w:val="nil"/>
              <w:bottom w:val="single" w:color="auto" w:sz="4" w:space="0"/>
              <w:right w:val="single" w:color="auto" w:sz="4" w:space="0"/>
            </w:tcBorders>
            <w:vAlign w:val="center"/>
          </w:tcPr>
          <w:p w14:paraId="159C7C2A">
            <w:pPr>
              <w:widowControl/>
              <w:jc w:val="center"/>
              <w:rPr>
                <w:rFonts w:ascii="仿宋_GB2312" w:hAnsi="宋体" w:eastAsia="仿宋_GB2312" w:cs="宋体"/>
                <w:kern w:val="0"/>
                <w:sz w:val="24"/>
              </w:rPr>
            </w:pPr>
            <w:r>
              <w:rPr>
                <w:rFonts w:hint="eastAsia" w:ascii="仿宋_GB2312" w:hAnsi="宋体" w:eastAsia="仿宋_GB2312" w:cs="宋体"/>
                <w:kern w:val="0"/>
                <w:sz w:val="24"/>
              </w:rPr>
              <w:t>副书记、副主任</w:t>
            </w:r>
          </w:p>
        </w:tc>
        <w:tc>
          <w:tcPr>
            <w:tcW w:w="1270" w:type="dxa"/>
            <w:tcBorders>
              <w:top w:val="single" w:color="auto" w:sz="4" w:space="0"/>
              <w:left w:val="nil"/>
              <w:bottom w:val="single" w:color="auto" w:sz="4" w:space="0"/>
              <w:right w:val="single" w:color="auto" w:sz="4" w:space="0"/>
            </w:tcBorders>
            <w:vAlign w:val="center"/>
          </w:tcPr>
          <w:p w14:paraId="25FF0B0B">
            <w:pPr>
              <w:widowControl/>
              <w:jc w:val="center"/>
              <w:rPr>
                <w:rFonts w:ascii="仿宋_GB2312" w:hAnsi="宋体" w:eastAsia="仿宋_GB2312" w:cs="宋体"/>
                <w:kern w:val="0"/>
                <w:sz w:val="24"/>
              </w:rPr>
            </w:pPr>
            <w:r>
              <w:rPr>
                <w:rFonts w:hint="eastAsia" w:ascii="仿宋_GB2312" w:hAnsi="宋体" w:eastAsia="仿宋_GB2312" w:cs="宋体"/>
                <w:kern w:val="0"/>
                <w:sz w:val="24"/>
              </w:rPr>
              <w:t>6925277</w:t>
            </w:r>
          </w:p>
        </w:tc>
        <w:tc>
          <w:tcPr>
            <w:tcW w:w="1535" w:type="dxa"/>
            <w:tcBorders>
              <w:top w:val="nil"/>
              <w:left w:val="nil"/>
              <w:bottom w:val="single" w:color="auto" w:sz="4" w:space="0"/>
              <w:right w:val="single" w:color="auto" w:sz="4" w:space="0"/>
            </w:tcBorders>
            <w:vAlign w:val="center"/>
          </w:tcPr>
          <w:p w14:paraId="6A846D35">
            <w:pPr>
              <w:widowControl/>
              <w:jc w:val="right"/>
              <w:rPr>
                <w:rFonts w:ascii="仿宋_GB2312" w:hAnsi="宋体" w:eastAsia="仿宋_GB2312" w:cs="宋体"/>
                <w:kern w:val="0"/>
                <w:sz w:val="24"/>
              </w:rPr>
            </w:pPr>
            <w:r>
              <w:rPr>
                <w:rFonts w:hint="eastAsia" w:ascii="仿宋_GB2312" w:hAnsi="宋体" w:eastAsia="仿宋_GB2312" w:cs="宋体"/>
                <w:kern w:val="0"/>
                <w:sz w:val="24"/>
              </w:rPr>
              <w:t>13853550319</w:t>
            </w:r>
          </w:p>
        </w:tc>
      </w:tr>
      <w:tr w14:paraId="3DF397CC">
        <w:tblPrEx>
          <w:tblCellMar>
            <w:top w:w="0" w:type="dxa"/>
            <w:left w:w="108" w:type="dxa"/>
            <w:bottom w:w="0" w:type="dxa"/>
            <w:right w:w="108" w:type="dxa"/>
          </w:tblCellMar>
        </w:tblPrEx>
        <w:trPr>
          <w:trHeight w:val="840" w:hRule="atLeast"/>
          <w:jc w:val="center"/>
        </w:trPr>
        <w:tc>
          <w:tcPr>
            <w:tcW w:w="1176" w:type="dxa"/>
            <w:tcBorders>
              <w:top w:val="nil"/>
              <w:left w:val="single" w:color="auto" w:sz="4" w:space="0"/>
              <w:bottom w:val="single" w:color="auto" w:sz="4" w:space="0"/>
              <w:right w:val="single" w:color="auto" w:sz="4" w:space="0"/>
            </w:tcBorders>
            <w:vAlign w:val="center"/>
          </w:tcPr>
          <w:p w14:paraId="1662CC95">
            <w:pPr>
              <w:widowControl/>
              <w:jc w:val="center"/>
              <w:rPr>
                <w:rFonts w:ascii="仿宋_GB2312" w:hAnsi="宋体" w:eastAsia="仿宋_GB2312" w:cs="宋体"/>
                <w:kern w:val="0"/>
                <w:sz w:val="24"/>
              </w:rPr>
            </w:pPr>
            <w:r>
              <w:rPr>
                <w:rFonts w:hint="eastAsia" w:ascii="仿宋_GB2312" w:hAnsi="宋体" w:eastAsia="仿宋_GB2312" w:cs="宋体"/>
                <w:kern w:val="0"/>
                <w:sz w:val="24"/>
              </w:rPr>
              <w:t>副指挥</w:t>
            </w:r>
          </w:p>
        </w:tc>
        <w:tc>
          <w:tcPr>
            <w:tcW w:w="936" w:type="dxa"/>
            <w:tcBorders>
              <w:top w:val="nil"/>
              <w:left w:val="nil"/>
              <w:bottom w:val="single" w:color="auto" w:sz="4" w:space="0"/>
              <w:right w:val="single" w:color="auto" w:sz="4" w:space="0"/>
            </w:tcBorders>
            <w:vAlign w:val="center"/>
          </w:tcPr>
          <w:p w14:paraId="6352B7C6">
            <w:pPr>
              <w:widowControl/>
              <w:jc w:val="center"/>
              <w:rPr>
                <w:rFonts w:ascii="仿宋_GB2312" w:hAnsi="宋体" w:eastAsia="仿宋_GB2312" w:cs="宋体"/>
                <w:kern w:val="0"/>
                <w:sz w:val="24"/>
              </w:rPr>
            </w:pPr>
            <w:r>
              <w:rPr>
                <w:rFonts w:hint="eastAsia" w:ascii="仿宋_GB2312" w:hAnsi="宋体" w:eastAsia="仿宋_GB2312" w:cs="宋体"/>
                <w:kern w:val="0"/>
                <w:sz w:val="24"/>
              </w:rPr>
              <w:t>杨林</w:t>
            </w:r>
          </w:p>
        </w:tc>
        <w:tc>
          <w:tcPr>
            <w:tcW w:w="2409" w:type="dxa"/>
            <w:tcBorders>
              <w:top w:val="single" w:color="auto" w:sz="4" w:space="0"/>
              <w:left w:val="nil"/>
              <w:bottom w:val="single" w:color="auto" w:sz="4" w:space="0"/>
              <w:right w:val="single" w:color="auto" w:sz="4" w:space="0"/>
            </w:tcBorders>
            <w:vAlign w:val="center"/>
          </w:tcPr>
          <w:p w14:paraId="6730F493">
            <w:pPr>
              <w:widowControl/>
              <w:jc w:val="left"/>
              <w:rPr>
                <w:rFonts w:ascii="仿宋_GB2312" w:hAnsi="宋体" w:eastAsia="仿宋_GB2312" w:cs="宋体"/>
                <w:kern w:val="0"/>
                <w:sz w:val="24"/>
              </w:rPr>
            </w:pPr>
            <w:r>
              <w:rPr>
                <w:rFonts w:hint="eastAsia" w:ascii="仿宋_GB2312" w:hAnsi="宋体" w:eastAsia="仿宋_GB2312" w:cs="宋体"/>
                <w:kern w:val="0"/>
                <w:sz w:val="24"/>
              </w:rPr>
              <w:t>区规划国土建设部</w:t>
            </w:r>
          </w:p>
        </w:tc>
        <w:tc>
          <w:tcPr>
            <w:tcW w:w="1734" w:type="dxa"/>
            <w:tcBorders>
              <w:top w:val="single" w:color="auto" w:sz="4" w:space="0"/>
              <w:left w:val="nil"/>
              <w:bottom w:val="single" w:color="auto" w:sz="4" w:space="0"/>
              <w:right w:val="single" w:color="auto" w:sz="4" w:space="0"/>
            </w:tcBorders>
            <w:vAlign w:val="center"/>
          </w:tcPr>
          <w:p w14:paraId="5A0FC7BB">
            <w:pPr>
              <w:widowControl/>
              <w:jc w:val="center"/>
              <w:rPr>
                <w:rFonts w:ascii="仿宋_GB2312" w:hAnsi="宋体" w:eastAsia="仿宋_GB2312" w:cs="宋体"/>
                <w:kern w:val="0"/>
                <w:sz w:val="24"/>
              </w:rPr>
            </w:pPr>
            <w:r>
              <w:rPr>
                <w:rFonts w:hint="eastAsia" w:ascii="仿宋_GB2312" w:hAnsi="宋体" w:eastAsia="仿宋_GB2312" w:cs="宋体"/>
                <w:kern w:val="0"/>
                <w:sz w:val="24"/>
              </w:rPr>
              <w:t>部长</w:t>
            </w:r>
          </w:p>
        </w:tc>
        <w:tc>
          <w:tcPr>
            <w:tcW w:w="1270" w:type="dxa"/>
            <w:tcBorders>
              <w:top w:val="single" w:color="auto" w:sz="4" w:space="0"/>
              <w:left w:val="nil"/>
              <w:bottom w:val="single" w:color="auto" w:sz="4" w:space="0"/>
              <w:right w:val="single" w:color="auto" w:sz="4" w:space="0"/>
            </w:tcBorders>
            <w:vAlign w:val="center"/>
          </w:tcPr>
          <w:p w14:paraId="0D8B240F">
            <w:pPr>
              <w:widowControl/>
              <w:jc w:val="center"/>
              <w:rPr>
                <w:rFonts w:ascii="仿宋_GB2312" w:hAnsi="宋体" w:eastAsia="仿宋_GB2312" w:cs="宋体"/>
                <w:kern w:val="0"/>
                <w:sz w:val="24"/>
              </w:rPr>
            </w:pPr>
            <w:r>
              <w:rPr>
                <w:rFonts w:hint="eastAsia" w:ascii="仿宋_GB2312" w:hAnsi="宋体" w:eastAsia="仿宋_GB2312" w:cs="宋体"/>
                <w:kern w:val="0"/>
                <w:sz w:val="24"/>
              </w:rPr>
              <w:t>6922353</w:t>
            </w:r>
          </w:p>
        </w:tc>
        <w:tc>
          <w:tcPr>
            <w:tcW w:w="1535" w:type="dxa"/>
            <w:tcBorders>
              <w:top w:val="nil"/>
              <w:left w:val="nil"/>
              <w:bottom w:val="single" w:color="auto" w:sz="4" w:space="0"/>
              <w:right w:val="single" w:color="auto" w:sz="4" w:space="0"/>
            </w:tcBorders>
            <w:vAlign w:val="center"/>
          </w:tcPr>
          <w:p w14:paraId="4E72840B">
            <w:pPr>
              <w:widowControl/>
              <w:jc w:val="right"/>
              <w:rPr>
                <w:rFonts w:ascii="仿宋_GB2312" w:hAnsi="宋体" w:eastAsia="仿宋_GB2312" w:cs="宋体"/>
                <w:kern w:val="0"/>
                <w:sz w:val="24"/>
              </w:rPr>
            </w:pPr>
            <w:r>
              <w:rPr>
                <w:rFonts w:hint="eastAsia" w:ascii="仿宋_GB2312" w:hAnsi="宋体" w:eastAsia="仿宋_GB2312" w:cs="宋体"/>
                <w:kern w:val="0"/>
                <w:sz w:val="24"/>
              </w:rPr>
              <w:t>13905457355</w:t>
            </w:r>
          </w:p>
        </w:tc>
      </w:tr>
      <w:tr w14:paraId="26498A00">
        <w:tblPrEx>
          <w:tblCellMar>
            <w:top w:w="0" w:type="dxa"/>
            <w:left w:w="108" w:type="dxa"/>
            <w:bottom w:w="0" w:type="dxa"/>
            <w:right w:w="108" w:type="dxa"/>
          </w:tblCellMar>
        </w:tblPrEx>
        <w:trPr>
          <w:trHeight w:val="840" w:hRule="atLeast"/>
          <w:jc w:val="center"/>
        </w:trPr>
        <w:tc>
          <w:tcPr>
            <w:tcW w:w="1176" w:type="dxa"/>
            <w:vMerge w:val="restart"/>
            <w:tcBorders>
              <w:top w:val="nil"/>
              <w:left w:val="single" w:color="auto" w:sz="4" w:space="0"/>
              <w:bottom w:val="single" w:color="auto" w:sz="4" w:space="0"/>
              <w:right w:val="single" w:color="auto" w:sz="4" w:space="0"/>
            </w:tcBorders>
            <w:vAlign w:val="center"/>
          </w:tcPr>
          <w:p w14:paraId="1F7B34F9">
            <w:pPr>
              <w:widowControl/>
              <w:jc w:val="center"/>
              <w:rPr>
                <w:rFonts w:ascii="仿宋_GB2312" w:hAnsi="宋体" w:eastAsia="仿宋_GB2312" w:cs="宋体"/>
                <w:kern w:val="0"/>
                <w:sz w:val="24"/>
              </w:rPr>
            </w:pPr>
            <w:r>
              <w:rPr>
                <w:rFonts w:hint="eastAsia" w:ascii="仿宋_GB2312" w:hAnsi="宋体" w:eastAsia="仿宋_GB2312" w:cs="宋体"/>
                <w:kern w:val="0"/>
                <w:sz w:val="24"/>
              </w:rPr>
              <w:t>成员</w:t>
            </w:r>
          </w:p>
        </w:tc>
        <w:tc>
          <w:tcPr>
            <w:tcW w:w="936" w:type="dxa"/>
            <w:tcBorders>
              <w:top w:val="nil"/>
              <w:left w:val="nil"/>
              <w:bottom w:val="single" w:color="auto" w:sz="4" w:space="0"/>
              <w:right w:val="single" w:color="auto" w:sz="4" w:space="0"/>
            </w:tcBorders>
            <w:vAlign w:val="center"/>
          </w:tcPr>
          <w:p w14:paraId="05FD031D">
            <w:pPr>
              <w:widowControl/>
              <w:jc w:val="center"/>
              <w:rPr>
                <w:rFonts w:ascii="仿宋_GB2312" w:hAnsi="宋体" w:eastAsia="仿宋_GB2312" w:cs="宋体"/>
                <w:kern w:val="0"/>
                <w:sz w:val="24"/>
              </w:rPr>
            </w:pPr>
            <w:r>
              <w:rPr>
                <w:rFonts w:hint="eastAsia" w:ascii="仿宋_GB2312" w:hAnsi="宋体" w:eastAsia="仿宋_GB2312" w:cs="宋体"/>
                <w:kern w:val="0"/>
                <w:sz w:val="24"/>
              </w:rPr>
              <w:t>谭义伟</w:t>
            </w:r>
          </w:p>
        </w:tc>
        <w:tc>
          <w:tcPr>
            <w:tcW w:w="2409" w:type="dxa"/>
            <w:tcBorders>
              <w:top w:val="single" w:color="auto" w:sz="4" w:space="0"/>
              <w:left w:val="nil"/>
              <w:bottom w:val="single" w:color="auto" w:sz="4" w:space="0"/>
              <w:right w:val="single" w:color="auto" w:sz="4" w:space="0"/>
            </w:tcBorders>
            <w:vAlign w:val="center"/>
          </w:tcPr>
          <w:p w14:paraId="1DECB0E8">
            <w:pPr>
              <w:widowControl/>
              <w:jc w:val="left"/>
              <w:rPr>
                <w:rFonts w:ascii="仿宋_GB2312" w:hAnsi="宋体" w:eastAsia="仿宋_GB2312" w:cs="宋体"/>
                <w:kern w:val="0"/>
                <w:sz w:val="24"/>
              </w:rPr>
            </w:pPr>
            <w:r>
              <w:rPr>
                <w:rFonts w:hint="eastAsia" w:ascii="仿宋_GB2312" w:hAnsi="宋体" w:eastAsia="仿宋_GB2312" w:cs="宋体"/>
                <w:kern w:val="0"/>
                <w:sz w:val="24"/>
              </w:rPr>
              <w:t>区规划国土建设部</w:t>
            </w:r>
          </w:p>
        </w:tc>
        <w:tc>
          <w:tcPr>
            <w:tcW w:w="1734" w:type="dxa"/>
            <w:tcBorders>
              <w:top w:val="single" w:color="auto" w:sz="4" w:space="0"/>
              <w:left w:val="nil"/>
              <w:bottom w:val="single" w:color="auto" w:sz="4" w:space="0"/>
              <w:right w:val="single" w:color="auto" w:sz="4" w:space="0"/>
            </w:tcBorders>
            <w:vAlign w:val="center"/>
          </w:tcPr>
          <w:p w14:paraId="5BE59B81">
            <w:pPr>
              <w:widowControl/>
              <w:jc w:val="center"/>
              <w:rPr>
                <w:rFonts w:ascii="仿宋_GB2312" w:hAnsi="宋体" w:eastAsia="仿宋_GB2312" w:cs="宋体"/>
                <w:kern w:val="0"/>
                <w:sz w:val="24"/>
              </w:rPr>
            </w:pPr>
            <w:r>
              <w:rPr>
                <w:rFonts w:hint="eastAsia" w:ascii="仿宋_GB2312" w:hAnsi="宋体" w:eastAsia="仿宋_GB2312" w:cs="宋体"/>
                <w:kern w:val="0"/>
                <w:sz w:val="24"/>
              </w:rPr>
              <w:t>副部长</w:t>
            </w:r>
          </w:p>
        </w:tc>
        <w:tc>
          <w:tcPr>
            <w:tcW w:w="1270" w:type="dxa"/>
            <w:tcBorders>
              <w:top w:val="single" w:color="auto" w:sz="4" w:space="0"/>
              <w:left w:val="nil"/>
              <w:bottom w:val="single" w:color="auto" w:sz="4" w:space="0"/>
              <w:right w:val="single" w:color="auto" w:sz="4" w:space="0"/>
            </w:tcBorders>
            <w:vAlign w:val="center"/>
          </w:tcPr>
          <w:p w14:paraId="71270518">
            <w:pPr>
              <w:widowControl/>
              <w:jc w:val="center"/>
              <w:textAlignment w:val="center"/>
              <w:rPr>
                <w:rFonts w:ascii="仿宋_GB2312" w:hAnsi="宋体" w:eastAsia="仿宋_GB2312" w:cs="宋体"/>
                <w:kern w:val="0"/>
                <w:sz w:val="24"/>
              </w:rPr>
            </w:pPr>
            <w:r>
              <w:rPr>
                <w:rFonts w:ascii="仿宋_GB2312" w:hAnsi="宋体" w:eastAsia="仿宋_GB2312" w:cs="仿宋_GB2312"/>
                <w:kern w:val="0"/>
                <w:sz w:val="24"/>
              </w:rPr>
              <w:t>69223</w:t>
            </w:r>
            <w:r>
              <w:rPr>
                <w:rFonts w:hint="eastAsia" w:ascii="仿宋_GB2312" w:hAnsi="宋体" w:eastAsia="仿宋_GB2312" w:cs="仿宋_GB2312"/>
                <w:kern w:val="0"/>
                <w:sz w:val="24"/>
              </w:rPr>
              <w:t>18</w:t>
            </w:r>
          </w:p>
        </w:tc>
        <w:tc>
          <w:tcPr>
            <w:tcW w:w="1535" w:type="dxa"/>
            <w:tcBorders>
              <w:top w:val="nil"/>
              <w:left w:val="nil"/>
              <w:bottom w:val="single" w:color="auto" w:sz="4" w:space="0"/>
              <w:right w:val="single" w:color="auto" w:sz="4" w:space="0"/>
            </w:tcBorders>
            <w:vAlign w:val="center"/>
          </w:tcPr>
          <w:p w14:paraId="7DDFE7E8">
            <w:pPr>
              <w:widowControl/>
              <w:jc w:val="center"/>
              <w:textAlignment w:val="center"/>
              <w:rPr>
                <w:rFonts w:ascii="仿宋_GB2312" w:hAnsi="宋体" w:eastAsia="仿宋_GB2312" w:cs="宋体"/>
                <w:kern w:val="0"/>
                <w:sz w:val="24"/>
              </w:rPr>
            </w:pPr>
            <w:r>
              <w:rPr>
                <w:rFonts w:hint="eastAsia" w:ascii="仿宋_GB2312" w:hAnsi="宋体" w:eastAsia="仿宋_GB2312" w:cs="仿宋_GB2312"/>
                <w:kern w:val="0"/>
                <w:sz w:val="24"/>
              </w:rPr>
              <w:t>13356922678</w:t>
            </w:r>
          </w:p>
        </w:tc>
      </w:tr>
      <w:tr w14:paraId="7F9BBF58">
        <w:tblPrEx>
          <w:tblCellMar>
            <w:top w:w="0" w:type="dxa"/>
            <w:left w:w="108" w:type="dxa"/>
            <w:bottom w:w="0" w:type="dxa"/>
            <w:right w:w="108" w:type="dxa"/>
          </w:tblCellMar>
        </w:tblPrEx>
        <w:trPr>
          <w:trHeight w:val="757" w:hRule="atLeast"/>
          <w:jc w:val="center"/>
        </w:trPr>
        <w:tc>
          <w:tcPr>
            <w:tcW w:w="1176" w:type="dxa"/>
            <w:vMerge w:val="continue"/>
            <w:tcBorders>
              <w:top w:val="nil"/>
              <w:left w:val="single" w:color="auto" w:sz="4" w:space="0"/>
              <w:bottom w:val="single" w:color="auto" w:sz="4" w:space="0"/>
              <w:right w:val="single" w:color="auto" w:sz="4" w:space="0"/>
            </w:tcBorders>
            <w:vAlign w:val="center"/>
          </w:tcPr>
          <w:p w14:paraId="7C1706FB">
            <w:pPr>
              <w:widowControl/>
              <w:jc w:val="left"/>
              <w:rPr>
                <w:rFonts w:ascii="仿宋_GB2312" w:hAnsi="宋体" w:eastAsia="仿宋_GB2312" w:cs="宋体"/>
                <w:kern w:val="0"/>
                <w:sz w:val="24"/>
              </w:rPr>
            </w:pPr>
          </w:p>
        </w:tc>
        <w:tc>
          <w:tcPr>
            <w:tcW w:w="936" w:type="dxa"/>
            <w:tcBorders>
              <w:top w:val="nil"/>
              <w:left w:val="nil"/>
              <w:bottom w:val="single" w:color="auto" w:sz="4" w:space="0"/>
              <w:right w:val="single" w:color="auto" w:sz="4" w:space="0"/>
            </w:tcBorders>
            <w:vAlign w:val="center"/>
          </w:tcPr>
          <w:p w14:paraId="156C1420">
            <w:pPr>
              <w:widowControl/>
              <w:jc w:val="center"/>
              <w:rPr>
                <w:rFonts w:ascii="仿宋_GB2312" w:hAnsi="宋体" w:eastAsia="仿宋_GB2312" w:cs="宋体"/>
                <w:kern w:val="0"/>
                <w:sz w:val="24"/>
              </w:rPr>
            </w:pPr>
            <w:r>
              <w:rPr>
                <w:rFonts w:hint="eastAsia" w:ascii="仿宋_GB2312" w:hAnsi="宋体" w:eastAsia="仿宋_GB2312" w:cs="宋体"/>
                <w:kern w:val="0"/>
                <w:sz w:val="24"/>
              </w:rPr>
              <w:t>宋伟光</w:t>
            </w:r>
          </w:p>
        </w:tc>
        <w:tc>
          <w:tcPr>
            <w:tcW w:w="2409" w:type="dxa"/>
            <w:tcBorders>
              <w:top w:val="single" w:color="auto" w:sz="4" w:space="0"/>
              <w:left w:val="nil"/>
              <w:bottom w:val="single" w:color="auto" w:sz="4" w:space="0"/>
              <w:right w:val="single" w:color="auto" w:sz="4" w:space="0"/>
            </w:tcBorders>
            <w:vAlign w:val="center"/>
          </w:tcPr>
          <w:p w14:paraId="4017B4B5">
            <w:pPr>
              <w:widowControl/>
              <w:jc w:val="left"/>
              <w:rPr>
                <w:rFonts w:ascii="仿宋_GB2312" w:hAnsi="宋体" w:eastAsia="仿宋_GB2312" w:cs="宋体"/>
                <w:kern w:val="0"/>
                <w:sz w:val="24"/>
              </w:rPr>
            </w:pPr>
            <w:r>
              <w:rPr>
                <w:rFonts w:hint="eastAsia" w:ascii="仿宋_GB2312" w:hAnsi="宋体" w:eastAsia="仿宋_GB2312" w:cs="宋体"/>
                <w:kern w:val="0"/>
                <w:sz w:val="24"/>
              </w:rPr>
              <w:t>区党群工作部</w:t>
            </w:r>
          </w:p>
        </w:tc>
        <w:tc>
          <w:tcPr>
            <w:tcW w:w="1734" w:type="dxa"/>
            <w:tcBorders>
              <w:top w:val="single" w:color="auto" w:sz="4" w:space="0"/>
              <w:left w:val="nil"/>
              <w:bottom w:val="single" w:color="auto" w:sz="4" w:space="0"/>
              <w:right w:val="single" w:color="auto" w:sz="4" w:space="0"/>
            </w:tcBorders>
            <w:vAlign w:val="center"/>
          </w:tcPr>
          <w:p w14:paraId="615F2A31">
            <w:pPr>
              <w:widowControl/>
              <w:jc w:val="center"/>
              <w:rPr>
                <w:rFonts w:ascii="仿宋_GB2312" w:hAnsi="宋体" w:eastAsia="仿宋_GB2312" w:cs="宋体"/>
                <w:kern w:val="0"/>
                <w:sz w:val="24"/>
              </w:rPr>
            </w:pPr>
            <w:r>
              <w:rPr>
                <w:rFonts w:hint="eastAsia" w:ascii="仿宋_GB2312" w:hAnsi="宋体" w:eastAsia="仿宋_GB2312" w:cs="宋体"/>
                <w:kern w:val="0"/>
                <w:sz w:val="24"/>
              </w:rPr>
              <w:t>副部长</w:t>
            </w:r>
          </w:p>
        </w:tc>
        <w:tc>
          <w:tcPr>
            <w:tcW w:w="1270" w:type="dxa"/>
            <w:tcBorders>
              <w:top w:val="single" w:color="auto" w:sz="4" w:space="0"/>
              <w:left w:val="nil"/>
              <w:bottom w:val="single" w:color="auto" w:sz="4" w:space="0"/>
              <w:right w:val="single" w:color="auto" w:sz="4" w:space="0"/>
            </w:tcBorders>
            <w:vAlign w:val="center"/>
          </w:tcPr>
          <w:p w14:paraId="48B29EE4">
            <w:pPr>
              <w:widowControl/>
              <w:jc w:val="center"/>
              <w:textAlignment w:val="center"/>
              <w:rPr>
                <w:rFonts w:ascii="仿宋_GB2312" w:hAnsi="宋体" w:eastAsia="仿宋_GB2312" w:cs="宋体"/>
                <w:kern w:val="0"/>
                <w:sz w:val="24"/>
              </w:rPr>
            </w:pPr>
            <w:r>
              <w:rPr>
                <w:rFonts w:ascii="仿宋_GB2312" w:hAnsi="宋体" w:eastAsia="仿宋_GB2312" w:cs="仿宋_GB2312"/>
                <w:kern w:val="0"/>
                <w:sz w:val="24"/>
              </w:rPr>
              <w:t>6922206</w:t>
            </w:r>
          </w:p>
        </w:tc>
        <w:tc>
          <w:tcPr>
            <w:tcW w:w="1535" w:type="dxa"/>
            <w:tcBorders>
              <w:top w:val="nil"/>
              <w:left w:val="nil"/>
              <w:bottom w:val="single" w:color="auto" w:sz="4" w:space="0"/>
              <w:right w:val="single" w:color="auto" w:sz="4" w:space="0"/>
            </w:tcBorders>
            <w:vAlign w:val="center"/>
          </w:tcPr>
          <w:p w14:paraId="74D03A07">
            <w:pPr>
              <w:widowControl/>
              <w:jc w:val="center"/>
              <w:textAlignment w:val="center"/>
              <w:rPr>
                <w:rFonts w:ascii="仿宋_GB2312" w:hAnsi="宋体" w:eastAsia="仿宋_GB2312" w:cs="宋体"/>
                <w:kern w:val="0"/>
                <w:sz w:val="24"/>
              </w:rPr>
            </w:pPr>
            <w:r>
              <w:rPr>
                <w:rFonts w:ascii="仿宋_GB2312" w:hAnsi="宋体" w:eastAsia="仿宋_GB2312" w:cs="仿宋_GB2312"/>
                <w:kern w:val="0"/>
                <w:sz w:val="24"/>
              </w:rPr>
              <w:t>18561066936</w:t>
            </w:r>
          </w:p>
        </w:tc>
      </w:tr>
      <w:tr w14:paraId="28DA4FE3">
        <w:tblPrEx>
          <w:tblCellMar>
            <w:top w:w="0" w:type="dxa"/>
            <w:left w:w="108" w:type="dxa"/>
            <w:bottom w:w="0" w:type="dxa"/>
            <w:right w:w="108" w:type="dxa"/>
          </w:tblCellMar>
        </w:tblPrEx>
        <w:trPr>
          <w:trHeight w:val="840" w:hRule="atLeast"/>
          <w:jc w:val="center"/>
        </w:trPr>
        <w:tc>
          <w:tcPr>
            <w:tcW w:w="1176" w:type="dxa"/>
            <w:vMerge w:val="continue"/>
            <w:tcBorders>
              <w:top w:val="nil"/>
              <w:left w:val="single" w:color="auto" w:sz="4" w:space="0"/>
              <w:bottom w:val="single" w:color="auto" w:sz="4" w:space="0"/>
              <w:right w:val="single" w:color="auto" w:sz="4" w:space="0"/>
            </w:tcBorders>
            <w:vAlign w:val="center"/>
          </w:tcPr>
          <w:p w14:paraId="108BCB91">
            <w:pPr>
              <w:widowControl/>
              <w:jc w:val="left"/>
              <w:rPr>
                <w:rFonts w:ascii="仿宋_GB2312" w:hAnsi="宋体" w:eastAsia="仿宋_GB2312" w:cs="宋体"/>
                <w:kern w:val="0"/>
                <w:sz w:val="24"/>
              </w:rPr>
            </w:pPr>
          </w:p>
        </w:tc>
        <w:tc>
          <w:tcPr>
            <w:tcW w:w="936" w:type="dxa"/>
            <w:tcBorders>
              <w:top w:val="nil"/>
              <w:left w:val="nil"/>
              <w:bottom w:val="single" w:color="auto" w:sz="4" w:space="0"/>
              <w:right w:val="single" w:color="auto" w:sz="4" w:space="0"/>
            </w:tcBorders>
            <w:vAlign w:val="center"/>
          </w:tcPr>
          <w:p w14:paraId="40571551">
            <w:pPr>
              <w:widowControl/>
              <w:jc w:val="center"/>
              <w:rPr>
                <w:rFonts w:ascii="仿宋_GB2312" w:hAnsi="宋体" w:eastAsia="仿宋_GB2312" w:cs="宋体"/>
                <w:kern w:val="0"/>
                <w:sz w:val="24"/>
              </w:rPr>
            </w:pPr>
            <w:r>
              <w:rPr>
                <w:rFonts w:hint="eastAsia" w:ascii="仿宋_GB2312" w:hAnsi="宋体" w:eastAsia="仿宋_GB2312" w:cs="宋体"/>
                <w:kern w:val="0"/>
                <w:sz w:val="24"/>
              </w:rPr>
              <w:t>曲飞</w:t>
            </w:r>
          </w:p>
        </w:tc>
        <w:tc>
          <w:tcPr>
            <w:tcW w:w="2409" w:type="dxa"/>
            <w:tcBorders>
              <w:top w:val="single" w:color="auto" w:sz="4" w:space="0"/>
              <w:left w:val="nil"/>
              <w:bottom w:val="single" w:color="auto" w:sz="4" w:space="0"/>
              <w:right w:val="single" w:color="auto" w:sz="4" w:space="0"/>
            </w:tcBorders>
            <w:vAlign w:val="center"/>
          </w:tcPr>
          <w:p w14:paraId="25A60217">
            <w:pPr>
              <w:widowControl/>
              <w:jc w:val="left"/>
              <w:rPr>
                <w:rFonts w:ascii="仿宋_GB2312" w:hAnsi="宋体" w:eastAsia="仿宋_GB2312" w:cs="宋体"/>
                <w:kern w:val="0"/>
                <w:sz w:val="24"/>
              </w:rPr>
            </w:pPr>
            <w:r>
              <w:rPr>
                <w:rFonts w:hint="eastAsia" w:ascii="仿宋_GB2312" w:hAnsi="宋体" w:eastAsia="仿宋_GB2312" w:cs="宋体"/>
                <w:kern w:val="0"/>
                <w:sz w:val="24"/>
              </w:rPr>
              <w:t>市卫健委高新区管理办公室</w:t>
            </w:r>
          </w:p>
        </w:tc>
        <w:tc>
          <w:tcPr>
            <w:tcW w:w="1734" w:type="dxa"/>
            <w:tcBorders>
              <w:top w:val="single" w:color="auto" w:sz="4" w:space="0"/>
              <w:left w:val="nil"/>
              <w:bottom w:val="single" w:color="auto" w:sz="4" w:space="0"/>
              <w:right w:val="single" w:color="auto" w:sz="4" w:space="0"/>
            </w:tcBorders>
            <w:vAlign w:val="center"/>
          </w:tcPr>
          <w:p w14:paraId="4A5D5BB8">
            <w:pPr>
              <w:widowControl/>
              <w:jc w:val="center"/>
              <w:rPr>
                <w:rFonts w:ascii="仿宋_GB2312" w:hAnsi="宋体" w:eastAsia="仿宋_GB2312" w:cs="宋体"/>
                <w:kern w:val="0"/>
                <w:sz w:val="24"/>
              </w:rPr>
            </w:pPr>
          </w:p>
        </w:tc>
        <w:tc>
          <w:tcPr>
            <w:tcW w:w="1270" w:type="dxa"/>
            <w:tcBorders>
              <w:top w:val="single" w:color="auto" w:sz="4" w:space="0"/>
              <w:left w:val="nil"/>
              <w:bottom w:val="single" w:color="auto" w:sz="4" w:space="0"/>
              <w:right w:val="single" w:color="auto" w:sz="4" w:space="0"/>
            </w:tcBorders>
            <w:vAlign w:val="center"/>
          </w:tcPr>
          <w:p w14:paraId="2FB41F8D">
            <w:pPr>
              <w:widowControl/>
              <w:jc w:val="center"/>
              <w:textAlignment w:val="center"/>
              <w:rPr>
                <w:rFonts w:ascii="仿宋_GB2312" w:hAnsi="宋体" w:eastAsia="仿宋_GB2312" w:cs="宋体"/>
                <w:kern w:val="0"/>
                <w:sz w:val="24"/>
              </w:rPr>
            </w:pPr>
            <w:r>
              <w:rPr>
                <w:rFonts w:ascii="仿宋_GB2312" w:hAnsi="宋体" w:eastAsia="仿宋_GB2312" w:cs="仿宋_GB2312"/>
                <w:kern w:val="0"/>
                <w:sz w:val="24"/>
              </w:rPr>
              <w:t>692</w:t>
            </w:r>
            <w:r>
              <w:rPr>
                <w:rFonts w:hint="eastAsia" w:ascii="仿宋_GB2312" w:hAnsi="宋体" w:eastAsia="仿宋_GB2312" w:cs="仿宋_GB2312"/>
                <w:kern w:val="0"/>
                <w:sz w:val="24"/>
              </w:rPr>
              <w:t>5269</w:t>
            </w:r>
          </w:p>
        </w:tc>
        <w:tc>
          <w:tcPr>
            <w:tcW w:w="1535" w:type="dxa"/>
            <w:tcBorders>
              <w:top w:val="nil"/>
              <w:left w:val="nil"/>
              <w:bottom w:val="single" w:color="auto" w:sz="4" w:space="0"/>
              <w:right w:val="single" w:color="auto" w:sz="4" w:space="0"/>
            </w:tcBorders>
            <w:vAlign w:val="center"/>
          </w:tcPr>
          <w:p w14:paraId="0D701716">
            <w:pPr>
              <w:widowControl/>
              <w:jc w:val="center"/>
              <w:textAlignment w:val="center"/>
              <w:rPr>
                <w:rFonts w:ascii="仿宋_GB2312" w:hAnsi="宋体" w:eastAsia="仿宋_GB2312" w:cs="宋体"/>
                <w:kern w:val="0"/>
                <w:sz w:val="24"/>
              </w:rPr>
            </w:pPr>
            <w:r>
              <w:rPr>
                <w:rFonts w:ascii="仿宋_GB2312" w:hAnsi="宋体" w:eastAsia="仿宋_GB2312" w:cs="仿宋_GB2312"/>
                <w:kern w:val="0"/>
                <w:sz w:val="24"/>
              </w:rPr>
              <w:t>15192237979</w:t>
            </w:r>
          </w:p>
        </w:tc>
      </w:tr>
      <w:tr w14:paraId="3841B30C">
        <w:tblPrEx>
          <w:tblCellMar>
            <w:top w:w="0" w:type="dxa"/>
            <w:left w:w="108" w:type="dxa"/>
            <w:bottom w:w="0" w:type="dxa"/>
            <w:right w:w="108" w:type="dxa"/>
          </w:tblCellMar>
        </w:tblPrEx>
        <w:trPr>
          <w:trHeight w:val="840" w:hRule="atLeast"/>
          <w:jc w:val="center"/>
        </w:trPr>
        <w:tc>
          <w:tcPr>
            <w:tcW w:w="1176" w:type="dxa"/>
            <w:vMerge w:val="continue"/>
            <w:tcBorders>
              <w:top w:val="nil"/>
              <w:left w:val="single" w:color="auto" w:sz="4" w:space="0"/>
              <w:bottom w:val="single" w:color="auto" w:sz="4" w:space="0"/>
              <w:right w:val="single" w:color="auto" w:sz="4" w:space="0"/>
            </w:tcBorders>
            <w:vAlign w:val="center"/>
          </w:tcPr>
          <w:p w14:paraId="4B80239E">
            <w:pPr>
              <w:widowControl/>
              <w:jc w:val="left"/>
              <w:rPr>
                <w:rFonts w:ascii="仿宋_GB2312" w:hAnsi="宋体" w:eastAsia="仿宋_GB2312" w:cs="宋体"/>
                <w:kern w:val="0"/>
                <w:sz w:val="24"/>
              </w:rPr>
            </w:pPr>
          </w:p>
        </w:tc>
        <w:tc>
          <w:tcPr>
            <w:tcW w:w="936" w:type="dxa"/>
            <w:tcBorders>
              <w:top w:val="nil"/>
              <w:left w:val="nil"/>
              <w:bottom w:val="single" w:color="auto" w:sz="4" w:space="0"/>
              <w:right w:val="single" w:color="auto" w:sz="4" w:space="0"/>
            </w:tcBorders>
            <w:vAlign w:val="center"/>
          </w:tcPr>
          <w:p w14:paraId="3AB570DD">
            <w:pPr>
              <w:widowControl/>
              <w:jc w:val="center"/>
              <w:rPr>
                <w:rFonts w:ascii="仿宋_GB2312" w:hAnsi="宋体" w:eastAsia="仿宋_GB2312" w:cs="宋体"/>
                <w:kern w:val="0"/>
                <w:sz w:val="24"/>
              </w:rPr>
            </w:pPr>
            <w:r>
              <w:rPr>
                <w:rFonts w:hint="eastAsia" w:ascii="仿宋_GB2312" w:hAnsi="宋体" w:eastAsia="仿宋_GB2312" w:cs="宋体"/>
                <w:kern w:val="0"/>
                <w:sz w:val="24"/>
              </w:rPr>
              <w:t>丛义明</w:t>
            </w:r>
          </w:p>
        </w:tc>
        <w:tc>
          <w:tcPr>
            <w:tcW w:w="2409" w:type="dxa"/>
            <w:tcBorders>
              <w:top w:val="single" w:color="auto" w:sz="4" w:space="0"/>
              <w:left w:val="nil"/>
              <w:bottom w:val="single" w:color="auto" w:sz="4" w:space="0"/>
              <w:right w:val="single" w:color="auto" w:sz="4" w:space="0"/>
            </w:tcBorders>
            <w:vAlign w:val="center"/>
          </w:tcPr>
          <w:p w14:paraId="23E0C190">
            <w:pPr>
              <w:widowControl/>
              <w:jc w:val="left"/>
              <w:rPr>
                <w:rFonts w:ascii="仿宋_GB2312" w:hAnsi="宋体" w:eastAsia="仿宋_GB2312" w:cs="宋体"/>
                <w:kern w:val="0"/>
                <w:sz w:val="24"/>
              </w:rPr>
            </w:pPr>
            <w:r>
              <w:rPr>
                <w:rFonts w:hint="eastAsia" w:ascii="仿宋_GB2312" w:hAnsi="宋体" w:eastAsia="仿宋_GB2312" w:cs="宋体"/>
                <w:kern w:val="0"/>
                <w:sz w:val="24"/>
              </w:rPr>
              <w:t>应急管理分局</w:t>
            </w:r>
          </w:p>
        </w:tc>
        <w:tc>
          <w:tcPr>
            <w:tcW w:w="1734" w:type="dxa"/>
            <w:tcBorders>
              <w:top w:val="single" w:color="auto" w:sz="4" w:space="0"/>
              <w:left w:val="nil"/>
              <w:bottom w:val="single" w:color="auto" w:sz="4" w:space="0"/>
              <w:right w:val="single" w:color="000000" w:sz="4" w:space="0"/>
            </w:tcBorders>
            <w:vAlign w:val="center"/>
          </w:tcPr>
          <w:p w14:paraId="4B5736F4">
            <w:pPr>
              <w:widowControl/>
              <w:jc w:val="center"/>
              <w:rPr>
                <w:rFonts w:ascii="仿宋_GB2312" w:hAnsi="宋体" w:eastAsia="仿宋_GB2312" w:cs="宋体"/>
                <w:kern w:val="0"/>
                <w:sz w:val="24"/>
              </w:rPr>
            </w:pPr>
            <w:r>
              <w:rPr>
                <w:rFonts w:hint="eastAsia" w:ascii="仿宋_GB2312" w:hAnsi="宋体" w:eastAsia="仿宋_GB2312" w:cs="宋体"/>
                <w:kern w:val="0"/>
                <w:sz w:val="24"/>
              </w:rPr>
              <w:t>副局长</w:t>
            </w:r>
          </w:p>
        </w:tc>
        <w:tc>
          <w:tcPr>
            <w:tcW w:w="1270" w:type="dxa"/>
            <w:tcBorders>
              <w:top w:val="single" w:color="auto" w:sz="4" w:space="0"/>
              <w:left w:val="nil"/>
              <w:bottom w:val="single" w:color="auto" w:sz="4" w:space="0"/>
              <w:right w:val="single" w:color="auto" w:sz="4" w:space="0"/>
            </w:tcBorders>
            <w:vAlign w:val="center"/>
          </w:tcPr>
          <w:p w14:paraId="19954A9A">
            <w:pPr>
              <w:widowControl/>
              <w:jc w:val="center"/>
              <w:textAlignment w:val="center"/>
              <w:rPr>
                <w:rFonts w:ascii="仿宋_GB2312" w:hAnsi="宋体" w:eastAsia="仿宋_GB2312" w:cs="宋体"/>
                <w:kern w:val="0"/>
                <w:sz w:val="24"/>
              </w:rPr>
            </w:pPr>
            <w:r>
              <w:rPr>
                <w:rFonts w:ascii="仿宋_GB2312" w:hAnsi="宋体" w:eastAsia="仿宋_GB2312" w:cs="仿宋_GB2312"/>
                <w:kern w:val="0"/>
                <w:sz w:val="24"/>
              </w:rPr>
              <w:t>6922119</w:t>
            </w:r>
          </w:p>
        </w:tc>
        <w:tc>
          <w:tcPr>
            <w:tcW w:w="1535" w:type="dxa"/>
            <w:tcBorders>
              <w:top w:val="nil"/>
              <w:left w:val="nil"/>
              <w:bottom w:val="single" w:color="auto" w:sz="4" w:space="0"/>
              <w:right w:val="single" w:color="auto" w:sz="4" w:space="0"/>
            </w:tcBorders>
            <w:vAlign w:val="center"/>
          </w:tcPr>
          <w:p w14:paraId="19EFE151">
            <w:pPr>
              <w:widowControl/>
              <w:jc w:val="center"/>
              <w:textAlignment w:val="center"/>
              <w:rPr>
                <w:rFonts w:ascii="仿宋_GB2312" w:hAnsi="宋体" w:eastAsia="仿宋_GB2312" w:cs="宋体"/>
                <w:kern w:val="0"/>
                <w:sz w:val="24"/>
              </w:rPr>
            </w:pPr>
            <w:r>
              <w:rPr>
                <w:rFonts w:ascii="仿宋_GB2312" w:hAnsi="宋体" w:eastAsia="仿宋_GB2312" w:cs="仿宋_GB2312"/>
                <w:kern w:val="0"/>
                <w:sz w:val="24"/>
              </w:rPr>
              <w:t>15005353119</w:t>
            </w:r>
          </w:p>
        </w:tc>
      </w:tr>
      <w:tr w14:paraId="61325811">
        <w:tblPrEx>
          <w:tblCellMar>
            <w:top w:w="0" w:type="dxa"/>
            <w:left w:w="108" w:type="dxa"/>
            <w:bottom w:w="0" w:type="dxa"/>
            <w:right w:w="108" w:type="dxa"/>
          </w:tblCellMar>
        </w:tblPrEx>
        <w:trPr>
          <w:trHeight w:val="840" w:hRule="atLeast"/>
          <w:jc w:val="center"/>
        </w:trPr>
        <w:tc>
          <w:tcPr>
            <w:tcW w:w="1176" w:type="dxa"/>
            <w:vMerge w:val="continue"/>
            <w:tcBorders>
              <w:top w:val="nil"/>
              <w:left w:val="single" w:color="auto" w:sz="4" w:space="0"/>
              <w:bottom w:val="single" w:color="auto" w:sz="4" w:space="0"/>
              <w:right w:val="single" w:color="auto" w:sz="4" w:space="0"/>
            </w:tcBorders>
            <w:vAlign w:val="center"/>
          </w:tcPr>
          <w:p w14:paraId="6D63F091">
            <w:pPr>
              <w:widowControl/>
              <w:jc w:val="left"/>
              <w:rPr>
                <w:rFonts w:ascii="仿宋_GB2312" w:hAnsi="宋体" w:eastAsia="仿宋_GB2312" w:cs="宋体"/>
                <w:kern w:val="0"/>
                <w:sz w:val="24"/>
              </w:rPr>
            </w:pPr>
          </w:p>
        </w:tc>
        <w:tc>
          <w:tcPr>
            <w:tcW w:w="936" w:type="dxa"/>
            <w:tcBorders>
              <w:top w:val="nil"/>
              <w:left w:val="nil"/>
              <w:bottom w:val="single" w:color="auto" w:sz="4" w:space="0"/>
              <w:right w:val="single" w:color="auto" w:sz="4" w:space="0"/>
            </w:tcBorders>
            <w:vAlign w:val="center"/>
          </w:tcPr>
          <w:p w14:paraId="58E08DCE">
            <w:pPr>
              <w:widowControl/>
              <w:jc w:val="center"/>
              <w:rPr>
                <w:rFonts w:ascii="仿宋_GB2312" w:hAnsi="宋体" w:eastAsia="仿宋_GB2312" w:cs="宋体"/>
                <w:kern w:val="0"/>
                <w:sz w:val="24"/>
              </w:rPr>
            </w:pPr>
            <w:r>
              <w:rPr>
                <w:rFonts w:hint="eastAsia" w:ascii="仿宋_GB2312" w:hAnsi="宋体" w:eastAsia="仿宋_GB2312" w:cs="宋体"/>
                <w:kern w:val="0"/>
                <w:sz w:val="24"/>
              </w:rPr>
              <w:t>齐照良</w:t>
            </w:r>
          </w:p>
        </w:tc>
        <w:tc>
          <w:tcPr>
            <w:tcW w:w="2409" w:type="dxa"/>
            <w:tcBorders>
              <w:top w:val="single" w:color="auto" w:sz="4" w:space="0"/>
              <w:left w:val="nil"/>
              <w:bottom w:val="single" w:color="auto" w:sz="4" w:space="0"/>
              <w:right w:val="single" w:color="000000" w:sz="4" w:space="0"/>
            </w:tcBorders>
            <w:vAlign w:val="center"/>
          </w:tcPr>
          <w:p w14:paraId="2836BE94">
            <w:pPr>
              <w:widowControl/>
              <w:jc w:val="left"/>
              <w:rPr>
                <w:rFonts w:ascii="仿宋_GB2312" w:hAnsi="宋体" w:eastAsia="仿宋_GB2312" w:cs="宋体"/>
                <w:kern w:val="0"/>
                <w:sz w:val="24"/>
              </w:rPr>
            </w:pPr>
            <w:r>
              <w:rPr>
                <w:rFonts w:hint="eastAsia" w:ascii="仿宋_GB2312" w:hAnsi="宋体" w:eastAsia="仿宋_GB2312" w:cs="宋体"/>
                <w:kern w:val="0"/>
                <w:sz w:val="24"/>
              </w:rPr>
              <w:t>区综合管理部</w:t>
            </w:r>
          </w:p>
        </w:tc>
        <w:tc>
          <w:tcPr>
            <w:tcW w:w="1734" w:type="dxa"/>
            <w:tcBorders>
              <w:top w:val="single" w:color="auto" w:sz="4" w:space="0"/>
              <w:left w:val="nil"/>
              <w:bottom w:val="single" w:color="auto" w:sz="4" w:space="0"/>
              <w:right w:val="single" w:color="000000" w:sz="4" w:space="0"/>
            </w:tcBorders>
            <w:vAlign w:val="center"/>
          </w:tcPr>
          <w:p w14:paraId="2593ABAC">
            <w:pPr>
              <w:widowControl/>
              <w:jc w:val="center"/>
              <w:rPr>
                <w:rFonts w:ascii="仿宋_GB2312" w:hAnsi="宋体" w:eastAsia="仿宋_GB2312" w:cs="宋体"/>
                <w:kern w:val="0"/>
                <w:sz w:val="24"/>
              </w:rPr>
            </w:pPr>
            <w:r>
              <w:rPr>
                <w:rFonts w:hint="eastAsia" w:ascii="仿宋_GB2312" w:hAnsi="宋体" w:eastAsia="仿宋_GB2312" w:cs="宋体"/>
                <w:kern w:val="0"/>
                <w:sz w:val="24"/>
              </w:rPr>
              <w:t>副部长     宣传中心主任</w:t>
            </w:r>
          </w:p>
        </w:tc>
        <w:tc>
          <w:tcPr>
            <w:tcW w:w="1270" w:type="dxa"/>
            <w:tcBorders>
              <w:top w:val="single" w:color="auto" w:sz="4" w:space="0"/>
              <w:left w:val="nil"/>
              <w:bottom w:val="single" w:color="auto" w:sz="4" w:space="0"/>
              <w:right w:val="single" w:color="000000" w:sz="4" w:space="0"/>
            </w:tcBorders>
            <w:vAlign w:val="center"/>
          </w:tcPr>
          <w:p w14:paraId="5236B41B">
            <w:pPr>
              <w:widowControl/>
              <w:jc w:val="center"/>
              <w:textAlignment w:val="center"/>
              <w:rPr>
                <w:rFonts w:ascii="仿宋_GB2312" w:hAnsi="宋体" w:eastAsia="仿宋_GB2312" w:cs="宋体"/>
                <w:kern w:val="0"/>
                <w:sz w:val="24"/>
              </w:rPr>
            </w:pPr>
            <w:r>
              <w:rPr>
                <w:rFonts w:hint="eastAsia" w:ascii="仿宋_GB2312" w:hAnsi="宋体" w:eastAsia="仿宋_GB2312" w:cs="宋体"/>
                <w:kern w:val="0"/>
                <w:sz w:val="24"/>
              </w:rPr>
              <w:t>6922340</w:t>
            </w:r>
          </w:p>
        </w:tc>
        <w:tc>
          <w:tcPr>
            <w:tcW w:w="1535" w:type="dxa"/>
            <w:tcBorders>
              <w:top w:val="nil"/>
              <w:left w:val="nil"/>
              <w:bottom w:val="single" w:color="auto" w:sz="4" w:space="0"/>
              <w:right w:val="single" w:color="auto" w:sz="4" w:space="0"/>
            </w:tcBorders>
            <w:vAlign w:val="center"/>
          </w:tcPr>
          <w:p w14:paraId="5A889A4D">
            <w:pPr>
              <w:widowControl/>
              <w:jc w:val="center"/>
              <w:textAlignment w:val="center"/>
              <w:rPr>
                <w:rFonts w:ascii="仿宋_GB2312" w:hAnsi="宋体" w:eastAsia="仿宋_GB2312" w:cs="宋体"/>
                <w:kern w:val="0"/>
                <w:sz w:val="24"/>
              </w:rPr>
            </w:pPr>
            <w:r>
              <w:rPr>
                <w:rFonts w:hint="eastAsia" w:ascii="仿宋_GB2312" w:hAnsi="宋体" w:eastAsia="仿宋_GB2312" w:cs="宋体"/>
                <w:kern w:val="0"/>
                <w:sz w:val="24"/>
              </w:rPr>
              <w:t>13723980143</w:t>
            </w:r>
          </w:p>
        </w:tc>
      </w:tr>
      <w:tr w14:paraId="4010F077">
        <w:tblPrEx>
          <w:tblCellMar>
            <w:top w:w="0" w:type="dxa"/>
            <w:left w:w="108" w:type="dxa"/>
            <w:bottom w:w="0" w:type="dxa"/>
            <w:right w:w="108" w:type="dxa"/>
          </w:tblCellMar>
        </w:tblPrEx>
        <w:trPr>
          <w:trHeight w:val="840" w:hRule="atLeast"/>
          <w:jc w:val="center"/>
        </w:trPr>
        <w:tc>
          <w:tcPr>
            <w:tcW w:w="1176" w:type="dxa"/>
            <w:vMerge w:val="continue"/>
            <w:tcBorders>
              <w:top w:val="nil"/>
              <w:left w:val="single" w:color="auto" w:sz="4" w:space="0"/>
              <w:bottom w:val="single" w:color="auto" w:sz="4" w:space="0"/>
              <w:right w:val="single" w:color="auto" w:sz="4" w:space="0"/>
            </w:tcBorders>
            <w:vAlign w:val="center"/>
          </w:tcPr>
          <w:p w14:paraId="34A1EE23">
            <w:pPr>
              <w:widowControl/>
              <w:jc w:val="left"/>
              <w:rPr>
                <w:rFonts w:ascii="仿宋_GB2312" w:hAnsi="宋体" w:eastAsia="仿宋_GB2312" w:cs="宋体"/>
                <w:kern w:val="0"/>
                <w:sz w:val="24"/>
              </w:rPr>
            </w:pPr>
          </w:p>
        </w:tc>
        <w:tc>
          <w:tcPr>
            <w:tcW w:w="936" w:type="dxa"/>
            <w:tcBorders>
              <w:top w:val="nil"/>
              <w:left w:val="nil"/>
              <w:bottom w:val="single" w:color="auto" w:sz="4" w:space="0"/>
              <w:right w:val="single" w:color="auto" w:sz="4" w:space="0"/>
            </w:tcBorders>
            <w:vAlign w:val="center"/>
          </w:tcPr>
          <w:p w14:paraId="757256E8">
            <w:pPr>
              <w:widowControl/>
              <w:jc w:val="center"/>
              <w:rPr>
                <w:rFonts w:ascii="仿宋_GB2312" w:hAnsi="宋体" w:eastAsia="仿宋_GB2312" w:cs="宋体"/>
                <w:kern w:val="0"/>
                <w:sz w:val="24"/>
              </w:rPr>
            </w:pPr>
            <w:r>
              <w:rPr>
                <w:rFonts w:hint="eastAsia" w:ascii="仿宋_GB2312" w:hAnsi="宋体" w:eastAsia="仿宋_GB2312" w:cs="宋体"/>
                <w:kern w:val="0"/>
                <w:sz w:val="24"/>
              </w:rPr>
              <w:t>刘泽华</w:t>
            </w:r>
          </w:p>
        </w:tc>
        <w:tc>
          <w:tcPr>
            <w:tcW w:w="2409" w:type="dxa"/>
            <w:tcBorders>
              <w:top w:val="single" w:color="auto" w:sz="4" w:space="0"/>
              <w:left w:val="nil"/>
              <w:bottom w:val="single" w:color="auto" w:sz="4" w:space="0"/>
              <w:right w:val="single" w:color="auto" w:sz="4" w:space="0"/>
            </w:tcBorders>
            <w:vAlign w:val="center"/>
          </w:tcPr>
          <w:p w14:paraId="2DFD680C">
            <w:pPr>
              <w:widowControl/>
              <w:jc w:val="left"/>
              <w:rPr>
                <w:rFonts w:ascii="仿宋_GB2312" w:hAnsi="宋体" w:eastAsia="仿宋_GB2312" w:cs="宋体"/>
                <w:kern w:val="0"/>
                <w:sz w:val="24"/>
              </w:rPr>
            </w:pPr>
            <w:r>
              <w:rPr>
                <w:rFonts w:hint="eastAsia" w:ascii="仿宋_GB2312" w:hAnsi="宋体" w:eastAsia="仿宋_GB2312" w:cs="宋体"/>
                <w:kern w:val="0"/>
                <w:sz w:val="24"/>
              </w:rPr>
              <w:t>区财政金融部</w:t>
            </w:r>
          </w:p>
        </w:tc>
        <w:tc>
          <w:tcPr>
            <w:tcW w:w="1734" w:type="dxa"/>
            <w:tcBorders>
              <w:top w:val="single" w:color="auto" w:sz="4" w:space="0"/>
              <w:left w:val="nil"/>
              <w:bottom w:val="single" w:color="auto" w:sz="4" w:space="0"/>
              <w:right w:val="single" w:color="auto" w:sz="4" w:space="0"/>
            </w:tcBorders>
            <w:vAlign w:val="center"/>
          </w:tcPr>
          <w:p w14:paraId="794C65F1">
            <w:pPr>
              <w:widowControl/>
              <w:jc w:val="center"/>
              <w:rPr>
                <w:rFonts w:ascii="仿宋_GB2312" w:hAnsi="宋体" w:eastAsia="仿宋_GB2312" w:cs="宋体"/>
                <w:kern w:val="0"/>
                <w:sz w:val="24"/>
              </w:rPr>
            </w:pPr>
            <w:r>
              <w:rPr>
                <w:rFonts w:hint="eastAsia" w:ascii="仿宋_GB2312" w:hAnsi="宋体" w:eastAsia="仿宋_GB2312" w:cs="宋体"/>
                <w:kern w:val="0"/>
                <w:sz w:val="24"/>
              </w:rPr>
              <w:t>副部长</w:t>
            </w:r>
          </w:p>
        </w:tc>
        <w:tc>
          <w:tcPr>
            <w:tcW w:w="1270" w:type="dxa"/>
            <w:tcBorders>
              <w:top w:val="single" w:color="auto" w:sz="4" w:space="0"/>
              <w:left w:val="nil"/>
              <w:bottom w:val="single" w:color="auto" w:sz="4" w:space="0"/>
              <w:right w:val="single" w:color="auto" w:sz="4" w:space="0"/>
            </w:tcBorders>
            <w:vAlign w:val="center"/>
          </w:tcPr>
          <w:p w14:paraId="61DCA588">
            <w:pPr>
              <w:widowControl/>
              <w:jc w:val="center"/>
              <w:textAlignment w:val="center"/>
              <w:rPr>
                <w:rFonts w:ascii="仿宋_GB2312" w:hAnsi="宋体" w:eastAsia="仿宋_GB2312" w:cs="宋体"/>
                <w:kern w:val="0"/>
                <w:sz w:val="24"/>
              </w:rPr>
            </w:pPr>
            <w:r>
              <w:rPr>
                <w:rFonts w:ascii="仿宋_GB2312" w:hAnsi="宋体" w:eastAsia="仿宋_GB2312" w:cs="仿宋_GB2312"/>
                <w:kern w:val="0"/>
                <w:sz w:val="24"/>
              </w:rPr>
              <w:t>6922063</w:t>
            </w:r>
          </w:p>
        </w:tc>
        <w:tc>
          <w:tcPr>
            <w:tcW w:w="1535" w:type="dxa"/>
            <w:tcBorders>
              <w:top w:val="nil"/>
              <w:left w:val="nil"/>
              <w:bottom w:val="single" w:color="auto" w:sz="4" w:space="0"/>
              <w:right w:val="single" w:color="auto" w:sz="4" w:space="0"/>
            </w:tcBorders>
            <w:vAlign w:val="center"/>
          </w:tcPr>
          <w:p w14:paraId="13673DF6">
            <w:pPr>
              <w:widowControl/>
              <w:jc w:val="center"/>
              <w:textAlignment w:val="center"/>
              <w:rPr>
                <w:rFonts w:ascii="仿宋_GB2312" w:hAnsi="宋体" w:eastAsia="仿宋_GB2312" w:cs="宋体"/>
                <w:kern w:val="0"/>
                <w:sz w:val="24"/>
              </w:rPr>
            </w:pPr>
            <w:r>
              <w:rPr>
                <w:rFonts w:ascii="仿宋_GB2312" w:hAnsi="宋体" w:eastAsia="仿宋_GB2312" w:cs="仿宋_GB2312"/>
                <w:kern w:val="0"/>
                <w:sz w:val="24"/>
              </w:rPr>
              <w:t>15666586868</w:t>
            </w:r>
          </w:p>
        </w:tc>
      </w:tr>
      <w:tr w14:paraId="0360FBA5">
        <w:tblPrEx>
          <w:tblCellMar>
            <w:top w:w="0" w:type="dxa"/>
            <w:left w:w="108" w:type="dxa"/>
            <w:bottom w:w="0" w:type="dxa"/>
            <w:right w:w="108" w:type="dxa"/>
          </w:tblCellMar>
        </w:tblPrEx>
        <w:trPr>
          <w:trHeight w:val="840" w:hRule="atLeast"/>
          <w:jc w:val="center"/>
        </w:trPr>
        <w:tc>
          <w:tcPr>
            <w:tcW w:w="1176" w:type="dxa"/>
            <w:vMerge w:val="continue"/>
            <w:tcBorders>
              <w:top w:val="nil"/>
              <w:left w:val="single" w:color="auto" w:sz="4" w:space="0"/>
              <w:bottom w:val="single" w:color="auto" w:sz="4" w:space="0"/>
              <w:right w:val="single" w:color="auto" w:sz="4" w:space="0"/>
            </w:tcBorders>
            <w:vAlign w:val="center"/>
          </w:tcPr>
          <w:p w14:paraId="6B0176BA">
            <w:pPr>
              <w:widowControl/>
              <w:jc w:val="left"/>
              <w:rPr>
                <w:rFonts w:ascii="仿宋_GB2312" w:hAnsi="宋体" w:eastAsia="仿宋_GB2312" w:cs="宋体"/>
                <w:kern w:val="0"/>
                <w:sz w:val="24"/>
              </w:rPr>
            </w:pPr>
          </w:p>
        </w:tc>
        <w:tc>
          <w:tcPr>
            <w:tcW w:w="936" w:type="dxa"/>
            <w:tcBorders>
              <w:top w:val="nil"/>
              <w:left w:val="nil"/>
              <w:bottom w:val="single" w:color="auto" w:sz="4" w:space="0"/>
              <w:right w:val="single" w:color="auto" w:sz="4" w:space="0"/>
            </w:tcBorders>
            <w:vAlign w:val="center"/>
          </w:tcPr>
          <w:p w14:paraId="2367A173">
            <w:pPr>
              <w:widowControl/>
              <w:jc w:val="center"/>
              <w:rPr>
                <w:rFonts w:ascii="仿宋_GB2312" w:hAnsi="宋体" w:eastAsia="仿宋_GB2312" w:cs="宋体"/>
                <w:kern w:val="0"/>
                <w:sz w:val="24"/>
              </w:rPr>
            </w:pPr>
            <w:r>
              <w:rPr>
                <w:rFonts w:hint="eastAsia" w:ascii="仿宋_GB2312" w:hAnsi="宋体" w:eastAsia="仿宋_GB2312" w:cs="宋体"/>
                <w:kern w:val="0"/>
                <w:sz w:val="24"/>
              </w:rPr>
              <w:t>卢华</w:t>
            </w:r>
          </w:p>
        </w:tc>
        <w:tc>
          <w:tcPr>
            <w:tcW w:w="2409" w:type="dxa"/>
            <w:tcBorders>
              <w:top w:val="single" w:color="auto" w:sz="4" w:space="0"/>
              <w:left w:val="nil"/>
              <w:bottom w:val="single" w:color="auto" w:sz="4" w:space="0"/>
              <w:right w:val="single" w:color="auto" w:sz="4" w:space="0"/>
            </w:tcBorders>
            <w:vAlign w:val="center"/>
          </w:tcPr>
          <w:p w14:paraId="4D7F0CE6">
            <w:pPr>
              <w:widowControl/>
              <w:jc w:val="left"/>
              <w:rPr>
                <w:rFonts w:ascii="仿宋_GB2312" w:hAnsi="宋体" w:eastAsia="仿宋_GB2312" w:cs="宋体"/>
                <w:kern w:val="0"/>
                <w:sz w:val="24"/>
              </w:rPr>
            </w:pPr>
            <w:r>
              <w:rPr>
                <w:rFonts w:hint="eastAsia" w:ascii="仿宋_GB2312" w:hAnsi="宋体" w:eastAsia="仿宋_GB2312" w:cs="宋体"/>
                <w:kern w:val="0"/>
                <w:sz w:val="24"/>
              </w:rPr>
              <w:t>马山街道办事处</w:t>
            </w:r>
          </w:p>
        </w:tc>
        <w:tc>
          <w:tcPr>
            <w:tcW w:w="1734" w:type="dxa"/>
            <w:tcBorders>
              <w:top w:val="single" w:color="auto" w:sz="4" w:space="0"/>
              <w:left w:val="nil"/>
              <w:bottom w:val="single" w:color="auto" w:sz="4" w:space="0"/>
              <w:right w:val="single" w:color="auto" w:sz="4" w:space="0"/>
            </w:tcBorders>
            <w:vAlign w:val="center"/>
          </w:tcPr>
          <w:p w14:paraId="64B06A24">
            <w:pPr>
              <w:widowControl/>
              <w:jc w:val="center"/>
              <w:rPr>
                <w:rFonts w:ascii="仿宋_GB2312" w:hAnsi="宋体" w:eastAsia="仿宋_GB2312" w:cs="宋体"/>
                <w:kern w:val="0"/>
                <w:sz w:val="24"/>
              </w:rPr>
            </w:pPr>
            <w:r>
              <w:rPr>
                <w:rFonts w:hint="eastAsia" w:ascii="仿宋_GB2312" w:hAnsi="宋体" w:eastAsia="仿宋_GB2312" w:cs="宋体"/>
                <w:kern w:val="0"/>
                <w:sz w:val="24"/>
              </w:rPr>
              <w:t>副主任</w:t>
            </w:r>
          </w:p>
        </w:tc>
        <w:tc>
          <w:tcPr>
            <w:tcW w:w="1270" w:type="dxa"/>
            <w:tcBorders>
              <w:top w:val="single" w:color="auto" w:sz="4" w:space="0"/>
              <w:left w:val="nil"/>
              <w:bottom w:val="single" w:color="auto" w:sz="4" w:space="0"/>
              <w:right w:val="single" w:color="auto" w:sz="4" w:space="0"/>
            </w:tcBorders>
            <w:vAlign w:val="center"/>
          </w:tcPr>
          <w:p w14:paraId="71E7E388">
            <w:pPr>
              <w:widowControl/>
              <w:jc w:val="center"/>
              <w:textAlignment w:val="center"/>
              <w:rPr>
                <w:rFonts w:ascii="仿宋_GB2312" w:hAnsi="宋体" w:eastAsia="仿宋_GB2312" w:cs="宋体"/>
                <w:kern w:val="0"/>
                <w:sz w:val="24"/>
              </w:rPr>
            </w:pPr>
            <w:r>
              <w:rPr>
                <w:rFonts w:hint="eastAsia" w:ascii="仿宋_GB2312" w:hAnsi="宋体" w:eastAsia="仿宋_GB2312" w:cs="仿宋_GB2312"/>
                <w:kern w:val="0"/>
                <w:sz w:val="24"/>
              </w:rPr>
              <w:t>6922765</w:t>
            </w:r>
          </w:p>
        </w:tc>
        <w:tc>
          <w:tcPr>
            <w:tcW w:w="1535" w:type="dxa"/>
            <w:tcBorders>
              <w:top w:val="nil"/>
              <w:left w:val="nil"/>
              <w:bottom w:val="single" w:color="auto" w:sz="4" w:space="0"/>
              <w:right w:val="single" w:color="auto" w:sz="4" w:space="0"/>
            </w:tcBorders>
            <w:vAlign w:val="center"/>
          </w:tcPr>
          <w:p w14:paraId="74C978A8">
            <w:pPr>
              <w:widowControl/>
              <w:jc w:val="center"/>
              <w:textAlignment w:val="center"/>
              <w:rPr>
                <w:rFonts w:ascii="仿宋_GB2312" w:hAnsi="宋体" w:eastAsia="仿宋_GB2312" w:cs="宋体"/>
                <w:kern w:val="0"/>
                <w:sz w:val="24"/>
              </w:rPr>
            </w:pPr>
            <w:r>
              <w:rPr>
                <w:rFonts w:hint="eastAsia" w:ascii="仿宋_GB2312" w:hAnsi="宋体" w:eastAsia="仿宋_GB2312" w:cs="仿宋_GB2312"/>
                <w:kern w:val="0"/>
                <w:sz w:val="24"/>
              </w:rPr>
              <w:t>18563883353</w:t>
            </w:r>
          </w:p>
        </w:tc>
      </w:tr>
      <w:tr w14:paraId="413E71ED">
        <w:tblPrEx>
          <w:tblCellMar>
            <w:top w:w="0" w:type="dxa"/>
            <w:left w:w="108" w:type="dxa"/>
            <w:bottom w:w="0" w:type="dxa"/>
            <w:right w:w="108" w:type="dxa"/>
          </w:tblCellMar>
        </w:tblPrEx>
        <w:trPr>
          <w:trHeight w:val="840" w:hRule="atLeast"/>
          <w:jc w:val="center"/>
        </w:trPr>
        <w:tc>
          <w:tcPr>
            <w:tcW w:w="1176" w:type="dxa"/>
            <w:vMerge w:val="continue"/>
            <w:tcBorders>
              <w:top w:val="nil"/>
              <w:left w:val="single" w:color="auto" w:sz="4" w:space="0"/>
              <w:bottom w:val="single" w:color="auto" w:sz="4" w:space="0"/>
              <w:right w:val="single" w:color="auto" w:sz="4" w:space="0"/>
            </w:tcBorders>
            <w:vAlign w:val="center"/>
          </w:tcPr>
          <w:p w14:paraId="4B0D0948">
            <w:pPr>
              <w:widowControl/>
              <w:jc w:val="left"/>
              <w:rPr>
                <w:rFonts w:ascii="仿宋_GB2312" w:hAnsi="宋体" w:eastAsia="仿宋_GB2312" w:cs="宋体"/>
                <w:kern w:val="0"/>
                <w:sz w:val="24"/>
              </w:rPr>
            </w:pPr>
          </w:p>
        </w:tc>
        <w:tc>
          <w:tcPr>
            <w:tcW w:w="936" w:type="dxa"/>
            <w:tcBorders>
              <w:top w:val="nil"/>
              <w:left w:val="nil"/>
              <w:bottom w:val="single" w:color="auto" w:sz="4" w:space="0"/>
              <w:right w:val="single" w:color="auto" w:sz="4" w:space="0"/>
            </w:tcBorders>
            <w:vAlign w:val="center"/>
          </w:tcPr>
          <w:p w14:paraId="6BD8307D">
            <w:pPr>
              <w:widowControl/>
              <w:jc w:val="center"/>
              <w:rPr>
                <w:rFonts w:ascii="仿宋_GB2312" w:hAnsi="宋体" w:eastAsia="仿宋_GB2312" w:cs="宋体"/>
                <w:kern w:val="0"/>
                <w:sz w:val="24"/>
              </w:rPr>
            </w:pPr>
            <w:r>
              <w:rPr>
                <w:rFonts w:hint="eastAsia" w:ascii="仿宋_GB2312" w:hAnsi="宋体" w:eastAsia="仿宋_GB2312" w:cs="宋体"/>
                <w:kern w:val="0"/>
                <w:sz w:val="24"/>
              </w:rPr>
              <w:t>刘奎玉</w:t>
            </w:r>
          </w:p>
        </w:tc>
        <w:tc>
          <w:tcPr>
            <w:tcW w:w="2409" w:type="dxa"/>
            <w:tcBorders>
              <w:top w:val="single" w:color="auto" w:sz="4" w:space="0"/>
              <w:left w:val="nil"/>
              <w:bottom w:val="single" w:color="auto" w:sz="4" w:space="0"/>
              <w:right w:val="single" w:color="auto" w:sz="4" w:space="0"/>
            </w:tcBorders>
            <w:vAlign w:val="center"/>
          </w:tcPr>
          <w:p w14:paraId="18785937">
            <w:pPr>
              <w:widowControl/>
              <w:jc w:val="left"/>
              <w:rPr>
                <w:rFonts w:ascii="仿宋_GB2312" w:hAnsi="宋体" w:eastAsia="仿宋_GB2312" w:cs="宋体"/>
                <w:kern w:val="0"/>
                <w:sz w:val="24"/>
              </w:rPr>
            </w:pPr>
            <w:r>
              <w:rPr>
                <w:rFonts w:hint="eastAsia" w:ascii="仿宋_GB2312" w:hAnsi="宋体" w:eastAsia="仿宋_GB2312" w:cs="宋体"/>
                <w:kern w:val="0"/>
                <w:sz w:val="24"/>
              </w:rPr>
              <w:t>公安分局</w:t>
            </w:r>
          </w:p>
        </w:tc>
        <w:tc>
          <w:tcPr>
            <w:tcW w:w="1734" w:type="dxa"/>
            <w:tcBorders>
              <w:top w:val="single" w:color="auto" w:sz="4" w:space="0"/>
              <w:left w:val="nil"/>
              <w:bottom w:val="single" w:color="auto" w:sz="4" w:space="0"/>
              <w:right w:val="single" w:color="auto" w:sz="4" w:space="0"/>
            </w:tcBorders>
            <w:vAlign w:val="center"/>
          </w:tcPr>
          <w:p w14:paraId="2B9EBC79">
            <w:pPr>
              <w:widowControl/>
              <w:jc w:val="center"/>
              <w:rPr>
                <w:rFonts w:ascii="仿宋_GB2312" w:hAnsi="宋体" w:eastAsia="仿宋_GB2312" w:cs="宋体"/>
                <w:kern w:val="0"/>
                <w:sz w:val="24"/>
              </w:rPr>
            </w:pPr>
            <w:r>
              <w:rPr>
                <w:rFonts w:hint="eastAsia" w:ascii="仿宋_GB2312" w:hAnsi="宋体" w:eastAsia="仿宋_GB2312" w:cs="宋体"/>
                <w:kern w:val="0"/>
                <w:sz w:val="24"/>
              </w:rPr>
              <w:t>副局长</w:t>
            </w:r>
          </w:p>
        </w:tc>
        <w:tc>
          <w:tcPr>
            <w:tcW w:w="1270" w:type="dxa"/>
            <w:tcBorders>
              <w:top w:val="single" w:color="auto" w:sz="4" w:space="0"/>
              <w:left w:val="nil"/>
              <w:bottom w:val="single" w:color="auto" w:sz="4" w:space="0"/>
              <w:right w:val="single" w:color="auto" w:sz="4" w:space="0"/>
            </w:tcBorders>
            <w:vAlign w:val="center"/>
          </w:tcPr>
          <w:p w14:paraId="3058739D">
            <w:pPr>
              <w:widowControl/>
              <w:jc w:val="center"/>
              <w:rPr>
                <w:rFonts w:ascii="仿宋_GB2312" w:hAnsi="宋体" w:eastAsia="仿宋_GB2312" w:cs="宋体"/>
                <w:kern w:val="0"/>
                <w:sz w:val="24"/>
              </w:rPr>
            </w:pPr>
            <w:r>
              <w:rPr>
                <w:rFonts w:hint="eastAsia" w:ascii="仿宋_GB2312" w:hAnsi="宋体" w:eastAsia="仿宋_GB2312" w:cs="宋体"/>
                <w:kern w:val="0"/>
                <w:sz w:val="24"/>
              </w:rPr>
              <w:t>6922715</w:t>
            </w:r>
          </w:p>
        </w:tc>
        <w:tc>
          <w:tcPr>
            <w:tcW w:w="1535" w:type="dxa"/>
            <w:tcBorders>
              <w:top w:val="nil"/>
              <w:left w:val="nil"/>
              <w:bottom w:val="single" w:color="auto" w:sz="4" w:space="0"/>
              <w:right w:val="single" w:color="auto" w:sz="4" w:space="0"/>
            </w:tcBorders>
            <w:vAlign w:val="center"/>
          </w:tcPr>
          <w:p w14:paraId="5C034842">
            <w:pPr>
              <w:widowControl/>
              <w:jc w:val="right"/>
              <w:rPr>
                <w:rFonts w:ascii="仿宋_GB2312" w:hAnsi="宋体" w:eastAsia="仿宋_GB2312" w:cs="宋体"/>
                <w:kern w:val="0"/>
                <w:sz w:val="24"/>
              </w:rPr>
            </w:pPr>
            <w:r>
              <w:rPr>
                <w:rFonts w:hint="eastAsia" w:ascii="仿宋_GB2312" w:hAnsi="宋体" w:eastAsia="仿宋_GB2312" w:cs="宋体"/>
                <w:kern w:val="0"/>
                <w:sz w:val="24"/>
              </w:rPr>
              <w:t>18815351007</w:t>
            </w:r>
          </w:p>
        </w:tc>
      </w:tr>
    </w:tbl>
    <w:p w14:paraId="30B700A4">
      <w:pPr>
        <w:spacing w:line="560" w:lineRule="exact"/>
        <w:rPr>
          <w:rFonts w:ascii="仿宋_GB2312" w:hAnsi="宋体" w:eastAsia="仿宋_GB2312" w:cs="宋体"/>
          <w:kern w:val="0"/>
          <w:sz w:val="32"/>
          <w:szCs w:val="32"/>
        </w:rPr>
      </w:pPr>
    </w:p>
    <w:p w14:paraId="373A598F">
      <w:pPr>
        <w:spacing w:line="560" w:lineRule="exact"/>
        <w:rPr>
          <w:rFonts w:ascii="仿宋_GB2312" w:hAnsi="宋体" w:eastAsia="仿宋_GB2312" w:cs="宋体"/>
          <w:kern w:val="0"/>
          <w:sz w:val="32"/>
          <w:szCs w:val="32"/>
        </w:rPr>
      </w:pPr>
    </w:p>
    <w:p w14:paraId="0CD191D8">
      <w:pPr>
        <w:spacing w:line="560" w:lineRule="exact"/>
        <w:rPr>
          <w:rFonts w:ascii="仿宋_GB2312" w:hAnsi="宋体" w:eastAsia="仿宋_GB2312" w:cs="宋体"/>
          <w:kern w:val="0"/>
          <w:sz w:val="32"/>
          <w:szCs w:val="32"/>
        </w:rPr>
      </w:pPr>
    </w:p>
    <w:p w14:paraId="4050032F">
      <w:pPr>
        <w:ind w:firstLine="160" w:firstLineChars="50"/>
        <w:rPr>
          <w:rFonts w:ascii="方正黑体简体" w:eastAsia="方正黑体简体"/>
          <w:sz w:val="32"/>
          <w:szCs w:val="32"/>
        </w:rPr>
      </w:pPr>
      <w:r>
        <w:rPr>
          <w:rFonts w:hint="eastAsia" w:ascii="方正黑体简体" w:eastAsia="方正黑体简体"/>
          <w:sz w:val="32"/>
          <w:szCs w:val="32"/>
        </w:rPr>
        <w:t>附件2：</w:t>
      </w:r>
    </w:p>
    <w:p w14:paraId="53C05C38">
      <w:pPr>
        <w:spacing w:beforeLines="50" w:afterLines="50" w:line="6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烟台高新区建设工程事故应急领导小组</w:t>
      </w:r>
    </w:p>
    <w:p w14:paraId="2DAF36AF">
      <w:pPr>
        <w:spacing w:beforeLines="50" w:afterLines="50" w:line="6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办公室成员名单及联系电话</w:t>
      </w:r>
    </w:p>
    <w:p w14:paraId="42BD79A3">
      <w:pPr>
        <w:jc w:val="center"/>
        <w:rPr>
          <w:rFonts w:ascii="仿宋_GB2312" w:eastAsia="仿宋_GB2312"/>
          <w:b/>
          <w:sz w:val="32"/>
          <w:szCs w:val="32"/>
        </w:rPr>
      </w:pP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80"/>
        <w:gridCol w:w="1890"/>
        <w:gridCol w:w="1711"/>
        <w:gridCol w:w="1750"/>
        <w:gridCol w:w="1261"/>
      </w:tblGrid>
      <w:tr w14:paraId="3A44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68" w:type="dxa"/>
            <w:vAlign w:val="center"/>
          </w:tcPr>
          <w:p w14:paraId="64B2178B">
            <w:pPr>
              <w:jc w:val="center"/>
              <w:rPr>
                <w:rFonts w:ascii="仿宋_GB2312" w:eastAsia="仿宋_GB2312"/>
                <w:spacing w:val="-20"/>
                <w:sz w:val="24"/>
              </w:rPr>
            </w:pPr>
            <w:r>
              <w:rPr>
                <w:rFonts w:hint="eastAsia" w:ascii="仿宋_GB2312" w:eastAsia="仿宋_GB2312"/>
                <w:spacing w:val="-20"/>
                <w:sz w:val="24"/>
              </w:rPr>
              <w:t>应急职务</w:t>
            </w:r>
          </w:p>
        </w:tc>
        <w:tc>
          <w:tcPr>
            <w:tcW w:w="1080" w:type="dxa"/>
            <w:vAlign w:val="center"/>
          </w:tcPr>
          <w:p w14:paraId="16726CBE">
            <w:pPr>
              <w:jc w:val="center"/>
              <w:rPr>
                <w:rFonts w:ascii="仿宋_GB2312" w:eastAsia="仿宋_GB2312"/>
                <w:sz w:val="24"/>
              </w:rPr>
            </w:pPr>
            <w:r>
              <w:rPr>
                <w:rFonts w:hint="eastAsia" w:ascii="仿宋_GB2312" w:eastAsia="仿宋_GB2312"/>
                <w:sz w:val="24"/>
              </w:rPr>
              <w:t>姓 名</w:t>
            </w:r>
          </w:p>
        </w:tc>
        <w:tc>
          <w:tcPr>
            <w:tcW w:w="1890" w:type="dxa"/>
            <w:vAlign w:val="center"/>
          </w:tcPr>
          <w:p w14:paraId="3A4C6491">
            <w:pPr>
              <w:jc w:val="center"/>
              <w:rPr>
                <w:rFonts w:ascii="仿宋_GB2312" w:eastAsia="仿宋_GB2312"/>
                <w:sz w:val="24"/>
              </w:rPr>
            </w:pPr>
            <w:r>
              <w:rPr>
                <w:rFonts w:hint="eastAsia" w:ascii="仿宋_GB2312" w:eastAsia="仿宋_GB2312"/>
                <w:sz w:val="24"/>
              </w:rPr>
              <w:t>单位</w:t>
            </w:r>
          </w:p>
        </w:tc>
        <w:tc>
          <w:tcPr>
            <w:tcW w:w="1711" w:type="dxa"/>
            <w:vAlign w:val="center"/>
          </w:tcPr>
          <w:p w14:paraId="57891205">
            <w:pPr>
              <w:jc w:val="center"/>
              <w:rPr>
                <w:rFonts w:ascii="仿宋_GB2312" w:eastAsia="仿宋_GB2312"/>
                <w:sz w:val="24"/>
              </w:rPr>
            </w:pPr>
            <w:r>
              <w:rPr>
                <w:rFonts w:hint="eastAsia" w:ascii="仿宋_GB2312" w:eastAsia="仿宋_GB2312"/>
                <w:sz w:val="24"/>
              </w:rPr>
              <w:t>职务</w:t>
            </w:r>
          </w:p>
        </w:tc>
        <w:tc>
          <w:tcPr>
            <w:tcW w:w="1750" w:type="dxa"/>
            <w:vAlign w:val="center"/>
          </w:tcPr>
          <w:p w14:paraId="299EFB0D">
            <w:pPr>
              <w:jc w:val="center"/>
              <w:rPr>
                <w:rFonts w:ascii="仿宋_GB2312" w:eastAsia="仿宋_GB2312"/>
                <w:sz w:val="24"/>
              </w:rPr>
            </w:pPr>
            <w:r>
              <w:rPr>
                <w:rFonts w:hint="eastAsia" w:ascii="仿宋_GB2312" w:eastAsia="仿宋_GB2312"/>
                <w:sz w:val="24"/>
              </w:rPr>
              <w:t>手机</w:t>
            </w:r>
          </w:p>
        </w:tc>
        <w:tc>
          <w:tcPr>
            <w:tcW w:w="1261" w:type="dxa"/>
            <w:vAlign w:val="center"/>
          </w:tcPr>
          <w:p w14:paraId="77C79F50">
            <w:pPr>
              <w:jc w:val="center"/>
              <w:rPr>
                <w:rFonts w:ascii="仿宋_GB2312" w:eastAsia="仿宋_GB2312"/>
                <w:sz w:val="24"/>
              </w:rPr>
            </w:pPr>
            <w:r>
              <w:rPr>
                <w:rFonts w:hint="eastAsia" w:ascii="仿宋_GB2312" w:eastAsia="仿宋_GB2312"/>
                <w:sz w:val="24"/>
              </w:rPr>
              <w:t>办公电话</w:t>
            </w:r>
          </w:p>
        </w:tc>
      </w:tr>
      <w:tr w14:paraId="332A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68" w:type="dxa"/>
            <w:vAlign w:val="center"/>
          </w:tcPr>
          <w:p w14:paraId="76596F97">
            <w:pPr>
              <w:jc w:val="center"/>
              <w:rPr>
                <w:rFonts w:ascii="仿宋_GB2312" w:eastAsia="仿宋_GB2312"/>
                <w:sz w:val="24"/>
              </w:rPr>
            </w:pPr>
            <w:r>
              <w:rPr>
                <w:rFonts w:hint="eastAsia" w:ascii="仿宋_GB2312" w:eastAsia="仿宋_GB2312"/>
                <w:sz w:val="24"/>
              </w:rPr>
              <w:t>主  任</w:t>
            </w:r>
          </w:p>
        </w:tc>
        <w:tc>
          <w:tcPr>
            <w:tcW w:w="1080" w:type="dxa"/>
            <w:vAlign w:val="center"/>
          </w:tcPr>
          <w:p w14:paraId="008B5530">
            <w:pPr>
              <w:jc w:val="center"/>
              <w:rPr>
                <w:rFonts w:ascii="仿宋_GB2312" w:eastAsia="仿宋_GB2312"/>
                <w:sz w:val="24"/>
              </w:rPr>
            </w:pPr>
            <w:r>
              <w:rPr>
                <w:rFonts w:hint="eastAsia" w:ascii="仿宋_GB2312" w:eastAsia="仿宋_GB2312"/>
                <w:sz w:val="24"/>
              </w:rPr>
              <w:t>杨林</w:t>
            </w:r>
          </w:p>
        </w:tc>
        <w:tc>
          <w:tcPr>
            <w:tcW w:w="1890" w:type="dxa"/>
            <w:vAlign w:val="center"/>
          </w:tcPr>
          <w:p w14:paraId="2FC321FA">
            <w:pPr>
              <w:jc w:val="center"/>
              <w:rPr>
                <w:rFonts w:ascii="仿宋_GB2312" w:eastAsia="仿宋_GB2312"/>
                <w:spacing w:val="-20"/>
                <w:sz w:val="24"/>
              </w:rPr>
            </w:pPr>
            <w:r>
              <w:rPr>
                <w:rFonts w:hint="eastAsia" w:ascii="仿宋_GB2312" w:eastAsia="仿宋_GB2312"/>
                <w:spacing w:val="-20"/>
                <w:sz w:val="24"/>
              </w:rPr>
              <w:t>区规划国土建设部</w:t>
            </w:r>
          </w:p>
        </w:tc>
        <w:tc>
          <w:tcPr>
            <w:tcW w:w="1711" w:type="dxa"/>
            <w:vAlign w:val="center"/>
          </w:tcPr>
          <w:p w14:paraId="3D34FB09">
            <w:pPr>
              <w:spacing w:line="0" w:lineRule="atLeast"/>
              <w:jc w:val="center"/>
              <w:rPr>
                <w:rFonts w:ascii="仿宋_GB2312" w:eastAsia="仿宋_GB2312"/>
                <w:sz w:val="24"/>
              </w:rPr>
            </w:pPr>
            <w:r>
              <w:rPr>
                <w:rFonts w:hint="eastAsia" w:ascii="仿宋_GB2312" w:eastAsia="仿宋_GB2312"/>
                <w:sz w:val="24"/>
              </w:rPr>
              <w:t>部长</w:t>
            </w:r>
          </w:p>
        </w:tc>
        <w:tc>
          <w:tcPr>
            <w:tcW w:w="1750" w:type="dxa"/>
            <w:vAlign w:val="center"/>
          </w:tcPr>
          <w:p w14:paraId="0221EFD4">
            <w:pPr>
              <w:jc w:val="center"/>
              <w:rPr>
                <w:rFonts w:ascii="仿宋_GB2312" w:eastAsia="仿宋_GB2312"/>
                <w:sz w:val="24"/>
              </w:rPr>
            </w:pPr>
            <w:r>
              <w:rPr>
                <w:rFonts w:hint="eastAsia" w:ascii="仿宋_GB2312" w:eastAsia="仿宋_GB2312"/>
                <w:sz w:val="24"/>
              </w:rPr>
              <w:t>13806452009</w:t>
            </w:r>
          </w:p>
        </w:tc>
        <w:tc>
          <w:tcPr>
            <w:tcW w:w="1261" w:type="dxa"/>
            <w:vAlign w:val="center"/>
          </w:tcPr>
          <w:p w14:paraId="6C5E6BDB">
            <w:pPr>
              <w:jc w:val="center"/>
              <w:rPr>
                <w:rFonts w:ascii="仿宋_GB2312" w:eastAsia="仿宋_GB2312"/>
                <w:sz w:val="24"/>
              </w:rPr>
            </w:pPr>
            <w:r>
              <w:rPr>
                <w:rFonts w:hint="eastAsia" w:ascii="仿宋_GB2312" w:eastAsia="仿宋_GB2312"/>
                <w:sz w:val="24"/>
              </w:rPr>
              <w:t>6922353</w:t>
            </w:r>
          </w:p>
        </w:tc>
      </w:tr>
      <w:tr w14:paraId="64C6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68" w:type="dxa"/>
            <w:vMerge w:val="restart"/>
            <w:vAlign w:val="center"/>
          </w:tcPr>
          <w:p w14:paraId="5F465054">
            <w:pPr>
              <w:jc w:val="center"/>
              <w:rPr>
                <w:rFonts w:ascii="仿宋_GB2312" w:eastAsia="仿宋_GB2312"/>
                <w:sz w:val="24"/>
              </w:rPr>
            </w:pPr>
            <w:r>
              <w:rPr>
                <w:rFonts w:hint="eastAsia" w:ascii="仿宋_GB2312" w:eastAsia="仿宋_GB2312"/>
                <w:sz w:val="24"/>
              </w:rPr>
              <w:t>副主任</w:t>
            </w:r>
          </w:p>
        </w:tc>
        <w:tc>
          <w:tcPr>
            <w:tcW w:w="1080" w:type="dxa"/>
            <w:vAlign w:val="center"/>
          </w:tcPr>
          <w:p w14:paraId="5322520C">
            <w:pPr>
              <w:jc w:val="center"/>
              <w:rPr>
                <w:rFonts w:ascii="仿宋_GB2312" w:eastAsia="仿宋_GB2312"/>
                <w:sz w:val="24"/>
              </w:rPr>
            </w:pPr>
            <w:r>
              <w:rPr>
                <w:rFonts w:hint="eastAsia" w:ascii="仿宋_GB2312" w:eastAsia="仿宋_GB2312"/>
                <w:sz w:val="24"/>
              </w:rPr>
              <w:t>谭义伟</w:t>
            </w:r>
          </w:p>
        </w:tc>
        <w:tc>
          <w:tcPr>
            <w:tcW w:w="1890" w:type="dxa"/>
            <w:vAlign w:val="center"/>
          </w:tcPr>
          <w:p w14:paraId="0CD91877">
            <w:pPr>
              <w:jc w:val="center"/>
              <w:rPr>
                <w:rFonts w:ascii="仿宋_GB2312" w:eastAsia="仿宋_GB2312"/>
                <w:spacing w:val="-20"/>
                <w:sz w:val="24"/>
              </w:rPr>
            </w:pPr>
            <w:r>
              <w:rPr>
                <w:rFonts w:hint="eastAsia" w:ascii="仿宋_GB2312" w:eastAsia="仿宋_GB2312"/>
                <w:spacing w:val="-20"/>
                <w:sz w:val="24"/>
              </w:rPr>
              <w:t>区规划国土建设部</w:t>
            </w:r>
          </w:p>
        </w:tc>
        <w:tc>
          <w:tcPr>
            <w:tcW w:w="1711" w:type="dxa"/>
            <w:vAlign w:val="center"/>
          </w:tcPr>
          <w:p w14:paraId="7F1433DD">
            <w:pPr>
              <w:jc w:val="center"/>
              <w:rPr>
                <w:rFonts w:ascii="仿宋_GB2312" w:eastAsia="仿宋_GB2312"/>
                <w:sz w:val="24"/>
              </w:rPr>
            </w:pPr>
            <w:r>
              <w:rPr>
                <w:rFonts w:hint="eastAsia" w:ascii="仿宋_GB2312" w:eastAsia="仿宋_GB2312"/>
                <w:sz w:val="24"/>
              </w:rPr>
              <w:t>副部长</w:t>
            </w:r>
          </w:p>
        </w:tc>
        <w:tc>
          <w:tcPr>
            <w:tcW w:w="1750" w:type="dxa"/>
            <w:vAlign w:val="center"/>
          </w:tcPr>
          <w:p w14:paraId="715935E6">
            <w:pPr>
              <w:jc w:val="center"/>
              <w:rPr>
                <w:rFonts w:ascii="仿宋_GB2312" w:eastAsia="仿宋_GB2312"/>
                <w:sz w:val="24"/>
              </w:rPr>
            </w:pPr>
            <w:r>
              <w:rPr>
                <w:rFonts w:hint="eastAsia" w:ascii="仿宋_GB2312" w:eastAsia="仿宋_GB2312"/>
                <w:sz w:val="24"/>
              </w:rPr>
              <w:t>13356922678</w:t>
            </w:r>
          </w:p>
        </w:tc>
        <w:tc>
          <w:tcPr>
            <w:tcW w:w="1261" w:type="dxa"/>
            <w:vAlign w:val="center"/>
          </w:tcPr>
          <w:p w14:paraId="0CFB2880">
            <w:pPr>
              <w:jc w:val="center"/>
              <w:rPr>
                <w:rFonts w:ascii="仿宋_GB2312" w:eastAsia="仿宋_GB2312"/>
                <w:sz w:val="24"/>
              </w:rPr>
            </w:pPr>
            <w:r>
              <w:rPr>
                <w:rFonts w:hint="eastAsia" w:ascii="仿宋_GB2312" w:eastAsia="仿宋_GB2312"/>
                <w:sz w:val="24"/>
              </w:rPr>
              <w:t>6922318</w:t>
            </w:r>
          </w:p>
        </w:tc>
      </w:tr>
      <w:tr w14:paraId="472B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68" w:type="dxa"/>
            <w:vMerge w:val="continue"/>
            <w:vAlign w:val="center"/>
          </w:tcPr>
          <w:p w14:paraId="562CEEF6">
            <w:pPr>
              <w:jc w:val="center"/>
              <w:rPr>
                <w:rFonts w:ascii="仿宋_GB2312" w:eastAsia="仿宋_GB2312"/>
                <w:sz w:val="24"/>
              </w:rPr>
            </w:pPr>
          </w:p>
        </w:tc>
        <w:tc>
          <w:tcPr>
            <w:tcW w:w="1080" w:type="dxa"/>
            <w:tcBorders>
              <w:bottom w:val="single" w:color="auto" w:sz="4" w:space="0"/>
            </w:tcBorders>
            <w:vAlign w:val="center"/>
          </w:tcPr>
          <w:p w14:paraId="2D1D3AC3">
            <w:pPr>
              <w:jc w:val="center"/>
              <w:rPr>
                <w:rFonts w:ascii="仿宋_GB2312" w:eastAsia="仿宋_GB2312"/>
                <w:sz w:val="24"/>
              </w:rPr>
            </w:pPr>
            <w:r>
              <w:rPr>
                <w:rFonts w:hint="eastAsia" w:ascii="仿宋_GB2312" w:eastAsia="仿宋_GB2312"/>
                <w:sz w:val="24"/>
              </w:rPr>
              <w:t>刘瑞伟</w:t>
            </w:r>
          </w:p>
        </w:tc>
        <w:tc>
          <w:tcPr>
            <w:tcW w:w="1890" w:type="dxa"/>
            <w:tcBorders>
              <w:bottom w:val="single" w:color="auto" w:sz="4" w:space="0"/>
            </w:tcBorders>
            <w:vAlign w:val="center"/>
          </w:tcPr>
          <w:p w14:paraId="2B567F16">
            <w:pPr>
              <w:jc w:val="center"/>
              <w:rPr>
                <w:rFonts w:ascii="仿宋_GB2312" w:eastAsia="仿宋_GB2312"/>
                <w:sz w:val="24"/>
              </w:rPr>
            </w:pPr>
            <w:r>
              <w:rPr>
                <w:rFonts w:hint="eastAsia" w:ascii="仿宋_GB2312" w:eastAsia="仿宋_GB2312"/>
                <w:spacing w:val="-20"/>
                <w:sz w:val="24"/>
              </w:rPr>
              <w:t>市住建局执法监察支队高新区分站</w:t>
            </w:r>
          </w:p>
        </w:tc>
        <w:tc>
          <w:tcPr>
            <w:tcW w:w="1711" w:type="dxa"/>
            <w:tcBorders>
              <w:bottom w:val="single" w:color="auto" w:sz="4" w:space="0"/>
            </w:tcBorders>
            <w:vAlign w:val="center"/>
          </w:tcPr>
          <w:p w14:paraId="022BEEDF">
            <w:pPr>
              <w:jc w:val="center"/>
              <w:rPr>
                <w:rFonts w:ascii="仿宋_GB2312" w:eastAsia="仿宋_GB2312"/>
                <w:sz w:val="24"/>
              </w:rPr>
            </w:pPr>
            <w:r>
              <w:rPr>
                <w:rFonts w:hint="eastAsia" w:ascii="仿宋_GB2312" w:eastAsia="仿宋_GB2312"/>
                <w:sz w:val="24"/>
              </w:rPr>
              <w:t>站长</w:t>
            </w:r>
          </w:p>
        </w:tc>
        <w:tc>
          <w:tcPr>
            <w:tcW w:w="1750" w:type="dxa"/>
            <w:tcBorders>
              <w:bottom w:val="single" w:color="auto" w:sz="4" w:space="0"/>
            </w:tcBorders>
            <w:vAlign w:val="center"/>
          </w:tcPr>
          <w:p w14:paraId="676036B1">
            <w:pPr>
              <w:jc w:val="center"/>
              <w:rPr>
                <w:rFonts w:ascii="仿宋_GB2312" w:eastAsia="仿宋_GB2312"/>
                <w:sz w:val="24"/>
              </w:rPr>
            </w:pPr>
            <w:r>
              <w:rPr>
                <w:rFonts w:hint="eastAsia" w:ascii="仿宋_GB2312" w:eastAsia="仿宋_GB2312"/>
                <w:sz w:val="24"/>
              </w:rPr>
              <w:t>18561097155</w:t>
            </w:r>
          </w:p>
        </w:tc>
        <w:tc>
          <w:tcPr>
            <w:tcW w:w="1261" w:type="dxa"/>
            <w:tcBorders>
              <w:bottom w:val="single" w:color="auto" w:sz="4" w:space="0"/>
            </w:tcBorders>
            <w:vAlign w:val="center"/>
          </w:tcPr>
          <w:p w14:paraId="5DAA471A">
            <w:pPr>
              <w:jc w:val="center"/>
              <w:rPr>
                <w:rFonts w:ascii="仿宋_GB2312" w:eastAsia="仿宋_GB2312"/>
                <w:sz w:val="24"/>
              </w:rPr>
            </w:pPr>
            <w:r>
              <w:rPr>
                <w:rFonts w:hint="eastAsia" w:ascii="仿宋_GB2312" w:eastAsia="仿宋_GB2312"/>
                <w:sz w:val="24"/>
              </w:rPr>
              <w:t>6922137</w:t>
            </w:r>
          </w:p>
        </w:tc>
      </w:tr>
      <w:tr w14:paraId="11C9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68" w:type="dxa"/>
            <w:vMerge w:val="continue"/>
            <w:vAlign w:val="center"/>
          </w:tcPr>
          <w:p w14:paraId="373BD7A1">
            <w:pPr>
              <w:jc w:val="center"/>
              <w:rPr>
                <w:rFonts w:ascii="仿宋_GB2312" w:eastAsia="仿宋_GB2312"/>
                <w:sz w:val="24"/>
              </w:rPr>
            </w:pPr>
          </w:p>
        </w:tc>
        <w:tc>
          <w:tcPr>
            <w:tcW w:w="1080" w:type="dxa"/>
            <w:tcBorders>
              <w:bottom w:val="single" w:color="auto" w:sz="4" w:space="0"/>
            </w:tcBorders>
            <w:vAlign w:val="center"/>
          </w:tcPr>
          <w:p w14:paraId="218FBD3E">
            <w:pPr>
              <w:jc w:val="center"/>
              <w:rPr>
                <w:rFonts w:ascii="仿宋_GB2312" w:eastAsia="仿宋_GB2312"/>
                <w:sz w:val="24"/>
              </w:rPr>
            </w:pPr>
            <w:r>
              <w:rPr>
                <w:rFonts w:hint="eastAsia" w:ascii="仿宋_GB2312" w:eastAsia="仿宋_GB2312"/>
                <w:sz w:val="24"/>
              </w:rPr>
              <w:t>刘聪</w:t>
            </w:r>
          </w:p>
        </w:tc>
        <w:tc>
          <w:tcPr>
            <w:tcW w:w="1890" w:type="dxa"/>
            <w:tcBorders>
              <w:bottom w:val="single" w:color="auto" w:sz="4" w:space="0"/>
            </w:tcBorders>
            <w:vAlign w:val="center"/>
          </w:tcPr>
          <w:p w14:paraId="4A2A8FC8">
            <w:pPr>
              <w:jc w:val="center"/>
              <w:rPr>
                <w:rFonts w:ascii="仿宋_GB2312" w:eastAsia="仿宋_GB2312"/>
                <w:spacing w:val="-20"/>
                <w:sz w:val="24"/>
              </w:rPr>
            </w:pPr>
            <w:r>
              <w:rPr>
                <w:rFonts w:hint="eastAsia" w:ascii="仿宋_GB2312" w:eastAsia="仿宋_GB2312"/>
                <w:spacing w:val="-20"/>
                <w:sz w:val="24"/>
              </w:rPr>
              <w:t>区规划国土建设部</w:t>
            </w:r>
          </w:p>
        </w:tc>
        <w:tc>
          <w:tcPr>
            <w:tcW w:w="1711" w:type="dxa"/>
            <w:tcBorders>
              <w:bottom w:val="single" w:color="auto" w:sz="4" w:space="0"/>
            </w:tcBorders>
            <w:vAlign w:val="center"/>
          </w:tcPr>
          <w:p w14:paraId="0D1A455E">
            <w:pPr>
              <w:jc w:val="center"/>
              <w:rPr>
                <w:rFonts w:ascii="仿宋_GB2312" w:eastAsia="仿宋_GB2312"/>
                <w:sz w:val="24"/>
              </w:rPr>
            </w:pPr>
            <w:r>
              <w:rPr>
                <w:rFonts w:hint="eastAsia" w:ascii="仿宋_GB2312" w:eastAsia="仿宋_GB2312"/>
                <w:sz w:val="24"/>
              </w:rPr>
              <w:t>高级主办</w:t>
            </w:r>
          </w:p>
        </w:tc>
        <w:tc>
          <w:tcPr>
            <w:tcW w:w="1750" w:type="dxa"/>
            <w:tcBorders>
              <w:bottom w:val="single" w:color="auto" w:sz="4" w:space="0"/>
            </w:tcBorders>
            <w:vAlign w:val="center"/>
          </w:tcPr>
          <w:p w14:paraId="6AED547F">
            <w:pPr>
              <w:jc w:val="center"/>
              <w:rPr>
                <w:rFonts w:ascii="仿宋_GB2312" w:eastAsia="仿宋_GB2312"/>
                <w:sz w:val="24"/>
              </w:rPr>
            </w:pPr>
            <w:r>
              <w:rPr>
                <w:rFonts w:hint="eastAsia" w:ascii="仿宋_GB2312" w:eastAsia="仿宋_GB2312"/>
                <w:sz w:val="24"/>
              </w:rPr>
              <w:t>13697898173</w:t>
            </w:r>
          </w:p>
        </w:tc>
        <w:tc>
          <w:tcPr>
            <w:tcW w:w="1261" w:type="dxa"/>
            <w:tcBorders>
              <w:bottom w:val="single" w:color="auto" w:sz="4" w:space="0"/>
            </w:tcBorders>
            <w:vAlign w:val="center"/>
          </w:tcPr>
          <w:p w14:paraId="123C1B7C">
            <w:pPr>
              <w:jc w:val="center"/>
              <w:rPr>
                <w:rFonts w:ascii="仿宋_GB2312" w:eastAsia="仿宋_GB2312"/>
                <w:sz w:val="24"/>
              </w:rPr>
            </w:pPr>
            <w:r>
              <w:rPr>
                <w:rFonts w:hint="eastAsia" w:ascii="仿宋_GB2312" w:eastAsia="仿宋_GB2312"/>
                <w:sz w:val="24"/>
              </w:rPr>
              <w:t>6922488</w:t>
            </w:r>
          </w:p>
        </w:tc>
      </w:tr>
      <w:tr w14:paraId="30BB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68" w:type="dxa"/>
            <w:vMerge w:val="restart"/>
            <w:vAlign w:val="center"/>
          </w:tcPr>
          <w:p w14:paraId="134612B8">
            <w:pPr>
              <w:jc w:val="center"/>
              <w:rPr>
                <w:rFonts w:ascii="仿宋_GB2312" w:eastAsia="仿宋_GB2312"/>
                <w:sz w:val="24"/>
              </w:rPr>
            </w:pPr>
            <w:r>
              <w:rPr>
                <w:rFonts w:hint="eastAsia" w:ascii="仿宋_GB2312" w:eastAsia="仿宋_GB2312"/>
                <w:sz w:val="24"/>
              </w:rPr>
              <w:t>成员</w:t>
            </w:r>
          </w:p>
        </w:tc>
        <w:tc>
          <w:tcPr>
            <w:tcW w:w="1080" w:type="dxa"/>
            <w:vAlign w:val="center"/>
          </w:tcPr>
          <w:p w14:paraId="6F949A41">
            <w:pPr>
              <w:jc w:val="center"/>
              <w:rPr>
                <w:rFonts w:ascii="仿宋_GB2312" w:eastAsia="仿宋_GB2312"/>
                <w:sz w:val="24"/>
              </w:rPr>
            </w:pPr>
            <w:r>
              <w:rPr>
                <w:rFonts w:hint="eastAsia" w:ascii="仿宋_GB2312" w:eastAsia="仿宋_GB2312"/>
                <w:sz w:val="24"/>
              </w:rPr>
              <w:t>叶迎来</w:t>
            </w:r>
          </w:p>
        </w:tc>
        <w:tc>
          <w:tcPr>
            <w:tcW w:w="1890" w:type="dxa"/>
            <w:vAlign w:val="center"/>
          </w:tcPr>
          <w:p w14:paraId="72C9EE12">
            <w:pPr>
              <w:jc w:val="center"/>
              <w:rPr>
                <w:rFonts w:ascii="仿宋_GB2312" w:eastAsia="仿宋_GB2312"/>
                <w:sz w:val="24"/>
              </w:rPr>
            </w:pPr>
            <w:r>
              <w:rPr>
                <w:rFonts w:hint="eastAsia" w:ascii="仿宋_GB2312" w:eastAsia="仿宋_GB2312"/>
                <w:spacing w:val="-20"/>
                <w:sz w:val="24"/>
              </w:rPr>
              <w:t>区规划国土建设部</w:t>
            </w:r>
          </w:p>
        </w:tc>
        <w:tc>
          <w:tcPr>
            <w:tcW w:w="1711" w:type="dxa"/>
            <w:vAlign w:val="center"/>
          </w:tcPr>
          <w:p w14:paraId="517915AC">
            <w:pPr>
              <w:jc w:val="center"/>
              <w:rPr>
                <w:rFonts w:ascii="仿宋_GB2312" w:eastAsia="仿宋_GB2312"/>
                <w:sz w:val="24"/>
              </w:rPr>
            </w:pPr>
            <w:r>
              <w:rPr>
                <w:rFonts w:hint="eastAsia" w:ascii="仿宋_GB2312" w:eastAsia="仿宋_GB2312"/>
                <w:sz w:val="24"/>
              </w:rPr>
              <w:t>办公室主任</w:t>
            </w:r>
          </w:p>
        </w:tc>
        <w:tc>
          <w:tcPr>
            <w:tcW w:w="1750" w:type="dxa"/>
            <w:vAlign w:val="center"/>
          </w:tcPr>
          <w:p w14:paraId="45465B38">
            <w:pPr>
              <w:jc w:val="center"/>
              <w:rPr>
                <w:rFonts w:ascii="仿宋_GB2312" w:eastAsia="仿宋_GB2312"/>
                <w:sz w:val="24"/>
              </w:rPr>
            </w:pPr>
            <w:r>
              <w:rPr>
                <w:rFonts w:hint="eastAsia" w:ascii="仿宋_GB2312" w:eastAsia="仿宋_GB2312"/>
                <w:sz w:val="24"/>
              </w:rPr>
              <w:t>13105356727</w:t>
            </w:r>
          </w:p>
        </w:tc>
        <w:tc>
          <w:tcPr>
            <w:tcW w:w="1261" w:type="dxa"/>
            <w:vAlign w:val="center"/>
          </w:tcPr>
          <w:p w14:paraId="1CCBAA79">
            <w:pPr>
              <w:jc w:val="center"/>
              <w:rPr>
                <w:rFonts w:ascii="仿宋_GB2312" w:eastAsia="仿宋_GB2312"/>
                <w:sz w:val="24"/>
              </w:rPr>
            </w:pPr>
            <w:r>
              <w:rPr>
                <w:rFonts w:hint="eastAsia" w:ascii="仿宋_GB2312" w:eastAsia="仿宋_GB2312"/>
                <w:sz w:val="24"/>
              </w:rPr>
              <w:t>6922358</w:t>
            </w:r>
          </w:p>
        </w:tc>
      </w:tr>
      <w:tr w14:paraId="5204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68" w:type="dxa"/>
            <w:vMerge w:val="continue"/>
            <w:vAlign w:val="center"/>
          </w:tcPr>
          <w:p w14:paraId="32316F57">
            <w:pPr>
              <w:jc w:val="center"/>
              <w:rPr>
                <w:rFonts w:ascii="仿宋_GB2312" w:eastAsia="仿宋_GB2312"/>
                <w:sz w:val="24"/>
              </w:rPr>
            </w:pPr>
          </w:p>
        </w:tc>
        <w:tc>
          <w:tcPr>
            <w:tcW w:w="1080" w:type="dxa"/>
            <w:vAlign w:val="center"/>
          </w:tcPr>
          <w:p w14:paraId="408EF92B">
            <w:pPr>
              <w:jc w:val="center"/>
              <w:rPr>
                <w:rFonts w:ascii="仿宋_GB2312" w:eastAsia="仿宋_GB2312"/>
                <w:sz w:val="24"/>
              </w:rPr>
            </w:pPr>
            <w:r>
              <w:rPr>
                <w:rFonts w:hint="eastAsia" w:ascii="仿宋_GB2312" w:eastAsia="仿宋_GB2312"/>
                <w:sz w:val="24"/>
              </w:rPr>
              <w:t>徐伟</w:t>
            </w:r>
          </w:p>
        </w:tc>
        <w:tc>
          <w:tcPr>
            <w:tcW w:w="1890" w:type="dxa"/>
            <w:vAlign w:val="center"/>
          </w:tcPr>
          <w:p w14:paraId="7BE6804C">
            <w:pPr>
              <w:jc w:val="center"/>
              <w:rPr>
                <w:rFonts w:ascii="仿宋_GB2312" w:eastAsia="仿宋_GB2312"/>
                <w:spacing w:val="-20"/>
                <w:sz w:val="24"/>
              </w:rPr>
            </w:pPr>
            <w:r>
              <w:rPr>
                <w:rFonts w:hint="eastAsia" w:ascii="仿宋_GB2312" w:eastAsia="仿宋_GB2312"/>
                <w:spacing w:val="-20"/>
                <w:sz w:val="24"/>
              </w:rPr>
              <w:t>区规划国土建设部</w:t>
            </w:r>
          </w:p>
        </w:tc>
        <w:tc>
          <w:tcPr>
            <w:tcW w:w="1711" w:type="dxa"/>
            <w:vAlign w:val="center"/>
          </w:tcPr>
          <w:p w14:paraId="769B17B3">
            <w:pPr>
              <w:jc w:val="center"/>
              <w:rPr>
                <w:rFonts w:ascii="仿宋_GB2312" w:eastAsia="仿宋_GB2312"/>
                <w:sz w:val="24"/>
              </w:rPr>
            </w:pPr>
            <w:r>
              <w:rPr>
                <w:rFonts w:hint="eastAsia" w:ascii="仿宋_GB2312" w:eastAsia="仿宋_GB2312"/>
                <w:sz w:val="24"/>
              </w:rPr>
              <w:t>建设管理科科长</w:t>
            </w:r>
          </w:p>
        </w:tc>
        <w:tc>
          <w:tcPr>
            <w:tcW w:w="1750" w:type="dxa"/>
            <w:vAlign w:val="center"/>
          </w:tcPr>
          <w:p w14:paraId="30CB2034">
            <w:pPr>
              <w:jc w:val="center"/>
              <w:rPr>
                <w:rFonts w:ascii="仿宋_GB2312" w:eastAsia="仿宋_GB2312"/>
                <w:sz w:val="24"/>
              </w:rPr>
            </w:pPr>
            <w:r>
              <w:rPr>
                <w:rFonts w:hint="eastAsia" w:ascii="仿宋_GB2312" w:eastAsia="仿宋_GB2312"/>
                <w:sz w:val="24"/>
              </w:rPr>
              <w:t>15553558376</w:t>
            </w:r>
          </w:p>
        </w:tc>
        <w:tc>
          <w:tcPr>
            <w:tcW w:w="1261" w:type="dxa"/>
            <w:vAlign w:val="center"/>
          </w:tcPr>
          <w:p w14:paraId="34449341">
            <w:pPr>
              <w:jc w:val="center"/>
              <w:rPr>
                <w:rFonts w:ascii="仿宋_GB2312" w:eastAsia="仿宋_GB2312"/>
                <w:sz w:val="24"/>
              </w:rPr>
            </w:pPr>
            <w:r>
              <w:rPr>
                <w:rFonts w:hint="eastAsia" w:ascii="仿宋_GB2312" w:eastAsia="仿宋_GB2312"/>
                <w:sz w:val="24"/>
              </w:rPr>
              <w:t>6922182</w:t>
            </w:r>
          </w:p>
        </w:tc>
      </w:tr>
      <w:tr w14:paraId="4E4F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68" w:type="dxa"/>
            <w:vMerge w:val="continue"/>
            <w:vAlign w:val="center"/>
          </w:tcPr>
          <w:p w14:paraId="04B8B66C">
            <w:pPr>
              <w:jc w:val="center"/>
              <w:rPr>
                <w:rFonts w:ascii="仿宋_GB2312" w:eastAsia="仿宋_GB2312"/>
                <w:sz w:val="24"/>
              </w:rPr>
            </w:pPr>
          </w:p>
        </w:tc>
        <w:tc>
          <w:tcPr>
            <w:tcW w:w="1080" w:type="dxa"/>
            <w:vAlign w:val="center"/>
          </w:tcPr>
          <w:p w14:paraId="5E37EB0A">
            <w:pPr>
              <w:jc w:val="center"/>
              <w:rPr>
                <w:rFonts w:ascii="仿宋_GB2312" w:eastAsia="仿宋_GB2312"/>
                <w:sz w:val="24"/>
              </w:rPr>
            </w:pPr>
            <w:r>
              <w:rPr>
                <w:rFonts w:hint="eastAsia" w:ascii="仿宋_GB2312" w:eastAsia="仿宋_GB2312"/>
                <w:sz w:val="24"/>
              </w:rPr>
              <w:t>杨振东</w:t>
            </w:r>
          </w:p>
        </w:tc>
        <w:tc>
          <w:tcPr>
            <w:tcW w:w="1890" w:type="dxa"/>
            <w:vAlign w:val="center"/>
          </w:tcPr>
          <w:p w14:paraId="323B0C51">
            <w:pPr>
              <w:jc w:val="center"/>
              <w:rPr>
                <w:rFonts w:ascii="仿宋_GB2312" w:eastAsia="仿宋_GB2312"/>
                <w:sz w:val="24"/>
              </w:rPr>
            </w:pPr>
            <w:r>
              <w:rPr>
                <w:rFonts w:hint="eastAsia" w:ascii="仿宋_GB2312" w:eastAsia="仿宋_GB2312"/>
                <w:spacing w:val="-20"/>
                <w:sz w:val="24"/>
              </w:rPr>
              <w:t>区规划国土建设部</w:t>
            </w:r>
          </w:p>
        </w:tc>
        <w:tc>
          <w:tcPr>
            <w:tcW w:w="1711" w:type="dxa"/>
            <w:vAlign w:val="center"/>
          </w:tcPr>
          <w:p w14:paraId="5D604A1E">
            <w:pPr>
              <w:jc w:val="center"/>
              <w:rPr>
                <w:rFonts w:ascii="仿宋_GB2312" w:eastAsia="仿宋_GB2312"/>
                <w:sz w:val="24"/>
              </w:rPr>
            </w:pPr>
            <w:r>
              <w:rPr>
                <w:rFonts w:hint="eastAsia" w:ascii="仿宋_GB2312" w:eastAsia="仿宋_GB2312"/>
                <w:sz w:val="24"/>
              </w:rPr>
              <w:t>人防科科科长</w:t>
            </w:r>
          </w:p>
        </w:tc>
        <w:tc>
          <w:tcPr>
            <w:tcW w:w="1750" w:type="dxa"/>
            <w:vAlign w:val="center"/>
          </w:tcPr>
          <w:p w14:paraId="29E507D7">
            <w:pPr>
              <w:jc w:val="center"/>
              <w:rPr>
                <w:rFonts w:ascii="仿宋_GB2312" w:eastAsia="仿宋_GB2312"/>
                <w:sz w:val="24"/>
              </w:rPr>
            </w:pPr>
            <w:r>
              <w:rPr>
                <w:rFonts w:hint="eastAsia" w:ascii="仿宋_GB2312" w:eastAsia="仿宋_GB2312"/>
                <w:sz w:val="24"/>
              </w:rPr>
              <w:t>15688501237</w:t>
            </w:r>
          </w:p>
        </w:tc>
        <w:tc>
          <w:tcPr>
            <w:tcW w:w="1261" w:type="dxa"/>
            <w:vAlign w:val="center"/>
          </w:tcPr>
          <w:p w14:paraId="3E58185F">
            <w:pPr>
              <w:jc w:val="center"/>
              <w:rPr>
                <w:rFonts w:ascii="仿宋_GB2312" w:eastAsia="仿宋_GB2312"/>
                <w:sz w:val="24"/>
              </w:rPr>
            </w:pPr>
            <w:r>
              <w:rPr>
                <w:rFonts w:hint="eastAsia" w:ascii="仿宋_GB2312" w:eastAsia="仿宋_GB2312"/>
                <w:sz w:val="24"/>
              </w:rPr>
              <w:t>6922257</w:t>
            </w:r>
          </w:p>
        </w:tc>
      </w:tr>
      <w:tr w14:paraId="5D31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368" w:type="dxa"/>
            <w:vMerge w:val="continue"/>
            <w:vAlign w:val="center"/>
          </w:tcPr>
          <w:p w14:paraId="5C9787F0">
            <w:pPr>
              <w:jc w:val="center"/>
              <w:rPr>
                <w:rFonts w:ascii="仿宋_GB2312" w:eastAsia="仿宋_GB2312"/>
                <w:sz w:val="24"/>
              </w:rPr>
            </w:pPr>
          </w:p>
        </w:tc>
        <w:tc>
          <w:tcPr>
            <w:tcW w:w="1080" w:type="dxa"/>
            <w:vAlign w:val="center"/>
          </w:tcPr>
          <w:p w14:paraId="317E8E2E">
            <w:pPr>
              <w:jc w:val="center"/>
              <w:rPr>
                <w:rFonts w:ascii="仿宋_GB2312" w:eastAsia="仿宋_GB2312"/>
                <w:sz w:val="24"/>
              </w:rPr>
            </w:pPr>
            <w:r>
              <w:rPr>
                <w:rFonts w:hint="eastAsia" w:ascii="仿宋_GB2312" w:eastAsia="仿宋_GB2312"/>
                <w:sz w:val="24"/>
              </w:rPr>
              <w:t>于超</w:t>
            </w:r>
          </w:p>
        </w:tc>
        <w:tc>
          <w:tcPr>
            <w:tcW w:w="1890" w:type="dxa"/>
            <w:vAlign w:val="center"/>
          </w:tcPr>
          <w:p w14:paraId="2AEEF29B">
            <w:pPr>
              <w:jc w:val="center"/>
              <w:rPr>
                <w:rFonts w:ascii="仿宋_GB2312" w:eastAsia="仿宋_GB2312"/>
                <w:sz w:val="24"/>
              </w:rPr>
            </w:pPr>
            <w:r>
              <w:rPr>
                <w:rFonts w:hint="eastAsia" w:ascii="仿宋_GB2312" w:eastAsia="仿宋_GB2312"/>
                <w:spacing w:val="-20"/>
                <w:sz w:val="24"/>
              </w:rPr>
              <w:t>区规划国土建设部</w:t>
            </w:r>
          </w:p>
        </w:tc>
        <w:tc>
          <w:tcPr>
            <w:tcW w:w="1711" w:type="dxa"/>
            <w:vAlign w:val="center"/>
          </w:tcPr>
          <w:p w14:paraId="56AADA92">
            <w:pPr>
              <w:jc w:val="center"/>
              <w:rPr>
                <w:rFonts w:ascii="仿宋_GB2312" w:eastAsia="仿宋_GB2312"/>
                <w:sz w:val="24"/>
              </w:rPr>
            </w:pPr>
            <w:r>
              <w:rPr>
                <w:rFonts w:hint="eastAsia" w:ascii="仿宋_GB2312" w:eastAsia="仿宋_GB2312"/>
                <w:sz w:val="24"/>
              </w:rPr>
              <w:t>重点工程科科长</w:t>
            </w:r>
          </w:p>
        </w:tc>
        <w:tc>
          <w:tcPr>
            <w:tcW w:w="1750" w:type="dxa"/>
            <w:vAlign w:val="center"/>
          </w:tcPr>
          <w:p w14:paraId="1B201B3B">
            <w:pPr>
              <w:jc w:val="center"/>
              <w:rPr>
                <w:rFonts w:ascii="仿宋_GB2312" w:eastAsia="仿宋_GB2312"/>
                <w:sz w:val="24"/>
              </w:rPr>
            </w:pPr>
            <w:r>
              <w:rPr>
                <w:rFonts w:hint="eastAsia" w:ascii="仿宋_GB2312" w:hAnsi="宋体" w:eastAsia="仿宋_GB2312" w:cs="宋体"/>
                <w:kern w:val="0"/>
                <w:sz w:val="24"/>
              </w:rPr>
              <w:t>18765451177</w:t>
            </w:r>
          </w:p>
        </w:tc>
        <w:tc>
          <w:tcPr>
            <w:tcW w:w="1261" w:type="dxa"/>
            <w:vAlign w:val="center"/>
          </w:tcPr>
          <w:p w14:paraId="046D6DEA">
            <w:pPr>
              <w:jc w:val="center"/>
              <w:rPr>
                <w:rFonts w:ascii="仿宋_GB2312" w:eastAsia="仿宋_GB2312"/>
                <w:sz w:val="24"/>
              </w:rPr>
            </w:pPr>
            <w:r>
              <w:rPr>
                <w:rFonts w:hint="eastAsia" w:ascii="仿宋_GB2312" w:eastAsia="仿宋_GB2312"/>
                <w:sz w:val="24"/>
              </w:rPr>
              <w:t>6922540</w:t>
            </w:r>
          </w:p>
        </w:tc>
      </w:tr>
    </w:tbl>
    <w:p w14:paraId="48D06E41">
      <w:pPr>
        <w:rPr>
          <w:rFonts w:ascii="仿宋_GB2312" w:eastAsia="仿宋_GB2312"/>
          <w:sz w:val="32"/>
          <w:szCs w:val="32"/>
        </w:rPr>
      </w:pPr>
    </w:p>
    <w:p w14:paraId="587A2465">
      <w:pPr>
        <w:rPr>
          <w:rFonts w:ascii="仿宋_GB2312" w:eastAsia="仿宋_GB2312"/>
          <w:sz w:val="32"/>
          <w:szCs w:val="32"/>
        </w:rPr>
      </w:pPr>
    </w:p>
    <w:p w14:paraId="7119150B">
      <w:pPr>
        <w:ind w:right="-693" w:rightChars="-330"/>
        <w:rPr>
          <w:rFonts w:ascii="仿宋_GB2312" w:eastAsia="仿宋_GB2312"/>
          <w:sz w:val="32"/>
          <w:szCs w:val="32"/>
        </w:rPr>
      </w:pPr>
    </w:p>
    <w:p w14:paraId="1C9093DB">
      <w:pPr>
        <w:ind w:right="-693" w:rightChars="-330"/>
        <w:rPr>
          <w:rFonts w:ascii="仿宋_GB2312" w:eastAsia="仿宋_GB2312"/>
          <w:sz w:val="32"/>
          <w:szCs w:val="32"/>
        </w:rPr>
      </w:pPr>
    </w:p>
    <w:p w14:paraId="03917E98">
      <w:pPr>
        <w:spacing w:line="560" w:lineRule="exact"/>
        <w:rPr>
          <w:rFonts w:ascii="方正黑体简体" w:hAnsi="宋体" w:eastAsia="方正黑体简体" w:cs="宋体"/>
          <w:kern w:val="0"/>
          <w:sz w:val="32"/>
          <w:szCs w:val="32"/>
        </w:rPr>
      </w:pPr>
      <w:r>
        <w:rPr>
          <w:rFonts w:hint="eastAsia" w:ascii="方正黑体简体" w:hAnsi="宋体" w:eastAsia="方正黑体简体" w:cs="宋体"/>
          <w:kern w:val="0"/>
          <w:sz w:val="32"/>
          <w:szCs w:val="32"/>
        </w:rPr>
        <w:t>附件3:</w:t>
      </w:r>
    </w:p>
    <w:p w14:paraId="42C716EF">
      <w:pPr>
        <w:spacing w:beforeLines="50" w:afterLines="50"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烟台高新区建设工程事故应急救援小组成员</w:t>
      </w:r>
    </w:p>
    <w:p w14:paraId="7E523499">
      <w:pPr>
        <w:spacing w:beforeLines="50" w:afterLines="50"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名单及联系电话</w:t>
      </w:r>
    </w:p>
    <w:tbl>
      <w:tblPr>
        <w:tblStyle w:val="12"/>
        <w:tblW w:w="10283"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936"/>
        <w:gridCol w:w="936"/>
        <w:gridCol w:w="3336"/>
        <w:gridCol w:w="1416"/>
        <w:gridCol w:w="1152"/>
        <w:gridCol w:w="1685"/>
      </w:tblGrid>
      <w:tr w14:paraId="2556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2" w:type="dxa"/>
            <w:vMerge w:val="restart"/>
            <w:vAlign w:val="center"/>
          </w:tcPr>
          <w:p w14:paraId="3ABAA18A">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抢险救灾组</w:t>
            </w:r>
          </w:p>
        </w:tc>
        <w:tc>
          <w:tcPr>
            <w:tcW w:w="936" w:type="dxa"/>
            <w:vAlign w:val="center"/>
          </w:tcPr>
          <w:p w14:paraId="2194A551">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组长</w:t>
            </w:r>
          </w:p>
        </w:tc>
        <w:tc>
          <w:tcPr>
            <w:tcW w:w="936" w:type="dxa"/>
            <w:vAlign w:val="center"/>
          </w:tcPr>
          <w:p w14:paraId="5C8F7EE2">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谭义伟</w:t>
            </w:r>
          </w:p>
        </w:tc>
        <w:tc>
          <w:tcPr>
            <w:tcW w:w="3336" w:type="dxa"/>
            <w:vAlign w:val="center"/>
          </w:tcPr>
          <w:p w14:paraId="7C58B2E5">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区规划国土建设部</w:t>
            </w:r>
          </w:p>
        </w:tc>
        <w:tc>
          <w:tcPr>
            <w:tcW w:w="1416" w:type="dxa"/>
            <w:vAlign w:val="center"/>
          </w:tcPr>
          <w:p w14:paraId="27ACCEF8">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副部长</w:t>
            </w:r>
          </w:p>
        </w:tc>
        <w:tc>
          <w:tcPr>
            <w:tcW w:w="1152" w:type="dxa"/>
            <w:vAlign w:val="center"/>
          </w:tcPr>
          <w:p w14:paraId="645EF2EE">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6922318</w:t>
            </w:r>
          </w:p>
        </w:tc>
        <w:tc>
          <w:tcPr>
            <w:tcW w:w="1685" w:type="dxa"/>
            <w:vAlign w:val="center"/>
          </w:tcPr>
          <w:p w14:paraId="4CD2B330">
            <w:pPr>
              <w:widowControl/>
              <w:spacing w:line="260" w:lineRule="exact"/>
              <w:jc w:val="center"/>
              <w:rPr>
                <w:rFonts w:ascii="仿宋_GB2312" w:hAnsi="宋体" w:eastAsia="仿宋_GB2312" w:cs="宋体"/>
                <w:kern w:val="0"/>
                <w:sz w:val="24"/>
              </w:rPr>
            </w:pPr>
            <w:r>
              <w:rPr>
                <w:rFonts w:hint="eastAsia" w:ascii="仿宋_GB2312" w:eastAsia="仿宋_GB2312"/>
                <w:sz w:val="24"/>
              </w:rPr>
              <w:t>13356922678</w:t>
            </w:r>
          </w:p>
        </w:tc>
      </w:tr>
      <w:tr w14:paraId="0472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2" w:type="dxa"/>
            <w:vMerge w:val="continue"/>
            <w:vAlign w:val="center"/>
          </w:tcPr>
          <w:p w14:paraId="1CECFA1F">
            <w:pPr>
              <w:widowControl/>
              <w:spacing w:line="260" w:lineRule="exact"/>
              <w:jc w:val="left"/>
              <w:rPr>
                <w:rFonts w:ascii="仿宋_GB2312" w:hAnsi="宋体" w:eastAsia="仿宋_GB2312" w:cs="宋体"/>
                <w:kern w:val="0"/>
                <w:sz w:val="24"/>
              </w:rPr>
            </w:pPr>
          </w:p>
        </w:tc>
        <w:tc>
          <w:tcPr>
            <w:tcW w:w="936" w:type="dxa"/>
            <w:vMerge w:val="restart"/>
            <w:vAlign w:val="center"/>
          </w:tcPr>
          <w:p w14:paraId="4C202FC3">
            <w:pPr>
              <w:widowControl/>
              <w:spacing w:line="260" w:lineRule="exact"/>
              <w:jc w:val="center"/>
              <w:rPr>
                <w:rFonts w:ascii="仿宋_GB2312" w:hAnsi="宋体" w:eastAsia="仿宋_GB2312" w:cs="宋体"/>
                <w:kern w:val="0"/>
                <w:sz w:val="24"/>
              </w:rPr>
            </w:pPr>
          </w:p>
          <w:p w14:paraId="7145DA9C">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成</w:t>
            </w:r>
          </w:p>
          <w:p w14:paraId="5DFC9D7A">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员</w:t>
            </w:r>
          </w:p>
        </w:tc>
        <w:tc>
          <w:tcPr>
            <w:tcW w:w="936" w:type="dxa"/>
            <w:vAlign w:val="center"/>
          </w:tcPr>
          <w:p w14:paraId="0C870F71">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徐伟</w:t>
            </w:r>
          </w:p>
        </w:tc>
        <w:tc>
          <w:tcPr>
            <w:tcW w:w="3336" w:type="dxa"/>
            <w:vAlign w:val="center"/>
          </w:tcPr>
          <w:p w14:paraId="19CBBE23">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区规划国土建设部建设管理科</w:t>
            </w:r>
          </w:p>
        </w:tc>
        <w:tc>
          <w:tcPr>
            <w:tcW w:w="1416" w:type="dxa"/>
            <w:vAlign w:val="center"/>
          </w:tcPr>
          <w:p w14:paraId="6C610F65">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科长</w:t>
            </w:r>
          </w:p>
        </w:tc>
        <w:tc>
          <w:tcPr>
            <w:tcW w:w="1152" w:type="dxa"/>
            <w:vAlign w:val="center"/>
          </w:tcPr>
          <w:p w14:paraId="1C27327F">
            <w:pPr>
              <w:jc w:val="center"/>
              <w:rPr>
                <w:rFonts w:ascii="仿宋_GB2312" w:hAnsi="宋体" w:eastAsia="仿宋_GB2312" w:cs="宋体"/>
                <w:kern w:val="0"/>
                <w:sz w:val="24"/>
              </w:rPr>
            </w:pPr>
            <w:r>
              <w:rPr>
                <w:rFonts w:hint="eastAsia" w:ascii="仿宋_GB2312" w:eastAsia="仿宋_GB2312"/>
                <w:sz w:val="24"/>
              </w:rPr>
              <w:t>6922182</w:t>
            </w:r>
          </w:p>
        </w:tc>
        <w:tc>
          <w:tcPr>
            <w:tcW w:w="1685" w:type="dxa"/>
            <w:vAlign w:val="center"/>
          </w:tcPr>
          <w:p w14:paraId="6AF78A38">
            <w:pPr>
              <w:jc w:val="center"/>
              <w:rPr>
                <w:rFonts w:ascii="仿宋_GB2312" w:hAnsi="宋体" w:eastAsia="仿宋_GB2312" w:cs="宋体"/>
                <w:kern w:val="0"/>
                <w:sz w:val="24"/>
              </w:rPr>
            </w:pPr>
            <w:r>
              <w:rPr>
                <w:rFonts w:hint="eastAsia" w:ascii="仿宋_GB2312" w:eastAsia="仿宋_GB2312"/>
                <w:sz w:val="24"/>
              </w:rPr>
              <w:t>15553558376</w:t>
            </w:r>
          </w:p>
        </w:tc>
      </w:tr>
      <w:tr w14:paraId="2893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2" w:type="dxa"/>
            <w:vMerge w:val="continue"/>
            <w:vAlign w:val="center"/>
          </w:tcPr>
          <w:p w14:paraId="65345A9F">
            <w:pPr>
              <w:widowControl/>
              <w:spacing w:line="260" w:lineRule="exact"/>
              <w:jc w:val="left"/>
              <w:rPr>
                <w:rFonts w:ascii="仿宋_GB2312" w:hAnsi="宋体" w:eastAsia="仿宋_GB2312" w:cs="宋体"/>
                <w:kern w:val="0"/>
                <w:sz w:val="24"/>
              </w:rPr>
            </w:pPr>
          </w:p>
        </w:tc>
        <w:tc>
          <w:tcPr>
            <w:tcW w:w="936" w:type="dxa"/>
            <w:vMerge w:val="continue"/>
            <w:vAlign w:val="center"/>
          </w:tcPr>
          <w:p w14:paraId="14E32207">
            <w:pPr>
              <w:widowControl/>
              <w:spacing w:line="260" w:lineRule="exact"/>
              <w:jc w:val="center"/>
              <w:rPr>
                <w:rFonts w:ascii="仿宋_GB2312" w:hAnsi="宋体" w:eastAsia="仿宋_GB2312" w:cs="宋体"/>
                <w:kern w:val="0"/>
                <w:sz w:val="24"/>
              </w:rPr>
            </w:pPr>
          </w:p>
        </w:tc>
        <w:tc>
          <w:tcPr>
            <w:tcW w:w="936" w:type="dxa"/>
            <w:vAlign w:val="center"/>
          </w:tcPr>
          <w:p w14:paraId="0EBE7F21">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杨振东</w:t>
            </w:r>
          </w:p>
        </w:tc>
        <w:tc>
          <w:tcPr>
            <w:tcW w:w="3336" w:type="dxa"/>
            <w:vAlign w:val="center"/>
          </w:tcPr>
          <w:p w14:paraId="126238C6">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区规划国土建设部人防科</w:t>
            </w:r>
          </w:p>
        </w:tc>
        <w:tc>
          <w:tcPr>
            <w:tcW w:w="1416" w:type="dxa"/>
            <w:vAlign w:val="center"/>
          </w:tcPr>
          <w:p w14:paraId="31F47270">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科长</w:t>
            </w:r>
          </w:p>
        </w:tc>
        <w:tc>
          <w:tcPr>
            <w:tcW w:w="1152" w:type="dxa"/>
            <w:vAlign w:val="center"/>
          </w:tcPr>
          <w:p w14:paraId="4D975326">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6922257</w:t>
            </w:r>
          </w:p>
        </w:tc>
        <w:tc>
          <w:tcPr>
            <w:tcW w:w="1685" w:type="dxa"/>
            <w:vAlign w:val="center"/>
          </w:tcPr>
          <w:p w14:paraId="5CCC64C7">
            <w:pPr>
              <w:widowControl/>
              <w:spacing w:line="260" w:lineRule="exact"/>
              <w:jc w:val="center"/>
              <w:rPr>
                <w:rFonts w:ascii="仿宋_GB2312" w:hAnsi="宋体" w:eastAsia="仿宋_GB2312" w:cs="宋体"/>
                <w:kern w:val="0"/>
                <w:sz w:val="24"/>
              </w:rPr>
            </w:pPr>
            <w:r>
              <w:rPr>
                <w:rFonts w:hint="eastAsia" w:ascii="仿宋_GB2312" w:eastAsia="仿宋_GB2312"/>
                <w:sz w:val="24"/>
              </w:rPr>
              <w:t>15688501237</w:t>
            </w:r>
          </w:p>
        </w:tc>
      </w:tr>
      <w:tr w14:paraId="6EB0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2" w:type="dxa"/>
            <w:vMerge w:val="continue"/>
            <w:vAlign w:val="center"/>
          </w:tcPr>
          <w:p w14:paraId="4948C618">
            <w:pPr>
              <w:widowControl/>
              <w:spacing w:line="260" w:lineRule="exact"/>
              <w:jc w:val="left"/>
              <w:rPr>
                <w:rFonts w:ascii="仿宋_GB2312" w:hAnsi="宋体" w:eastAsia="仿宋_GB2312" w:cs="宋体"/>
                <w:kern w:val="0"/>
                <w:sz w:val="24"/>
              </w:rPr>
            </w:pPr>
          </w:p>
        </w:tc>
        <w:tc>
          <w:tcPr>
            <w:tcW w:w="936" w:type="dxa"/>
            <w:vMerge w:val="continue"/>
            <w:vAlign w:val="center"/>
          </w:tcPr>
          <w:p w14:paraId="4A7D7A41">
            <w:pPr>
              <w:widowControl/>
              <w:spacing w:line="260" w:lineRule="exact"/>
              <w:jc w:val="center"/>
              <w:rPr>
                <w:rFonts w:ascii="仿宋_GB2312" w:hAnsi="宋体" w:eastAsia="仿宋_GB2312" w:cs="宋体"/>
                <w:kern w:val="0"/>
                <w:sz w:val="24"/>
              </w:rPr>
            </w:pPr>
          </w:p>
        </w:tc>
        <w:tc>
          <w:tcPr>
            <w:tcW w:w="936" w:type="dxa"/>
            <w:vAlign w:val="center"/>
          </w:tcPr>
          <w:p w14:paraId="006D22FD">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于超</w:t>
            </w:r>
          </w:p>
        </w:tc>
        <w:tc>
          <w:tcPr>
            <w:tcW w:w="3336" w:type="dxa"/>
            <w:vAlign w:val="center"/>
          </w:tcPr>
          <w:p w14:paraId="6A714280">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区规划国土建设部重点工程科</w:t>
            </w:r>
          </w:p>
        </w:tc>
        <w:tc>
          <w:tcPr>
            <w:tcW w:w="1416" w:type="dxa"/>
            <w:vAlign w:val="center"/>
          </w:tcPr>
          <w:p w14:paraId="410B49F2">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科长</w:t>
            </w:r>
          </w:p>
        </w:tc>
        <w:tc>
          <w:tcPr>
            <w:tcW w:w="1152" w:type="dxa"/>
            <w:vAlign w:val="center"/>
          </w:tcPr>
          <w:p w14:paraId="456CD57B">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6922540</w:t>
            </w:r>
          </w:p>
        </w:tc>
        <w:tc>
          <w:tcPr>
            <w:tcW w:w="1685" w:type="dxa"/>
            <w:vAlign w:val="center"/>
          </w:tcPr>
          <w:p w14:paraId="63A57C41">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18765451177</w:t>
            </w:r>
          </w:p>
        </w:tc>
      </w:tr>
      <w:tr w14:paraId="1FF0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2" w:type="dxa"/>
            <w:vMerge w:val="restart"/>
            <w:vAlign w:val="center"/>
          </w:tcPr>
          <w:p w14:paraId="73601214">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警戒保卫组</w:t>
            </w:r>
          </w:p>
        </w:tc>
        <w:tc>
          <w:tcPr>
            <w:tcW w:w="936" w:type="dxa"/>
            <w:vAlign w:val="center"/>
          </w:tcPr>
          <w:p w14:paraId="76979A08">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组长</w:t>
            </w:r>
          </w:p>
        </w:tc>
        <w:tc>
          <w:tcPr>
            <w:tcW w:w="936" w:type="dxa"/>
            <w:vAlign w:val="center"/>
          </w:tcPr>
          <w:p w14:paraId="1963EB0B">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刘奎玉</w:t>
            </w:r>
          </w:p>
        </w:tc>
        <w:tc>
          <w:tcPr>
            <w:tcW w:w="3336" w:type="dxa"/>
            <w:vAlign w:val="center"/>
          </w:tcPr>
          <w:p w14:paraId="5A9DED98">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区公安分局</w:t>
            </w:r>
          </w:p>
        </w:tc>
        <w:tc>
          <w:tcPr>
            <w:tcW w:w="1416" w:type="dxa"/>
            <w:vAlign w:val="center"/>
          </w:tcPr>
          <w:p w14:paraId="152D2741">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副局长</w:t>
            </w:r>
          </w:p>
        </w:tc>
        <w:tc>
          <w:tcPr>
            <w:tcW w:w="1152" w:type="dxa"/>
            <w:vAlign w:val="center"/>
          </w:tcPr>
          <w:p w14:paraId="2D35AE8E">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6922715</w:t>
            </w:r>
          </w:p>
        </w:tc>
        <w:tc>
          <w:tcPr>
            <w:tcW w:w="1685" w:type="dxa"/>
            <w:vAlign w:val="center"/>
          </w:tcPr>
          <w:p w14:paraId="7FF8D733">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18815351007</w:t>
            </w:r>
          </w:p>
        </w:tc>
      </w:tr>
      <w:tr w14:paraId="2AB1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2" w:type="dxa"/>
            <w:vMerge w:val="continue"/>
            <w:vAlign w:val="center"/>
          </w:tcPr>
          <w:p w14:paraId="48D54446">
            <w:pPr>
              <w:widowControl/>
              <w:spacing w:line="260" w:lineRule="exact"/>
              <w:jc w:val="left"/>
              <w:rPr>
                <w:rFonts w:ascii="仿宋_GB2312" w:hAnsi="宋体" w:eastAsia="仿宋_GB2312" w:cs="宋体"/>
                <w:kern w:val="0"/>
                <w:sz w:val="24"/>
              </w:rPr>
            </w:pPr>
          </w:p>
        </w:tc>
        <w:tc>
          <w:tcPr>
            <w:tcW w:w="936" w:type="dxa"/>
            <w:vAlign w:val="center"/>
          </w:tcPr>
          <w:p w14:paraId="553C566F">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副组长</w:t>
            </w:r>
          </w:p>
        </w:tc>
        <w:tc>
          <w:tcPr>
            <w:tcW w:w="936" w:type="dxa"/>
            <w:vAlign w:val="center"/>
          </w:tcPr>
          <w:p w14:paraId="07F4D1D5">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于明军</w:t>
            </w:r>
          </w:p>
        </w:tc>
        <w:tc>
          <w:tcPr>
            <w:tcW w:w="3336" w:type="dxa"/>
            <w:vAlign w:val="center"/>
          </w:tcPr>
          <w:p w14:paraId="6107B145">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马山街道办事处</w:t>
            </w:r>
          </w:p>
        </w:tc>
        <w:tc>
          <w:tcPr>
            <w:tcW w:w="1416" w:type="dxa"/>
            <w:vAlign w:val="center"/>
          </w:tcPr>
          <w:p w14:paraId="6D32025E">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副主任</w:t>
            </w:r>
          </w:p>
        </w:tc>
        <w:tc>
          <w:tcPr>
            <w:tcW w:w="1152" w:type="dxa"/>
            <w:vAlign w:val="center"/>
          </w:tcPr>
          <w:p w14:paraId="1378248D">
            <w:pPr>
              <w:widowControl/>
              <w:jc w:val="center"/>
              <w:textAlignment w:val="center"/>
              <w:rPr>
                <w:rFonts w:ascii="仿宋_GB2312" w:hAnsi="宋体" w:eastAsia="仿宋_GB2312" w:cs="宋体"/>
                <w:kern w:val="0"/>
                <w:sz w:val="24"/>
              </w:rPr>
            </w:pPr>
            <w:r>
              <w:rPr>
                <w:rFonts w:hint="eastAsia" w:ascii="仿宋_GB2312" w:hAnsi="宋体" w:eastAsia="仿宋_GB2312" w:cs="仿宋_GB2312"/>
                <w:kern w:val="0"/>
                <w:sz w:val="24"/>
              </w:rPr>
              <w:t>6922739</w:t>
            </w:r>
          </w:p>
        </w:tc>
        <w:tc>
          <w:tcPr>
            <w:tcW w:w="1685" w:type="dxa"/>
            <w:vAlign w:val="center"/>
          </w:tcPr>
          <w:p w14:paraId="3F9675BA">
            <w:pPr>
              <w:widowControl/>
              <w:jc w:val="center"/>
              <w:textAlignment w:val="center"/>
              <w:rPr>
                <w:rFonts w:ascii="仿宋_GB2312" w:hAnsi="宋体" w:eastAsia="仿宋_GB2312" w:cs="宋体"/>
                <w:kern w:val="0"/>
                <w:sz w:val="24"/>
              </w:rPr>
            </w:pPr>
            <w:r>
              <w:rPr>
                <w:rFonts w:hint="eastAsia" w:ascii="仿宋_GB2312" w:hAnsi="宋体" w:eastAsia="仿宋_GB2312" w:cs="仿宋_GB2312"/>
                <w:kern w:val="0"/>
                <w:sz w:val="24"/>
              </w:rPr>
              <w:t>13081620781</w:t>
            </w:r>
          </w:p>
        </w:tc>
      </w:tr>
      <w:tr w14:paraId="4610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22" w:type="dxa"/>
            <w:vMerge w:val="continue"/>
            <w:vAlign w:val="center"/>
          </w:tcPr>
          <w:p w14:paraId="2EF27070">
            <w:pPr>
              <w:widowControl/>
              <w:spacing w:line="260" w:lineRule="exact"/>
              <w:jc w:val="left"/>
              <w:rPr>
                <w:rFonts w:ascii="仿宋_GB2312" w:hAnsi="宋体" w:eastAsia="仿宋_GB2312" w:cs="宋体"/>
                <w:kern w:val="0"/>
                <w:sz w:val="24"/>
              </w:rPr>
            </w:pPr>
          </w:p>
        </w:tc>
        <w:tc>
          <w:tcPr>
            <w:tcW w:w="936" w:type="dxa"/>
            <w:vAlign w:val="center"/>
          </w:tcPr>
          <w:p w14:paraId="34DF9722">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副组长</w:t>
            </w:r>
          </w:p>
        </w:tc>
        <w:tc>
          <w:tcPr>
            <w:tcW w:w="936" w:type="dxa"/>
            <w:vAlign w:val="center"/>
          </w:tcPr>
          <w:p w14:paraId="185A84A5">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远方</w:t>
            </w:r>
          </w:p>
        </w:tc>
        <w:tc>
          <w:tcPr>
            <w:tcW w:w="3336" w:type="dxa"/>
            <w:vAlign w:val="center"/>
          </w:tcPr>
          <w:p w14:paraId="46B29C57">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区消防救援大队马山消防救援站</w:t>
            </w:r>
          </w:p>
        </w:tc>
        <w:tc>
          <w:tcPr>
            <w:tcW w:w="1416" w:type="dxa"/>
            <w:vAlign w:val="center"/>
          </w:tcPr>
          <w:p w14:paraId="2428EEE0">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政治指导员</w:t>
            </w:r>
          </w:p>
        </w:tc>
        <w:tc>
          <w:tcPr>
            <w:tcW w:w="1152" w:type="dxa"/>
            <w:vAlign w:val="center"/>
          </w:tcPr>
          <w:p w14:paraId="328EB841">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6922622</w:t>
            </w:r>
          </w:p>
        </w:tc>
        <w:tc>
          <w:tcPr>
            <w:tcW w:w="1685" w:type="dxa"/>
            <w:vAlign w:val="center"/>
          </w:tcPr>
          <w:p w14:paraId="3E0A4BE2">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15666550323</w:t>
            </w:r>
          </w:p>
        </w:tc>
      </w:tr>
      <w:tr w14:paraId="2663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2" w:type="dxa"/>
            <w:vMerge w:val="continue"/>
            <w:vAlign w:val="center"/>
          </w:tcPr>
          <w:p w14:paraId="0892E40F">
            <w:pPr>
              <w:widowControl/>
              <w:spacing w:line="260" w:lineRule="exact"/>
              <w:jc w:val="left"/>
              <w:rPr>
                <w:rFonts w:ascii="仿宋_GB2312" w:hAnsi="宋体" w:eastAsia="仿宋_GB2312" w:cs="宋体"/>
                <w:kern w:val="0"/>
                <w:sz w:val="24"/>
              </w:rPr>
            </w:pPr>
          </w:p>
        </w:tc>
        <w:tc>
          <w:tcPr>
            <w:tcW w:w="936" w:type="dxa"/>
            <w:vAlign w:val="center"/>
          </w:tcPr>
          <w:p w14:paraId="794D5F92">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成员</w:t>
            </w:r>
          </w:p>
        </w:tc>
        <w:tc>
          <w:tcPr>
            <w:tcW w:w="8525" w:type="dxa"/>
            <w:gridSpan w:val="5"/>
            <w:vAlign w:val="center"/>
          </w:tcPr>
          <w:p w14:paraId="177EE7FC">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由区公安分局组织警力</w:t>
            </w:r>
          </w:p>
        </w:tc>
      </w:tr>
      <w:tr w14:paraId="2455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22" w:type="dxa"/>
            <w:vMerge w:val="restart"/>
            <w:vAlign w:val="center"/>
          </w:tcPr>
          <w:p w14:paraId="45636F1F">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医疗救护组</w:t>
            </w:r>
          </w:p>
        </w:tc>
        <w:tc>
          <w:tcPr>
            <w:tcW w:w="936" w:type="dxa"/>
            <w:vAlign w:val="center"/>
          </w:tcPr>
          <w:p w14:paraId="32CA0AB3">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组长</w:t>
            </w:r>
          </w:p>
        </w:tc>
        <w:tc>
          <w:tcPr>
            <w:tcW w:w="936" w:type="dxa"/>
            <w:vAlign w:val="center"/>
          </w:tcPr>
          <w:p w14:paraId="32792D5C">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刘京波</w:t>
            </w:r>
          </w:p>
        </w:tc>
        <w:tc>
          <w:tcPr>
            <w:tcW w:w="3336" w:type="dxa"/>
            <w:vAlign w:val="center"/>
          </w:tcPr>
          <w:p w14:paraId="7367D148">
            <w:pPr>
              <w:widowControl/>
              <w:jc w:val="left"/>
              <w:rPr>
                <w:rFonts w:ascii="仿宋_GB2312" w:hAnsi="宋体" w:eastAsia="仿宋_GB2312" w:cs="宋体"/>
                <w:kern w:val="0"/>
                <w:sz w:val="24"/>
              </w:rPr>
            </w:pPr>
            <w:r>
              <w:rPr>
                <w:rFonts w:hint="eastAsia" w:ascii="仿宋_GB2312" w:hAnsi="宋体" w:eastAsia="仿宋_GB2312" w:cs="宋体"/>
                <w:kern w:val="0"/>
                <w:sz w:val="24"/>
              </w:rPr>
              <w:t>卫健办</w:t>
            </w:r>
          </w:p>
        </w:tc>
        <w:tc>
          <w:tcPr>
            <w:tcW w:w="1416" w:type="dxa"/>
            <w:vAlign w:val="center"/>
          </w:tcPr>
          <w:p w14:paraId="42791FB2">
            <w:pPr>
              <w:widowControl/>
              <w:jc w:val="center"/>
              <w:rPr>
                <w:rFonts w:ascii="仿宋_GB2312" w:hAnsi="宋体" w:eastAsia="仿宋_GB2312" w:cs="宋体"/>
                <w:kern w:val="0"/>
                <w:sz w:val="24"/>
              </w:rPr>
            </w:pPr>
            <w:r>
              <w:rPr>
                <w:rFonts w:hint="eastAsia" w:ascii="仿宋_GB2312" w:hAnsi="宋体" w:eastAsia="仿宋_GB2312" w:cs="宋体"/>
                <w:kern w:val="0"/>
                <w:sz w:val="24"/>
              </w:rPr>
              <w:t>分管负责人</w:t>
            </w:r>
          </w:p>
        </w:tc>
        <w:tc>
          <w:tcPr>
            <w:tcW w:w="1152" w:type="dxa"/>
            <w:vAlign w:val="center"/>
          </w:tcPr>
          <w:p w14:paraId="0A02DF10">
            <w:pPr>
              <w:widowControl/>
              <w:jc w:val="center"/>
              <w:textAlignment w:val="center"/>
              <w:rPr>
                <w:rFonts w:ascii="仿宋_GB2312" w:hAnsi="宋体" w:eastAsia="仿宋_GB2312" w:cs="宋体"/>
                <w:kern w:val="0"/>
                <w:sz w:val="24"/>
              </w:rPr>
            </w:pPr>
            <w:r>
              <w:rPr>
                <w:rFonts w:ascii="仿宋_GB2312" w:hAnsi="宋体" w:eastAsia="仿宋_GB2312" w:cs="宋体"/>
                <w:kern w:val="0"/>
                <w:sz w:val="24"/>
              </w:rPr>
              <w:t>6925359</w:t>
            </w:r>
          </w:p>
        </w:tc>
        <w:tc>
          <w:tcPr>
            <w:tcW w:w="1685" w:type="dxa"/>
            <w:vAlign w:val="center"/>
          </w:tcPr>
          <w:p w14:paraId="37BF6549">
            <w:pPr>
              <w:widowControl/>
              <w:jc w:val="center"/>
              <w:textAlignment w:val="center"/>
              <w:rPr>
                <w:rFonts w:ascii="仿宋_GB2312" w:hAnsi="宋体" w:eastAsia="仿宋_GB2312" w:cs="宋体"/>
                <w:kern w:val="0"/>
                <w:sz w:val="24"/>
              </w:rPr>
            </w:pPr>
            <w:r>
              <w:rPr>
                <w:rFonts w:hint="eastAsia" w:ascii="仿宋_GB2312" w:hAnsi="宋体" w:eastAsia="仿宋_GB2312" w:cs="宋体"/>
                <w:kern w:val="0"/>
                <w:sz w:val="24"/>
              </w:rPr>
              <w:t>18865533799</w:t>
            </w:r>
          </w:p>
        </w:tc>
      </w:tr>
      <w:tr w14:paraId="3DC7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2" w:type="dxa"/>
            <w:vMerge w:val="continue"/>
            <w:vAlign w:val="center"/>
          </w:tcPr>
          <w:p w14:paraId="0845C6B9">
            <w:pPr>
              <w:widowControl/>
              <w:spacing w:line="260" w:lineRule="exact"/>
              <w:jc w:val="left"/>
              <w:rPr>
                <w:rFonts w:ascii="仿宋_GB2312" w:hAnsi="宋体" w:eastAsia="仿宋_GB2312" w:cs="宋体"/>
                <w:kern w:val="0"/>
                <w:sz w:val="24"/>
              </w:rPr>
            </w:pPr>
          </w:p>
        </w:tc>
        <w:tc>
          <w:tcPr>
            <w:tcW w:w="936" w:type="dxa"/>
            <w:vAlign w:val="center"/>
          </w:tcPr>
          <w:p w14:paraId="04036ADA">
            <w:pPr>
              <w:widowControl/>
              <w:spacing w:line="260" w:lineRule="exact"/>
              <w:jc w:val="center"/>
              <w:rPr>
                <w:rFonts w:ascii="仿宋_GB2312" w:hAnsi="宋体" w:eastAsia="仿宋_GB2312" w:cs="宋体"/>
                <w:kern w:val="0"/>
                <w:sz w:val="24"/>
              </w:rPr>
            </w:pPr>
          </w:p>
        </w:tc>
        <w:tc>
          <w:tcPr>
            <w:tcW w:w="936" w:type="dxa"/>
            <w:vAlign w:val="center"/>
          </w:tcPr>
          <w:p w14:paraId="4BDA1155">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商丽</w:t>
            </w:r>
          </w:p>
        </w:tc>
        <w:tc>
          <w:tcPr>
            <w:tcW w:w="3336" w:type="dxa"/>
            <w:vAlign w:val="center"/>
          </w:tcPr>
          <w:p w14:paraId="5EB89A00">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烟台高新区医院执行院长</w:t>
            </w:r>
          </w:p>
        </w:tc>
        <w:tc>
          <w:tcPr>
            <w:tcW w:w="1416" w:type="dxa"/>
            <w:vAlign w:val="center"/>
          </w:tcPr>
          <w:p w14:paraId="1B2AE3A1">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副院长</w:t>
            </w:r>
          </w:p>
        </w:tc>
        <w:tc>
          <w:tcPr>
            <w:tcW w:w="1152" w:type="dxa"/>
            <w:vAlign w:val="center"/>
          </w:tcPr>
          <w:p w14:paraId="384F4FEE">
            <w:pPr>
              <w:widowControl/>
              <w:spacing w:line="260" w:lineRule="exact"/>
              <w:jc w:val="center"/>
              <w:rPr>
                <w:rFonts w:ascii="仿宋_GB2312" w:hAnsi="宋体" w:eastAsia="仿宋_GB2312" w:cs="宋体"/>
                <w:kern w:val="0"/>
                <w:sz w:val="24"/>
              </w:rPr>
            </w:pPr>
          </w:p>
        </w:tc>
        <w:tc>
          <w:tcPr>
            <w:tcW w:w="1685" w:type="dxa"/>
            <w:vAlign w:val="center"/>
          </w:tcPr>
          <w:p w14:paraId="4D0763AE">
            <w:pPr>
              <w:widowControl/>
              <w:spacing w:line="260" w:lineRule="exact"/>
              <w:jc w:val="center"/>
              <w:rPr>
                <w:rFonts w:ascii="仿宋_GB2312" w:hAnsi="宋体" w:eastAsia="仿宋_GB2312" w:cs="宋体"/>
                <w:kern w:val="0"/>
                <w:sz w:val="24"/>
              </w:rPr>
            </w:pPr>
            <w:r>
              <w:rPr>
                <w:rFonts w:ascii="仿宋_GB2312" w:hAnsi="宋体" w:eastAsia="仿宋_GB2312" w:cs="宋体"/>
                <w:kern w:val="0"/>
                <w:sz w:val="24"/>
              </w:rPr>
              <w:t>18953595799</w:t>
            </w:r>
          </w:p>
        </w:tc>
      </w:tr>
      <w:tr w14:paraId="5499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2" w:type="dxa"/>
            <w:vMerge w:val="restart"/>
            <w:vAlign w:val="center"/>
          </w:tcPr>
          <w:p w14:paraId="13A98F1D">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综合协调组</w:t>
            </w:r>
          </w:p>
        </w:tc>
        <w:tc>
          <w:tcPr>
            <w:tcW w:w="936" w:type="dxa"/>
            <w:vAlign w:val="center"/>
          </w:tcPr>
          <w:p w14:paraId="783E5727">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组长</w:t>
            </w:r>
          </w:p>
        </w:tc>
        <w:tc>
          <w:tcPr>
            <w:tcW w:w="936" w:type="dxa"/>
            <w:vAlign w:val="center"/>
          </w:tcPr>
          <w:p w14:paraId="7F7A8596">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谭义伟</w:t>
            </w:r>
          </w:p>
        </w:tc>
        <w:tc>
          <w:tcPr>
            <w:tcW w:w="3336" w:type="dxa"/>
            <w:vAlign w:val="center"/>
          </w:tcPr>
          <w:p w14:paraId="12C19431">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区规划国土建设部</w:t>
            </w:r>
          </w:p>
        </w:tc>
        <w:tc>
          <w:tcPr>
            <w:tcW w:w="1416" w:type="dxa"/>
            <w:vAlign w:val="center"/>
          </w:tcPr>
          <w:p w14:paraId="045E2FF2">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副部长</w:t>
            </w:r>
          </w:p>
        </w:tc>
        <w:tc>
          <w:tcPr>
            <w:tcW w:w="1152" w:type="dxa"/>
            <w:vAlign w:val="center"/>
          </w:tcPr>
          <w:p w14:paraId="754DF831">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6922318</w:t>
            </w:r>
          </w:p>
        </w:tc>
        <w:tc>
          <w:tcPr>
            <w:tcW w:w="1685" w:type="dxa"/>
            <w:vAlign w:val="center"/>
          </w:tcPr>
          <w:p w14:paraId="7A409766">
            <w:pPr>
              <w:widowControl/>
              <w:spacing w:line="260" w:lineRule="exact"/>
              <w:jc w:val="center"/>
              <w:rPr>
                <w:rFonts w:ascii="仿宋_GB2312" w:hAnsi="宋体" w:eastAsia="仿宋_GB2312" w:cs="宋体"/>
                <w:kern w:val="0"/>
                <w:sz w:val="24"/>
              </w:rPr>
            </w:pPr>
            <w:r>
              <w:rPr>
                <w:rFonts w:hint="eastAsia" w:ascii="仿宋_GB2312" w:eastAsia="仿宋_GB2312"/>
                <w:sz w:val="24"/>
              </w:rPr>
              <w:t>13356922678</w:t>
            </w:r>
          </w:p>
        </w:tc>
      </w:tr>
      <w:tr w14:paraId="191A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2" w:type="dxa"/>
            <w:vMerge w:val="continue"/>
            <w:vAlign w:val="center"/>
          </w:tcPr>
          <w:p w14:paraId="4839BBA2">
            <w:pPr>
              <w:widowControl/>
              <w:spacing w:line="260" w:lineRule="exact"/>
              <w:jc w:val="center"/>
              <w:rPr>
                <w:rFonts w:ascii="仿宋_GB2312" w:hAnsi="宋体" w:eastAsia="仿宋_GB2312" w:cs="宋体"/>
                <w:kern w:val="0"/>
                <w:sz w:val="24"/>
              </w:rPr>
            </w:pPr>
          </w:p>
        </w:tc>
        <w:tc>
          <w:tcPr>
            <w:tcW w:w="936" w:type="dxa"/>
            <w:vMerge w:val="restart"/>
            <w:vAlign w:val="center"/>
          </w:tcPr>
          <w:p w14:paraId="3ADBF950">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成员</w:t>
            </w:r>
          </w:p>
        </w:tc>
        <w:tc>
          <w:tcPr>
            <w:tcW w:w="936" w:type="dxa"/>
            <w:vAlign w:val="center"/>
          </w:tcPr>
          <w:p w14:paraId="1BF1DAE5">
            <w:pPr>
              <w:widowControl/>
              <w:jc w:val="center"/>
              <w:rPr>
                <w:rFonts w:ascii="仿宋_GB2312" w:hAnsi="宋体" w:eastAsia="仿宋_GB2312" w:cs="宋体"/>
                <w:kern w:val="0"/>
                <w:sz w:val="24"/>
              </w:rPr>
            </w:pPr>
            <w:r>
              <w:rPr>
                <w:rFonts w:hint="eastAsia" w:ascii="仿宋_GB2312" w:hAnsi="宋体" w:eastAsia="仿宋_GB2312" w:cs="宋体"/>
                <w:kern w:val="0"/>
                <w:sz w:val="24"/>
              </w:rPr>
              <w:t>丛义明</w:t>
            </w:r>
          </w:p>
        </w:tc>
        <w:tc>
          <w:tcPr>
            <w:tcW w:w="3336" w:type="dxa"/>
            <w:vAlign w:val="center"/>
          </w:tcPr>
          <w:p w14:paraId="28C47A89">
            <w:pPr>
              <w:widowControl/>
              <w:jc w:val="left"/>
              <w:rPr>
                <w:rFonts w:ascii="仿宋_GB2312" w:hAnsi="宋体" w:eastAsia="仿宋_GB2312" w:cs="宋体"/>
                <w:kern w:val="0"/>
                <w:sz w:val="24"/>
              </w:rPr>
            </w:pPr>
            <w:r>
              <w:rPr>
                <w:rFonts w:hint="eastAsia" w:ascii="仿宋_GB2312" w:hAnsi="宋体" w:eastAsia="仿宋_GB2312" w:cs="宋体"/>
                <w:kern w:val="0"/>
                <w:sz w:val="24"/>
              </w:rPr>
              <w:t>应急管理分局</w:t>
            </w:r>
          </w:p>
        </w:tc>
        <w:tc>
          <w:tcPr>
            <w:tcW w:w="1416" w:type="dxa"/>
            <w:vAlign w:val="center"/>
          </w:tcPr>
          <w:p w14:paraId="639C6621">
            <w:pPr>
              <w:widowControl/>
              <w:jc w:val="center"/>
              <w:rPr>
                <w:rFonts w:ascii="仿宋_GB2312" w:hAnsi="宋体" w:eastAsia="仿宋_GB2312" w:cs="宋体"/>
                <w:kern w:val="0"/>
                <w:sz w:val="24"/>
              </w:rPr>
            </w:pPr>
            <w:r>
              <w:rPr>
                <w:rFonts w:hint="eastAsia" w:ascii="仿宋_GB2312" w:hAnsi="宋体" w:eastAsia="仿宋_GB2312" w:cs="宋体"/>
                <w:kern w:val="0"/>
                <w:sz w:val="24"/>
              </w:rPr>
              <w:t>副局长</w:t>
            </w:r>
          </w:p>
        </w:tc>
        <w:tc>
          <w:tcPr>
            <w:tcW w:w="1152" w:type="dxa"/>
            <w:vAlign w:val="center"/>
          </w:tcPr>
          <w:p w14:paraId="036E465A">
            <w:pPr>
              <w:widowControl/>
              <w:jc w:val="center"/>
              <w:textAlignment w:val="center"/>
              <w:rPr>
                <w:rFonts w:ascii="仿宋_GB2312" w:hAnsi="宋体" w:eastAsia="仿宋_GB2312" w:cs="宋体"/>
                <w:kern w:val="0"/>
                <w:sz w:val="24"/>
              </w:rPr>
            </w:pPr>
            <w:r>
              <w:rPr>
                <w:rFonts w:ascii="仿宋_GB2312" w:hAnsi="宋体" w:eastAsia="仿宋_GB2312" w:cs="仿宋_GB2312"/>
                <w:kern w:val="0"/>
                <w:sz w:val="24"/>
              </w:rPr>
              <w:t>6922119</w:t>
            </w:r>
          </w:p>
        </w:tc>
        <w:tc>
          <w:tcPr>
            <w:tcW w:w="1685" w:type="dxa"/>
            <w:vAlign w:val="center"/>
          </w:tcPr>
          <w:p w14:paraId="16812CC4">
            <w:pPr>
              <w:widowControl/>
              <w:jc w:val="center"/>
              <w:textAlignment w:val="center"/>
              <w:rPr>
                <w:rFonts w:ascii="仿宋_GB2312" w:hAnsi="宋体" w:eastAsia="仿宋_GB2312" w:cs="宋体"/>
                <w:kern w:val="0"/>
                <w:sz w:val="24"/>
              </w:rPr>
            </w:pPr>
            <w:r>
              <w:rPr>
                <w:rFonts w:ascii="仿宋_GB2312" w:hAnsi="宋体" w:eastAsia="仿宋_GB2312" w:cs="仿宋_GB2312"/>
                <w:kern w:val="0"/>
                <w:sz w:val="24"/>
              </w:rPr>
              <w:t>15005353119</w:t>
            </w:r>
          </w:p>
        </w:tc>
      </w:tr>
      <w:tr w14:paraId="47DB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22" w:type="dxa"/>
            <w:vMerge w:val="continue"/>
            <w:vAlign w:val="center"/>
          </w:tcPr>
          <w:p w14:paraId="05B92278">
            <w:pPr>
              <w:widowControl/>
              <w:spacing w:line="260" w:lineRule="exact"/>
              <w:jc w:val="left"/>
              <w:rPr>
                <w:rFonts w:ascii="仿宋_GB2312" w:hAnsi="宋体" w:eastAsia="仿宋_GB2312" w:cs="宋体"/>
                <w:kern w:val="0"/>
                <w:sz w:val="24"/>
              </w:rPr>
            </w:pPr>
          </w:p>
        </w:tc>
        <w:tc>
          <w:tcPr>
            <w:tcW w:w="936" w:type="dxa"/>
            <w:vMerge w:val="continue"/>
            <w:vAlign w:val="center"/>
          </w:tcPr>
          <w:p w14:paraId="63682138">
            <w:pPr>
              <w:widowControl/>
              <w:spacing w:line="260" w:lineRule="exact"/>
              <w:jc w:val="center"/>
              <w:rPr>
                <w:rFonts w:ascii="仿宋_GB2312" w:hAnsi="宋体" w:eastAsia="仿宋_GB2312" w:cs="宋体"/>
                <w:kern w:val="0"/>
                <w:sz w:val="24"/>
              </w:rPr>
            </w:pPr>
          </w:p>
        </w:tc>
        <w:tc>
          <w:tcPr>
            <w:tcW w:w="936" w:type="dxa"/>
            <w:vAlign w:val="center"/>
          </w:tcPr>
          <w:p w14:paraId="3227A5FC">
            <w:pPr>
              <w:widowControl/>
              <w:jc w:val="center"/>
              <w:rPr>
                <w:rFonts w:ascii="仿宋_GB2312" w:hAnsi="宋体" w:eastAsia="仿宋_GB2312" w:cs="宋体"/>
                <w:kern w:val="0"/>
                <w:sz w:val="24"/>
              </w:rPr>
            </w:pPr>
            <w:r>
              <w:rPr>
                <w:rFonts w:hint="eastAsia" w:ascii="仿宋_GB2312" w:hAnsi="宋体" w:eastAsia="仿宋_GB2312" w:cs="宋体"/>
                <w:kern w:val="0"/>
                <w:sz w:val="24"/>
              </w:rPr>
              <w:t>李洪屹</w:t>
            </w:r>
          </w:p>
        </w:tc>
        <w:tc>
          <w:tcPr>
            <w:tcW w:w="3336" w:type="dxa"/>
            <w:vAlign w:val="center"/>
          </w:tcPr>
          <w:p w14:paraId="69973E47">
            <w:pPr>
              <w:widowControl/>
              <w:jc w:val="left"/>
              <w:rPr>
                <w:rFonts w:ascii="仿宋_GB2312" w:hAnsi="宋体" w:eastAsia="仿宋_GB2312" w:cs="宋体"/>
                <w:kern w:val="0"/>
                <w:sz w:val="24"/>
              </w:rPr>
            </w:pPr>
            <w:r>
              <w:rPr>
                <w:rFonts w:hint="eastAsia" w:ascii="仿宋_GB2312" w:hAnsi="宋体" w:eastAsia="仿宋_GB2312" w:cs="宋体"/>
                <w:kern w:val="0"/>
                <w:sz w:val="24"/>
              </w:rPr>
              <w:t>区综合管理部</w:t>
            </w:r>
          </w:p>
        </w:tc>
        <w:tc>
          <w:tcPr>
            <w:tcW w:w="1416" w:type="dxa"/>
            <w:vAlign w:val="center"/>
          </w:tcPr>
          <w:p w14:paraId="1C69F785">
            <w:pPr>
              <w:widowControl/>
              <w:jc w:val="center"/>
              <w:rPr>
                <w:rFonts w:ascii="仿宋_GB2312" w:hAnsi="宋体" w:eastAsia="仿宋_GB2312" w:cs="宋体"/>
                <w:kern w:val="0"/>
                <w:sz w:val="24"/>
              </w:rPr>
            </w:pPr>
            <w:r>
              <w:rPr>
                <w:rFonts w:hint="eastAsia" w:ascii="仿宋_GB2312" w:hAnsi="宋体" w:eastAsia="仿宋_GB2312" w:cs="宋体"/>
                <w:kern w:val="0"/>
                <w:sz w:val="24"/>
              </w:rPr>
              <w:t>副部长</w:t>
            </w:r>
          </w:p>
        </w:tc>
        <w:tc>
          <w:tcPr>
            <w:tcW w:w="1152" w:type="dxa"/>
            <w:vAlign w:val="center"/>
          </w:tcPr>
          <w:p w14:paraId="12C93645">
            <w:pPr>
              <w:widowControl/>
              <w:jc w:val="center"/>
              <w:textAlignment w:val="center"/>
              <w:rPr>
                <w:rFonts w:ascii="仿宋_GB2312" w:hAnsi="宋体" w:eastAsia="仿宋_GB2312" w:cs="宋体"/>
                <w:kern w:val="0"/>
                <w:sz w:val="24"/>
              </w:rPr>
            </w:pPr>
            <w:r>
              <w:rPr>
                <w:rFonts w:hint="eastAsia" w:ascii="仿宋_GB2312" w:hAnsi="宋体" w:eastAsia="仿宋_GB2312" w:cs="宋体"/>
                <w:kern w:val="0"/>
                <w:sz w:val="24"/>
              </w:rPr>
              <w:t>6922161</w:t>
            </w:r>
          </w:p>
        </w:tc>
        <w:tc>
          <w:tcPr>
            <w:tcW w:w="1685" w:type="dxa"/>
            <w:vAlign w:val="center"/>
          </w:tcPr>
          <w:p w14:paraId="0AEC3442">
            <w:pPr>
              <w:widowControl/>
              <w:jc w:val="center"/>
              <w:textAlignment w:val="center"/>
              <w:rPr>
                <w:rFonts w:ascii="仿宋_GB2312" w:hAnsi="宋体" w:eastAsia="仿宋_GB2312" w:cs="宋体"/>
                <w:kern w:val="0"/>
                <w:sz w:val="24"/>
              </w:rPr>
            </w:pPr>
            <w:r>
              <w:rPr>
                <w:rFonts w:hint="eastAsia" w:ascii="仿宋_GB2312" w:hAnsi="宋体" w:eastAsia="仿宋_GB2312" w:cs="宋体"/>
                <w:kern w:val="0"/>
                <w:sz w:val="24"/>
              </w:rPr>
              <w:t>15954505661</w:t>
            </w:r>
          </w:p>
        </w:tc>
      </w:tr>
      <w:tr w14:paraId="2D60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2" w:type="dxa"/>
            <w:vMerge w:val="continue"/>
            <w:vAlign w:val="center"/>
          </w:tcPr>
          <w:p w14:paraId="19321591">
            <w:pPr>
              <w:widowControl/>
              <w:spacing w:line="260" w:lineRule="exact"/>
              <w:jc w:val="left"/>
              <w:rPr>
                <w:rFonts w:ascii="仿宋_GB2312" w:hAnsi="宋体" w:eastAsia="仿宋_GB2312" w:cs="宋体"/>
                <w:kern w:val="0"/>
                <w:sz w:val="24"/>
              </w:rPr>
            </w:pPr>
          </w:p>
        </w:tc>
        <w:tc>
          <w:tcPr>
            <w:tcW w:w="936" w:type="dxa"/>
            <w:vMerge w:val="continue"/>
            <w:vAlign w:val="center"/>
          </w:tcPr>
          <w:p w14:paraId="2F1D15C0">
            <w:pPr>
              <w:widowControl/>
              <w:spacing w:line="260" w:lineRule="exact"/>
              <w:jc w:val="left"/>
              <w:rPr>
                <w:rFonts w:ascii="仿宋_GB2312" w:hAnsi="宋体" w:eastAsia="仿宋_GB2312" w:cs="宋体"/>
                <w:kern w:val="0"/>
                <w:sz w:val="24"/>
              </w:rPr>
            </w:pPr>
          </w:p>
        </w:tc>
        <w:tc>
          <w:tcPr>
            <w:tcW w:w="936" w:type="dxa"/>
            <w:vAlign w:val="center"/>
          </w:tcPr>
          <w:p w14:paraId="01D9D23A">
            <w:pPr>
              <w:widowControl/>
              <w:jc w:val="center"/>
              <w:rPr>
                <w:rFonts w:ascii="仿宋_GB2312" w:hAnsi="宋体" w:eastAsia="仿宋_GB2312" w:cs="宋体"/>
                <w:kern w:val="0"/>
                <w:sz w:val="24"/>
              </w:rPr>
            </w:pPr>
            <w:r>
              <w:rPr>
                <w:rFonts w:hint="eastAsia" w:ascii="仿宋_GB2312" w:hAnsi="宋体" w:eastAsia="仿宋_GB2312" w:cs="宋体"/>
                <w:kern w:val="0"/>
                <w:sz w:val="24"/>
              </w:rPr>
              <w:t>刘泽华</w:t>
            </w:r>
          </w:p>
        </w:tc>
        <w:tc>
          <w:tcPr>
            <w:tcW w:w="3336" w:type="dxa"/>
            <w:vAlign w:val="center"/>
          </w:tcPr>
          <w:p w14:paraId="36B558F6">
            <w:pPr>
              <w:widowControl/>
              <w:jc w:val="left"/>
              <w:rPr>
                <w:rFonts w:ascii="仿宋_GB2312" w:hAnsi="宋体" w:eastAsia="仿宋_GB2312" w:cs="宋体"/>
                <w:kern w:val="0"/>
                <w:sz w:val="24"/>
              </w:rPr>
            </w:pPr>
            <w:r>
              <w:rPr>
                <w:rFonts w:hint="eastAsia" w:ascii="仿宋_GB2312" w:hAnsi="宋体" w:eastAsia="仿宋_GB2312" w:cs="宋体"/>
                <w:kern w:val="0"/>
                <w:sz w:val="24"/>
              </w:rPr>
              <w:t>区财政金融部</w:t>
            </w:r>
          </w:p>
        </w:tc>
        <w:tc>
          <w:tcPr>
            <w:tcW w:w="1416" w:type="dxa"/>
            <w:vAlign w:val="center"/>
          </w:tcPr>
          <w:p w14:paraId="29E99DEB">
            <w:pPr>
              <w:widowControl/>
              <w:jc w:val="center"/>
              <w:rPr>
                <w:rFonts w:ascii="仿宋_GB2312" w:hAnsi="宋体" w:eastAsia="仿宋_GB2312" w:cs="宋体"/>
                <w:kern w:val="0"/>
                <w:sz w:val="24"/>
              </w:rPr>
            </w:pPr>
            <w:r>
              <w:rPr>
                <w:rFonts w:hint="eastAsia" w:ascii="仿宋_GB2312" w:hAnsi="宋体" w:eastAsia="仿宋_GB2312" w:cs="宋体"/>
                <w:kern w:val="0"/>
                <w:sz w:val="24"/>
              </w:rPr>
              <w:t>副部长</w:t>
            </w:r>
          </w:p>
        </w:tc>
        <w:tc>
          <w:tcPr>
            <w:tcW w:w="1152" w:type="dxa"/>
            <w:vAlign w:val="center"/>
          </w:tcPr>
          <w:p w14:paraId="7ED03B25">
            <w:pPr>
              <w:widowControl/>
              <w:jc w:val="center"/>
              <w:textAlignment w:val="center"/>
              <w:rPr>
                <w:rFonts w:ascii="仿宋_GB2312" w:hAnsi="宋体" w:eastAsia="仿宋_GB2312" w:cs="宋体"/>
                <w:kern w:val="0"/>
                <w:sz w:val="24"/>
              </w:rPr>
            </w:pPr>
            <w:r>
              <w:rPr>
                <w:rFonts w:ascii="仿宋_GB2312" w:hAnsi="宋体" w:eastAsia="仿宋_GB2312" w:cs="仿宋_GB2312"/>
                <w:kern w:val="0"/>
                <w:sz w:val="24"/>
              </w:rPr>
              <w:t>6922063</w:t>
            </w:r>
          </w:p>
        </w:tc>
        <w:tc>
          <w:tcPr>
            <w:tcW w:w="1685" w:type="dxa"/>
            <w:vAlign w:val="center"/>
          </w:tcPr>
          <w:p w14:paraId="5C1143F2">
            <w:pPr>
              <w:widowControl/>
              <w:jc w:val="center"/>
              <w:textAlignment w:val="center"/>
              <w:rPr>
                <w:rFonts w:ascii="仿宋_GB2312" w:hAnsi="宋体" w:eastAsia="仿宋_GB2312" w:cs="宋体"/>
                <w:kern w:val="0"/>
                <w:sz w:val="24"/>
              </w:rPr>
            </w:pPr>
            <w:r>
              <w:rPr>
                <w:rFonts w:ascii="仿宋_GB2312" w:hAnsi="宋体" w:eastAsia="仿宋_GB2312" w:cs="仿宋_GB2312"/>
                <w:kern w:val="0"/>
                <w:sz w:val="24"/>
              </w:rPr>
              <w:t>15666586868</w:t>
            </w:r>
          </w:p>
        </w:tc>
      </w:tr>
      <w:tr w14:paraId="426B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2" w:type="dxa"/>
            <w:vMerge w:val="continue"/>
            <w:vAlign w:val="center"/>
          </w:tcPr>
          <w:p w14:paraId="2BFE5B8D">
            <w:pPr>
              <w:widowControl/>
              <w:spacing w:line="260" w:lineRule="exact"/>
              <w:jc w:val="left"/>
              <w:rPr>
                <w:rFonts w:ascii="仿宋_GB2312" w:hAnsi="宋体" w:eastAsia="仿宋_GB2312" w:cs="宋体"/>
                <w:kern w:val="0"/>
                <w:sz w:val="24"/>
              </w:rPr>
            </w:pPr>
          </w:p>
        </w:tc>
        <w:tc>
          <w:tcPr>
            <w:tcW w:w="936" w:type="dxa"/>
            <w:vMerge w:val="continue"/>
            <w:vAlign w:val="center"/>
          </w:tcPr>
          <w:p w14:paraId="4A9E86D3">
            <w:pPr>
              <w:widowControl/>
              <w:spacing w:line="260" w:lineRule="exact"/>
              <w:jc w:val="left"/>
              <w:rPr>
                <w:rFonts w:ascii="仿宋_GB2312" w:hAnsi="宋体" w:eastAsia="仿宋_GB2312" w:cs="宋体"/>
                <w:kern w:val="0"/>
                <w:sz w:val="24"/>
              </w:rPr>
            </w:pPr>
          </w:p>
        </w:tc>
        <w:tc>
          <w:tcPr>
            <w:tcW w:w="936" w:type="dxa"/>
            <w:vAlign w:val="center"/>
          </w:tcPr>
          <w:p w14:paraId="4D926DF3">
            <w:pPr>
              <w:widowControl/>
              <w:jc w:val="center"/>
              <w:textAlignment w:val="center"/>
              <w:rPr>
                <w:rFonts w:ascii="仿宋_GB2312" w:hAnsi="宋体" w:eastAsia="仿宋_GB2312" w:cs="宋体"/>
                <w:kern w:val="0"/>
                <w:sz w:val="24"/>
              </w:rPr>
            </w:pPr>
            <w:r>
              <w:rPr>
                <w:rFonts w:hint="eastAsia" w:ascii="仿宋_GB2312" w:hAnsi="宋体" w:eastAsia="仿宋_GB2312" w:cs="仿宋_GB2312"/>
                <w:kern w:val="0"/>
                <w:sz w:val="24"/>
              </w:rPr>
              <w:t>李昌</w:t>
            </w:r>
          </w:p>
        </w:tc>
        <w:tc>
          <w:tcPr>
            <w:tcW w:w="3336" w:type="dxa"/>
            <w:vAlign w:val="center"/>
          </w:tcPr>
          <w:p w14:paraId="0AAA8243">
            <w:pPr>
              <w:widowControl/>
              <w:jc w:val="left"/>
              <w:textAlignment w:val="center"/>
              <w:rPr>
                <w:rFonts w:ascii="仿宋_GB2312" w:hAnsi="宋体" w:eastAsia="仿宋_GB2312" w:cs="宋体"/>
                <w:kern w:val="0"/>
                <w:sz w:val="24"/>
              </w:rPr>
            </w:pPr>
            <w:r>
              <w:rPr>
                <w:rFonts w:hint="eastAsia" w:ascii="仿宋_GB2312" w:hAnsi="宋体" w:eastAsia="仿宋_GB2312" w:cs="宋体"/>
                <w:kern w:val="0"/>
                <w:sz w:val="24"/>
              </w:rPr>
              <w:t>马山街道办事处</w:t>
            </w:r>
          </w:p>
        </w:tc>
        <w:tc>
          <w:tcPr>
            <w:tcW w:w="1416" w:type="dxa"/>
            <w:vAlign w:val="center"/>
          </w:tcPr>
          <w:p w14:paraId="6B5478F8">
            <w:pPr>
              <w:widowControl/>
              <w:jc w:val="center"/>
              <w:textAlignment w:val="center"/>
              <w:rPr>
                <w:rFonts w:ascii="仿宋_GB2312" w:hAnsi="宋体" w:eastAsia="仿宋_GB2312" w:cs="宋体"/>
                <w:kern w:val="0"/>
                <w:sz w:val="24"/>
              </w:rPr>
            </w:pPr>
            <w:r>
              <w:rPr>
                <w:rFonts w:ascii="仿宋_GB2312" w:hAnsi="宋体" w:eastAsia="仿宋_GB2312" w:cs="仿宋_GB2312"/>
                <w:kern w:val="0"/>
                <w:sz w:val="22"/>
                <w:szCs w:val="22"/>
              </w:rPr>
              <w:t>副主任</w:t>
            </w:r>
          </w:p>
        </w:tc>
        <w:tc>
          <w:tcPr>
            <w:tcW w:w="1152" w:type="dxa"/>
            <w:vAlign w:val="center"/>
          </w:tcPr>
          <w:p w14:paraId="769ED166">
            <w:pPr>
              <w:widowControl/>
              <w:jc w:val="center"/>
              <w:textAlignment w:val="center"/>
              <w:rPr>
                <w:rFonts w:ascii="仿宋_GB2312" w:hAnsi="宋体" w:eastAsia="仿宋_GB2312" w:cs="宋体"/>
                <w:sz w:val="24"/>
              </w:rPr>
            </w:pPr>
            <w:r>
              <w:rPr>
                <w:rFonts w:hint="eastAsia" w:ascii="仿宋_GB2312" w:hAnsi="宋体" w:eastAsia="仿宋_GB2312" w:cs="仿宋_GB2312"/>
                <w:kern w:val="0"/>
                <w:sz w:val="24"/>
              </w:rPr>
              <w:t>6922707</w:t>
            </w:r>
          </w:p>
        </w:tc>
        <w:tc>
          <w:tcPr>
            <w:tcW w:w="1685" w:type="dxa"/>
            <w:vAlign w:val="center"/>
          </w:tcPr>
          <w:p w14:paraId="5D242322">
            <w:pPr>
              <w:widowControl/>
              <w:jc w:val="center"/>
              <w:textAlignment w:val="center"/>
              <w:rPr>
                <w:rFonts w:ascii="仿宋_GB2312" w:hAnsi="宋体" w:eastAsia="仿宋_GB2312" w:cs="宋体"/>
                <w:sz w:val="24"/>
              </w:rPr>
            </w:pPr>
            <w:r>
              <w:rPr>
                <w:rFonts w:hint="eastAsia" w:ascii="仿宋_GB2312" w:hAnsi="宋体" w:eastAsia="仿宋_GB2312" w:cs="仿宋_GB2312"/>
                <w:kern w:val="0"/>
                <w:sz w:val="24"/>
              </w:rPr>
              <w:t>13963870752</w:t>
            </w:r>
          </w:p>
        </w:tc>
      </w:tr>
      <w:tr w14:paraId="0249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2" w:type="dxa"/>
            <w:vMerge w:val="continue"/>
            <w:vAlign w:val="center"/>
          </w:tcPr>
          <w:p w14:paraId="5618BA67">
            <w:pPr>
              <w:widowControl/>
              <w:spacing w:line="260" w:lineRule="exact"/>
              <w:jc w:val="left"/>
              <w:rPr>
                <w:rFonts w:ascii="仿宋_GB2312" w:hAnsi="宋体" w:eastAsia="仿宋_GB2312" w:cs="宋体"/>
                <w:kern w:val="0"/>
                <w:sz w:val="24"/>
              </w:rPr>
            </w:pPr>
          </w:p>
        </w:tc>
        <w:tc>
          <w:tcPr>
            <w:tcW w:w="936" w:type="dxa"/>
            <w:vMerge w:val="continue"/>
            <w:vAlign w:val="center"/>
          </w:tcPr>
          <w:p w14:paraId="00AC0D70">
            <w:pPr>
              <w:widowControl/>
              <w:spacing w:line="260" w:lineRule="exact"/>
              <w:jc w:val="left"/>
              <w:rPr>
                <w:rFonts w:ascii="仿宋_GB2312" w:hAnsi="宋体" w:eastAsia="仿宋_GB2312" w:cs="宋体"/>
                <w:kern w:val="0"/>
                <w:sz w:val="24"/>
              </w:rPr>
            </w:pPr>
          </w:p>
        </w:tc>
        <w:tc>
          <w:tcPr>
            <w:tcW w:w="936" w:type="dxa"/>
            <w:vAlign w:val="center"/>
          </w:tcPr>
          <w:p w14:paraId="6F018074">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刘奎玉</w:t>
            </w:r>
          </w:p>
        </w:tc>
        <w:tc>
          <w:tcPr>
            <w:tcW w:w="3336" w:type="dxa"/>
            <w:vAlign w:val="center"/>
          </w:tcPr>
          <w:p w14:paraId="735DD080">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区公安分局</w:t>
            </w:r>
          </w:p>
        </w:tc>
        <w:tc>
          <w:tcPr>
            <w:tcW w:w="1416" w:type="dxa"/>
            <w:vAlign w:val="center"/>
          </w:tcPr>
          <w:p w14:paraId="44FAA301">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副局长</w:t>
            </w:r>
          </w:p>
        </w:tc>
        <w:tc>
          <w:tcPr>
            <w:tcW w:w="1152" w:type="dxa"/>
            <w:vAlign w:val="center"/>
          </w:tcPr>
          <w:p w14:paraId="61F14520">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6922715</w:t>
            </w:r>
          </w:p>
        </w:tc>
        <w:tc>
          <w:tcPr>
            <w:tcW w:w="1685" w:type="dxa"/>
            <w:vAlign w:val="center"/>
          </w:tcPr>
          <w:p w14:paraId="49ADEE45">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18815351007</w:t>
            </w:r>
          </w:p>
        </w:tc>
      </w:tr>
      <w:tr w14:paraId="1BEE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2" w:type="dxa"/>
            <w:vMerge w:val="continue"/>
            <w:vAlign w:val="center"/>
          </w:tcPr>
          <w:p w14:paraId="7397F7CA">
            <w:pPr>
              <w:widowControl/>
              <w:spacing w:line="260" w:lineRule="exact"/>
              <w:jc w:val="left"/>
              <w:rPr>
                <w:rFonts w:ascii="仿宋_GB2312" w:hAnsi="宋体" w:eastAsia="仿宋_GB2312" w:cs="宋体"/>
                <w:kern w:val="0"/>
                <w:sz w:val="24"/>
              </w:rPr>
            </w:pPr>
          </w:p>
        </w:tc>
        <w:tc>
          <w:tcPr>
            <w:tcW w:w="936" w:type="dxa"/>
            <w:vMerge w:val="continue"/>
            <w:vAlign w:val="center"/>
          </w:tcPr>
          <w:p w14:paraId="35D56706">
            <w:pPr>
              <w:widowControl/>
              <w:spacing w:line="260" w:lineRule="exact"/>
              <w:jc w:val="left"/>
              <w:rPr>
                <w:rFonts w:ascii="仿宋_GB2312" w:hAnsi="宋体" w:eastAsia="仿宋_GB2312" w:cs="宋体"/>
                <w:kern w:val="0"/>
                <w:sz w:val="24"/>
              </w:rPr>
            </w:pPr>
          </w:p>
        </w:tc>
        <w:tc>
          <w:tcPr>
            <w:tcW w:w="8525" w:type="dxa"/>
            <w:gridSpan w:val="5"/>
            <w:vAlign w:val="center"/>
          </w:tcPr>
          <w:p w14:paraId="05D98E37">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事故单位负责人</w:t>
            </w:r>
          </w:p>
        </w:tc>
      </w:tr>
      <w:tr w14:paraId="5DD3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2" w:type="dxa"/>
            <w:vMerge w:val="restart"/>
            <w:vAlign w:val="center"/>
          </w:tcPr>
          <w:p w14:paraId="2D231D89">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应急抢险救援队</w:t>
            </w:r>
          </w:p>
        </w:tc>
        <w:tc>
          <w:tcPr>
            <w:tcW w:w="936" w:type="dxa"/>
            <w:vAlign w:val="center"/>
          </w:tcPr>
          <w:p w14:paraId="1E5874B7">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队长</w:t>
            </w:r>
          </w:p>
        </w:tc>
        <w:tc>
          <w:tcPr>
            <w:tcW w:w="936" w:type="dxa"/>
            <w:vAlign w:val="center"/>
          </w:tcPr>
          <w:p w14:paraId="24870CBD">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纪海亭</w:t>
            </w:r>
          </w:p>
        </w:tc>
        <w:tc>
          <w:tcPr>
            <w:tcW w:w="3336" w:type="dxa"/>
            <w:vAlign w:val="center"/>
          </w:tcPr>
          <w:p w14:paraId="1EAEF472">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烟台市海兴建设工程有限公司</w:t>
            </w:r>
          </w:p>
        </w:tc>
        <w:tc>
          <w:tcPr>
            <w:tcW w:w="1416" w:type="dxa"/>
            <w:vAlign w:val="center"/>
          </w:tcPr>
          <w:p w14:paraId="68C8A08D">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总经理</w:t>
            </w:r>
          </w:p>
        </w:tc>
        <w:tc>
          <w:tcPr>
            <w:tcW w:w="1152" w:type="dxa"/>
            <w:vAlign w:val="center"/>
          </w:tcPr>
          <w:p w14:paraId="53D21262">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6919238</w:t>
            </w:r>
          </w:p>
        </w:tc>
        <w:tc>
          <w:tcPr>
            <w:tcW w:w="1685" w:type="dxa"/>
            <w:vAlign w:val="center"/>
          </w:tcPr>
          <w:p w14:paraId="56325C95">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13606383219</w:t>
            </w:r>
          </w:p>
        </w:tc>
      </w:tr>
      <w:tr w14:paraId="437E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2" w:type="dxa"/>
            <w:vMerge w:val="continue"/>
            <w:vAlign w:val="center"/>
          </w:tcPr>
          <w:p w14:paraId="22477FB0">
            <w:pPr>
              <w:widowControl/>
              <w:spacing w:line="260" w:lineRule="exact"/>
              <w:jc w:val="left"/>
              <w:rPr>
                <w:rFonts w:ascii="仿宋_GB2312" w:hAnsi="宋体" w:eastAsia="仿宋_GB2312" w:cs="宋体"/>
                <w:kern w:val="0"/>
                <w:sz w:val="24"/>
              </w:rPr>
            </w:pPr>
          </w:p>
        </w:tc>
        <w:tc>
          <w:tcPr>
            <w:tcW w:w="936" w:type="dxa"/>
            <w:vAlign w:val="center"/>
          </w:tcPr>
          <w:p w14:paraId="19387F1F">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副队长</w:t>
            </w:r>
          </w:p>
        </w:tc>
        <w:tc>
          <w:tcPr>
            <w:tcW w:w="936" w:type="dxa"/>
            <w:vAlign w:val="center"/>
          </w:tcPr>
          <w:p w14:paraId="38F17B78">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王瑞荣</w:t>
            </w:r>
          </w:p>
        </w:tc>
        <w:tc>
          <w:tcPr>
            <w:tcW w:w="3336" w:type="dxa"/>
            <w:vAlign w:val="center"/>
          </w:tcPr>
          <w:p w14:paraId="7F647230">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烟台市海兴建设工程有限公司</w:t>
            </w:r>
          </w:p>
        </w:tc>
        <w:tc>
          <w:tcPr>
            <w:tcW w:w="1416" w:type="dxa"/>
            <w:vAlign w:val="center"/>
          </w:tcPr>
          <w:p w14:paraId="3A444314">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副经理</w:t>
            </w:r>
          </w:p>
        </w:tc>
        <w:tc>
          <w:tcPr>
            <w:tcW w:w="1152" w:type="dxa"/>
            <w:vAlign w:val="center"/>
          </w:tcPr>
          <w:p w14:paraId="58E1452E">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6919238</w:t>
            </w:r>
          </w:p>
        </w:tc>
        <w:tc>
          <w:tcPr>
            <w:tcW w:w="1685" w:type="dxa"/>
            <w:vAlign w:val="center"/>
          </w:tcPr>
          <w:p w14:paraId="4274950B">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13605356284</w:t>
            </w:r>
          </w:p>
        </w:tc>
      </w:tr>
      <w:tr w14:paraId="4B8D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2" w:type="dxa"/>
            <w:vMerge w:val="continue"/>
            <w:vAlign w:val="center"/>
          </w:tcPr>
          <w:p w14:paraId="530EF945">
            <w:pPr>
              <w:widowControl/>
              <w:spacing w:line="260" w:lineRule="exact"/>
              <w:jc w:val="left"/>
              <w:rPr>
                <w:rFonts w:ascii="仿宋_GB2312" w:hAnsi="宋体" w:eastAsia="仿宋_GB2312" w:cs="宋体"/>
                <w:kern w:val="0"/>
                <w:sz w:val="24"/>
              </w:rPr>
            </w:pPr>
          </w:p>
        </w:tc>
        <w:tc>
          <w:tcPr>
            <w:tcW w:w="936" w:type="dxa"/>
            <w:vAlign w:val="center"/>
          </w:tcPr>
          <w:p w14:paraId="0CAC6015">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成员</w:t>
            </w:r>
          </w:p>
        </w:tc>
        <w:tc>
          <w:tcPr>
            <w:tcW w:w="8525" w:type="dxa"/>
            <w:gridSpan w:val="5"/>
            <w:vAlign w:val="center"/>
          </w:tcPr>
          <w:p w14:paraId="01683523">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特殊工种19人</w:t>
            </w:r>
          </w:p>
        </w:tc>
      </w:tr>
    </w:tbl>
    <w:p w14:paraId="0E0204CB">
      <w:pPr>
        <w:spacing w:line="560" w:lineRule="exact"/>
        <w:rPr>
          <w:rFonts w:ascii="方正黑体简体" w:hAnsi="宋体" w:eastAsia="方正黑体简体" w:cs="宋体"/>
          <w:bCs/>
          <w:kern w:val="0"/>
          <w:sz w:val="32"/>
          <w:szCs w:val="32"/>
        </w:rPr>
      </w:pPr>
    </w:p>
    <w:p w14:paraId="44B14692">
      <w:pPr>
        <w:spacing w:line="560" w:lineRule="exact"/>
        <w:rPr>
          <w:rFonts w:ascii="方正黑体简体" w:hAnsi="宋体" w:eastAsia="方正黑体简体" w:cs="宋体"/>
          <w:bCs/>
          <w:kern w:val="0"/>
          <w:sz w:val="32"/>
          <w:szCs w:val="32"/>
        </w:rPr>
      </w:pPr>
    </w:p>
    <w:p w14:paraId="78B7D525">
      <w:pPr>
        <w:spacing w:line="560" w:lineRule="exact"/>
        <w:rPr>
          <w:rFonts w:ascii="方正黑体简体" w:hAnsi="宋体" w:eastAsia="方正黑体简体" w:cs="宋体"/>
          <w:bCs/>
          <w:kern w:val="0"/>
          <w:sz w:val="32"/>
          <w:szCs w:val="32"/>
        </w:rPr>
      </w:pPr>
    </w:p>
    <w:p w14:paraId="27A514E7">
      <w:pPr>
        <w:spacing w:line="560" w:lineRule="exact"/>
        <w:rPr>
          <w:rFonts w:ascii="方正黑体简体" w:hAnsi="宋体" w:eastAsia="方正黑体简体" w:cs="宋体"/>
          <w:bCs/>
          <w:kern w:val="0"/>
          <w:sz w:val="32"/>
          <w:szCs w:val="32"/>
        </w:rPr>
      </w:pPr>
    </w:p>
    <w:p w14:paraId="2CE68588">
      <w:pPr>
        <w:spacing w:line="560" w:lineRule="exact"/>
        <w:rPr>
          <w:rFonts w:ascii="方正小标宋_GBK" w:hAnsi="宋体" w:eastAsia="方正小标宋_GBK" w:cs="宋体"/>
          <w:bCs/>
          <w:kern w:val="0"/>
          <w:sz w:val="44"/>
          <w:szCs w:val="44"/>
        </w:rPr>
      </w:pPr>
      <w:r>
        <w:rPr>
          <w:rFonts w:hint="eastAsia" w:ascii="方正黑体简体" w:hAnsi="宋体" w:eastAsia="方正黑体简体" w:cs="宋体"/>
          <w:bCs/>
          <w:kern w:val="0"/>
          <w:sz w:val="32"/>
          <w:szCs w:val="32"/>
        </w:rPr>
        <w:t>附件4：</w:t>
      </w:r>
    </w:p>
    <w:p w14:paraId="5D79BC4E">
      <w:pPr>
        <w:spacing w:beforeLines="50" w:afterLines="50" w:line="560" w:lineRule="exact"/>
        <w:jc w:val="center"/>
        <w:rPr>
          <w:rFonts w:ascii="方正小标宋_GBK" w:hAnsi="宋体" w:eastAsia="方正小标宋_GBK" w:cs="宋体"/>
          <w:bCs/>
          <w:kern w:val="0"/>
          <w:sz w:val="44"/>
          <w:szCs w:val="44"/>
        </w:rPr>
      </w:pPr>
      <w:r>
        <w:drawing>
          <wp:anchor distT="0" distB="0" distL="114300" distR="114300" simplePos="0" relativeHeight="251693056" behindDoc="0" locked="0" layoutInCell="1" allowOverlap="1">
            <wp:simplePos x="0" y="0"/>
            <wp:positionH relativeFrom="column">
              <wp:posOffset>-120015</wp:posOffset>
            </wp:positionH>
            <wp:positionV relativeFrom="paragraph">
              <wp:posOffset>839470</wp:posOffset>
            </wp:positionV>
            <wp:extent cx="5948680" cy="6558915"/>
            <wp:effectExtent l="0" t="0" r="10160" b="9525"/>
            <wp:wrapSquare wrapText="bothSides"/>
            <wp:docPr id="3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图片 1"/>
                    <pic:cNvPicPr>
                      <a:picLocks noChangeAspect="1"/>
                    </pic:cNvPicPr>
                  </pic:nvPicPr>
                  <pic:blipFill>
                    <a:blip r:embed="rId14" cstate="print"/>
                    <a:stretch>
                      <a:fillRect/>
                    </a:stretch>
                  </pic:blipFill>
                  <pic:spPr>
                    <a:xfrm>
                      <a:off x="0" y="0"/>
                      <a:ext cx="5948680" cy="6558915"/>
                    </a:xfrm>
                    <a:prstGeom prst="rect">
                      <a:avLst/>
                    </a:prstGeom>
                    <a:noFill/>
                    <a:ln w="9525">
                      <a:noFill/>
                    </a:ln>
                  </pic:spPr>
                </pic:pic>
              </a:graphicData>
            </a:graphic>
          </wp:anchor>
        </w:drawing>
      </w:r>
      <w:r>
        <w:rPr>
          <w:rFonts w:hint="eastAsia" w:ascii="方正小标宋_GBK" w:hAnsi="宋体" w:eastAsia="方正小标宋_GBK" w:cs="宋体"/>
          <w:bCs/>
          <w:kern w:val="0"/>
          <w:sz w:val="44"/>
          <w:szCs w:val="44"/>
        </w:rPr>
        <w:t>烟台高新区建设工程事故应急预案运行流程</w:t>
      </w:r>
    </w:p>
    <w:p w14:paraId="7A12EAE1">
      <w:pPr>
        <w:spacing w:beforeLines="100" w:afterLines="100" w:line="560" w:lineRule="exact"/>
        <w:jc w:val="center"/>
        <w:rPr>
          <w:rFonts w:ascii="方正小标宋简体" w:hAnsi="宋体" w:eastAsia="方正小标宋简体"/>
          <w:sz w:val="44"/>
        </w:rPr>
      </w:pPr>
      <w:r>
        <w:rPr>
          <w:rFonts w:hint="eastAsia" w:ascii="方正小标宋简体" w:hAnsi="宋体" w:eastAsia="方正小标宋简体"/>
          <w:sz w:val="44"/>
        </w:rPr>
        <w:t>烟台高新区海上搜救</w:t>
      </w:r>
      <w:r>
        <w:rPr>
          <w:rFonts w:hint="eastAsia" w:ascii="方正小标宋简体" w:hAnsi="Helvetica" w:eastAsia="方正小标宋简体" w:cs="Helvetica"/>
          <w:sz w:val="44"/>
          <w:szCs w:val="44"/>
        </w:rPr>
        <w:t>专项</w:t>
      </w:r>
      <w:r>
        <w:rPr>
          <w:rFonts w:hint="eastAsia" w:ascii="方正小标宋简体" w:hAnsi="宋体" w:eastAsia="方正小标宋简体"/>
          <w:sz w:val="44"/>
        </w:rPr>
        <w:t>应急预案</w:t>
      </w:r>
    </w:p>
    <w:p w14:paraId="1322D99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为加强海上突发事件监测预警，建立健全海上突发事件应急响应机制，快速、有效开展海上突发事件应急处置工作，最大限度减少人员伤亡和财产损失，结合高新区实际情况，特制定本预案。</w:t>
      </w:r>
    </w:p>
    <w:p w14:paraId="7F9FFCCA">
      <w:pPr>
        <w:spacing w:line="560" w:lineRule="exact"/>
        <w:ind w:firstLine="640" w:firstLineChars="200"/>
        <w:rPr>
          <w:rFonts w:ascii="黑体" w:hAnsi="宋体" w:eastAsia="黑体"/>
          <w:sz w:val="32"/>
          <w:szCs w:val="32"/>
        </w:rPr>
      </w:pPr>
      <w:r>
        <w:rPr>
          <w:rFonts w:hint="eastAsia" w:ascii="黑体" w:hAnsi="宋体" w:eastAsia="黑体"/>
          <w:sz w:val="32"/>
          <w:szCs w:val="32"/>
        </w:rPr>
        <w:t>一、总则</w:t>
      </w:r>
    </w:p>
    <w:p w14:paraId="18C6F10E">
      <w:pPr>
        <w:spacing w:line="560" w:lineRule="exact"/>
        <w:ind w:firstLine="640" w:firstLineChars="200"/>
        <w:rPr>
          <w:rFonts w:ascii="楷体_GB2312" w:hAnsi="宋体" w:eastAsia="楷体_GB2312"/>
          <w:sz w:val="32"/>
          <w:szCs w:val="32"/>
        </w:rPr>
      </w:pPr>
      <w:r>
        <w:rPr>
          <w:rFonts w:hint="eastAsia" w:ascii="楷体_GB2312" w:hAnsi="宋体" w:eastAsia="楷体_GB2312"/>
          <w:sz w:val="32"/>
          <w:szCs w:val="32"/>
        </w:rPr>
        <w:t>（一）编制目的</w:t>
      </w:r>
    </w:p>
    <w:p w14:paraId="02880458">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快速、有效地</w:t>
      </w:r>
      <w:r>
        <w:rPr>
          <w:rFonts w:hint="eastAsia" w:ascii="仿宋_GB2312" w:hAnsi="宋体" w:eastAsia="仿宋_GB2312" w:cs="宋体"/>
          <w:kern w:val="0"/>
          <w:sz w:val="32"/>
          <w:szCs w:val="32"/>
        </w:rPr>
        <w:t>应对</w:t>
      </w:r>
      <w:r>
        <w:rPr>
          <w:rFonts w:hint="eastAsia" w:ascii="仿宋_GB2312" w:hAnsi="宋体" w:eastAsia="仿宋_GB2312"/>
          <w:sz w:val="32"/>
          <w:szCs w:val="32"/>
        </w:rPr>
        <w:t>处置</w:t>
      </w:r>
      <w:r>
        <w:rPr>
          <w:rFonts w:hint="eastAsia" w:ascii="仿宋_GB2312" w:hAnsi="宋体" w:eastAsia="仿宋_GB2312" w:cs="宋体"/>
          <w:kern w:val="0"/>
          <w:sz w:val="32"/>
          <w:szCs w:val="32"/>
        </w:rPr>
        <w:t>渔业重特大安全事故</w:t>
      </w:r>
      <w:r>
        <w:rPr>
          <w:rFonts w:hint="eastAsia" w:ascii="仿宋_GB2312" w:hAnsi="宋体" w:eastAsia="仿宋_GB2312"/>
          <w:sz w:val="32"/>
          <w:szCs w:val="32"/>
        </w:rPr>
        <w:t>，最大限度地减少人员伤亡和财产损失。</w:t>
      </w:r>
    </w:p>
    <w:p w14:paraId="6D35ED24">
      <w:pPr>
        <w:spacing w:line="560" w:lineRule="exact"/>
        <w:ind w:firstLine="640" w:firstLineChars="200"/>
        <w:rPr>
          <w:rFonts w:ascii="楷体_GB2312" w:hAnsi="宋体" w:eastAsia="楷体_GB2312"/>
          <w:sz w:val="32"/>
          <w:szCs w:val="32"/>
        </w:rPr>
      </w:pPr>
      <w:r>
        <w:rPr>
          <w:rFonts w:hint="eastAsia" w:ascii="楷体_GB2312" w:hAnsi="宋体" w:eastAsia="楷体_GB2312"/>
          <w:sz w:val="32"/>
          <w:szCs w:val="32"/>
        </w:rPr>
        <w:t>（二）编制依据</w:t>
      </w:r>
    </w:p>
    <w:p w14:paraId="229034F3">
      <w:pPr>
        <w:spacing w:line="560" w:lineRule="exact"/>
        <w:ind w:firstLine="640" w:firstLineChars="200"/>
        <w:rPr>
          <w:rFonts w:ascii="仿宋_GB2312" w:hAnsi="宋体" w:eastAsia="仿宋_GB2312"/>
          <w:sz w:val="32"/>
          <w:szCs w:val="32"/>
        </w:rPr>
      </w:pPr>
      <w:r>
        <w:rPr>
          <w:rFonts w:hint="eastAsia" w:ascii="仿宋_GB2312" w:hAnsi="宋体" w:eastAsia="仿宋_GB2312" w:cs="宋体"/>
          <w:kern w:val="0"/>
          <w:sz w:val="32"/>
          <w:szCs w:val="32"/>
        </w:rPr>
        <w:t>依据山东省《沿海水上交通和渔业特大安全事故应急救援预案》和烟台市人民政府《关于印发〈烟台市特大安全事故应急救援预案〉的通知》、</w:t>
      </w:r>
      <w:r>
        <w:rPr>
          <w:rFonts w:hint="eastAsia" w:ascii="仿宋_GB2312" w:eastAsia="仿宋_GB2312"/>
          <w:spacing w:val="-10"/>
        </w:rPr>
        <w:t>《</w:t>
      </w:r>
      <w:r>
        <w:rPr>
          <w:rFonts w:hint="eastAsia" w:ascii="仿宋_GB2312" w:hAnsi="宋体" w:eastAsia="仿宋_GB2312" w:cs="宋体"/>
          <w:kern w:val="0"/>
          <w:sz w:val="32"/>
          <w:szCs w:val="32"/>
        </w:rPr>
        <w:t>山东省海上搜寻救助办法》、《山东省海上搜救应急预案》、《山东省安全生产监督管理规定》、《烟台区海上搜救应急预案》</w:t>
      </w:r>
      <w:r>
        <w:rPr>
          <w:rFonts w:hint="eastAsia" w:ascii="仿宋_GB2312" w:hAnsi="宋体" w:eastAsia="仿宋_GB2312"/>
          <w:sz w:val="32"/>
          <w:szCs w:val="32"/>
        </w:rPr>
        <w:t>制定本预案。</w:t>
      </w:r>
    </w:p>
    <w:p w14:paraId="40FAF3EB">
      <w:pPr>
        <w:spacing w:line="560" w:lineRule="exact"/>
        <w:ind w:firstLine="640" w:firstLineChars="200"/>
        <w:rPr>
          <w:rFonts w:ascii="楷体_GB2312" w:hAnsi="宋体" w:eastAsia="楷体_GB2312"/>
          <w:sz w:val="32"/>
          <w:szCs w:val="32"/>
        </w:rPr>
      </w:pPr>
      <w:r>
        <w:rPr>
          <w:rFonts w:hint="eastAsia" w:ascii="楷体_GB2312" w:hAnsi="宋体" w:eastAsia="楷体_GB2312"/>
          <w:sz w:val="32"/>
          <w:szCs w:val="32"/>
        </w:rPr>
        <w:t>（三）适用范围</w:t>
      </w:r>
    </w:p>
    <w:p w14:paraId="03046D1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本预案适用于高新区管委所辖海域范围以内的渔业船舶突发性事故应急搜救救援工作。</w:t>
      </w:r>
    </w:p>
    <w:p w14:paraId="7A09921B">
      <w:pPr>
        <w:spacing w:line="560" w:lineRule="exact"/>
        <w:ind w:firstLine="640" w:firstLineChars="200"/>
        <w:rPr>
          <w:rFonts w:ascii="楷体_GB2312" w:hAnsi="宋体" w:eastAsia="楷体_GB2312"/>
          <w:sz w:val="32"/>
          <w:szCs w:val="32"/>
        </w:rPr>
      </w:pPr>
      <w:r>
        <w:rPr>
          <w:rFonts w:hint="eastAsia" w:ascii="楷体_GB2312" w:hAnsi="宋体" w:eastAsia="楷体_GB2312"/>
          <w:sz w:val="32"/>
          <w:szCs w:val="32"/>
        </w:rPr>
        <w:t>（四）工作原则</w:t>
      </w:r>
    </w:p>
    <w:p w14:paraId="07CFFF6C">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以人为本，科学决策，快速高效。及时对海上遇险人员进行救助，避免或减少人员伤亡；果断决策，保证应急指挥性的科学性；加强还撒谎功能应急体系建设，确保指挥畅通和救援力量快速行动，提高效能和水平。</w:t>
      </w:r>
    </w:p>
    <w:p w14:paraId="00FF3F1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政府领导，社会参与，依法规范。依照海上突发事件应急指挥体系框架，形成专业力量与社会力量相结合，多部门联动、多学科技术支持、全社会参与的海上突发事件应急处置机制；依照有关法律等，明确各相关单位、个人的责任、权利和义务，规范应急处置行为。</w:t>
      </w:r>
    </w:p>
    <w:p w14:paraId="7FA09C60">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统一指挥，分级管理，属地为主。高新区海上搜救应急指挥部对搜救责任区内海上突发事件应急处置工作实行统一指挥，协调应急力量的行动，确保各方应急搜救力量协调一致，提高应急处置工作的及时性和有效性，</w:t>
      </w:r>
    </w:p>
    <w:p w14:paraId="0E316DF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防救结合，资源共享，联防联动。做好自然灾害的检测预警工作，避免或减少自然灾害引发海上突发事件的可能；加强应急资源建设，建立共享机制，避免重复建设；充分发挥各方力量的自身优势和整体效能，相互配合，形成合力。</w:t>
      </w:r>
    </w:p>
    <w:p w14:paraId="0E2D9F4A">
      <w:pPr>
        <w:spacing w:line="560" w:lineRule="exact"/>
        <w:ind w:firstLine="640" w:firstLineChars="200"/>
        <w:rPr>
          <w:rFonts w:ascii="楷体_GB2312" w:hAnsi="宋体" w:eastAsia="楷体_GB2312"/>
          <w:sz w:val="32"/>
          <w:szCs w:val="32"/>
        </w:rPr>
      </w:pPr>
      <w:r>
        <w:rPr>
          <w:rFonts w:hint="eastAsia" w:ascii="楷体_GB2312" w:hAnsi="宋体" w:eastAsia="楷体_GB2312"/>
          <w:sz w:val="32"/>
          <w:szCs w:val="32"/>
        </w:rPr>
        <w:t>（五）与其他预案关系。</w:t>
      </w:r>
    </w:p>
    <w:p w14:paraId="61805F7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当烟台市或山东省海上搜救中心启动《烟台市海上搜救应急预案》或《山东省海上搜救应急预案》时，服从上级预案的要求。</w:t>
      </w:r>
    </w:p>
    <w:p w14:paraId="6BEC04E6">
      <w:pPr>
        <w:numPr>
          <w:ilvl w:val="0"/>
          <w:numId w:val="4"/>
        </w:numPr>
        <w:autoSpaceDE w:val="0"/>
        <w:autoSpaceDN w:val="0"/>
        <w:adjustRightInd w:val="0"/>
        <w:spacing w:line="560" w:lineRule="exact"/>
        <w:ind w:firstLine="640" w:firstLineChars="200"/>
        <w:rPr>
          <w:rFonts w:ascii="黑体" w:eastAsia="黑体"/>
          <w:sz w:val="32"/>
        </w:rPr>
      </w:pPr>
      <w:r>
        <w:rPr>
          <w:rFonts w:hint="eastAsia" w:ascii="黑体" w:eastAsia="黑体"/>
          <w:sz w:val="32"/>
        </w:rPr>
        <w:t>应急搜救组织机构及职责</w:t>
      </w:r>
    </w:p>
    <w:p w14:paraId="1B3A6CC8">
      <w:pPr>
        <w:autoSpaceDE w:val="0"/>
        <w:autoSpaceDN w:val="0"/>
        <w:adjustRightInd w:val="0"/>
        <w:spacing w:line="560" w:lineRule="exact"/>
        <w:ind w:left="420" w:leftChars="200"/>
        <w:rPr>
          <w:rFonts w:ascii="仿宋_GB2312" w:eastAsia="仿宋_GB2312"/>
          <w:kern w:val="0"/>
          <w:sz w:val="32"/>
        </w:rPr>
      </w:pPr>
      <w:r>
        <w:rPr>
          <w:rFonts w:hint="eastAsia" w:ascii="楷体_GB2312" w:eastAsia="楷体_GB2312"/>
          <w:sz w:val="32"/>
        </w:rPr>
        <w:t>（一）海上搜救应急救援指挥部</w:t>
      </w:r>
    </w:p>
    <w:p w14:paraId="1D5A1E18">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烟台高新区海上搜救应急救援指挥部，区管委分管副主任担任总指挥，如有特殊情况总指挥不能到位时，由区管委分管副主任授权一名负责人担任；区经济发展部分管负责人任副总指挥，指挥部其他成员由马山街道办事处、金山湾管理处、区综合管理部、区党群工作部、区财政金融部、区经济发展部、规划国土建设部、应急管理局高新分局、综合行政执法局、公安分局、卫生健康管理办公室等部门（单位）相关负责人组成。</w:t>
      </w:r>
    </w:p>
    <w:p w14:paraId="2A322E4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职责：</w:t>
      </w:r>
    </w:p>
    <w:p w14:paraId="55995F5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（1）负责批准应急预案的启动；</w:t>
      </w:r>
    </w:p>
    <w:p w14:paraId="4C462AD0">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（2）负责组织实施救援；</w:t>
      </w:r>
    </w:p>
    <w:p w14:paraId="0DC58ED1">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（3）负责确认事故的最终定性；</w:t>
      </w:r>
    </w:p>
    <w:p w14:paraId="5312CB2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（4）负责审查事故总结报告和对外信息发布内容。</w:t>
      </w:r>
    </w:p>
    <w:p w14:paraId="6E774253">
      <w:pPr>
        <w:spacing w:line="560" w:lineRule="exact"/>
        <w:ind w:firstLine="640" w:firstLineChars="200"/>
        <w:rPr>
          <w:rFonts w:ascii="楷体_GB2312" w:eastAsia="楷体_GB2312"/>
          <w:sz w:val="32"/>
        </w:rPr>
      </w:pPr>
      <w:r>
        <w:rPr>
          <w:rFonts w:hint="eastAsia" w:ascii="楷体_GB2312" w:eastAsia="楷体_GB2312"/>
          <w:sz w:val="32"/>
        </w:rPr>
        <w:t>（二）海上搜救应急救援指挥部办公室</w:t>
      </w:r>
    </w:p>
    <w:p w14:paraId="2E45488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海上搜救应急救援指挥部下设办公室，办公室设在区经济发展部，由区经济发展部分管负责人任主任。其主要职责：</w:t>
      </w:r>
    </w:p>
    <w:p w14:paraId="6633DF0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（1）组织相关部门制定海上搜救应急搜救救援预案，并定期组织演练，根据情况变化，及时对预案进行调整、修订和补充；</w:t>
      </w:r>
    </w:p>
    <w:p w14:paraId="2DD323D7">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（2）根据事故发生情况迅速启动预案，统一部署实施应急救援工作，并对应急救援工作争议事项采取紧急处理措施；</w:t>
      </w:r>
    </w:p>
    <w:p w14:paraId="13354460">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（3）在本行政区域内紧急调用各类物资、设备、人员和占用场地，事故救助结束后负责归还或给予补偿；</w:t>
      </w:r>
    </w:p>
    <w:p w14:paraId="712CA870">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（4）根据事故灾害情况，有危及周边单位和人员的险情时，组织人员和物资疏散工作；</w:t>
      </w:r>
    </w:p>
    <w:p w14:paraId="7F4ACBD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（5）配合上级部门进行事故调查处理工作；</w:t>
      </w:r>
    </w:p>
    <w:p w14:paraId="49C77FB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（6）做好稳定社会秩序和伤亡人员的善后处理工作；</w:t>
      </w:r>
    </w:p>
    <w:p w14:paraId="7A00DF1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（7）适时将事故的原因、责任及处理意见予以公布。海上搜救的信息发布，由区综合管理部负责，经总指挥审查后方可对外发布。</w:t>
      </w:r>
    </w:p>
    <w:p w14:paraId="2E05E9BF">
      <w:pPr>
        <w:spacing w:line="560" w:lineRule="exact"/>
        <w:ind w:firstLine="640" w:firstLineChars="200"/>
        <w:rPr>
          <w:rFonts w:ascii="楷体_GB2312" w:eastAsia="楷体_GB2312"/>
          <w:sz w:val="32"/>
        </w:rPr>
      </w:pPr>
      <w:r>
        <w:rPr>
          <w:rFonts w:hint="eastAsia" w:ascii="楷体_GB2312" w:eastAsia="楷体_GB2312"/>
          <w:sz w:val="32"/>
        </w:rPr>
        <w:t>（三）海上搜救应急救援小组组成与职责</w:t>
      </w:r>
    </w:p>
    <w:p w14:paraId="05A2C55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海上搜救指挥中心下设海上搜救救援组、医疗救护组、后勤保障组、综合工作组等四个工作组，其职责分工如下：</w:t>
      </w:r>
    </w:p>
    <w:p w14:paraId="50C9C1F7">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1．海上搜救救援组人员组成及职责</w:t>
      </w:r>
    </w:p>
    <w:p w14:paraId="7044589C">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区经济发展部分管负责人任组长，马山街道办事处、金山湾管理处、区公安分局、规划国土建设部、综合行政执法局等相关负责人为成员。其职责是：</w:t>
      </w:r>
    </w:p>
    <w:p w14:paraId="5DF50BD0">
      <w:pPr>
        <w:numPr>
          <w:ilvl w:val="0"/>
          <w:numId w:val="5"/>
        </w:num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做好24小时值守待命工作。确保救援人员和救援物资能够及时到位；</w:t>
      </w:r>
    </w:p>
    <w:p w14:paraId="62C72AC8">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（2）在接到指挥中心的救援指令后，积极争取烟台海事局所属烟台海上搜救中心海上救援力量的帮助，立即赶赴事发现场实施救援；</w:t>
      </w:r>
    </w:p>
    <w:p w14:paraId="4086F832">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（3）负责完成救援指挥中心办公室交办的其他任务；</w:t>
      </w:r>
    </w:p>
    <w:p w14:paraId="1BBD2AF2">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2．医疗救护组人员组成及职责</w:t>
      </w:r>
    </w:p>
    <w:p w14:paraId="2A037B78">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卫生健康管理办公室分管负责人任组长，相关医院（依托滨州医学院烟台附属医院、高新区医院等）为成员。其主要职责是：</w:t>
      </w:r>
    </w:p>
    <w:p w14:paraId="2FE6508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（1）负责组织协调医疗卫生应急救援队伍和急救药品；</w:t>
      </w:r>
    </w:p>
    <w:p w14:paraId="2D3EC64C">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（2）对受伤人员及时进行救治；</w:t>
      </w:r>
    </w:p>
    <w:p w14:paraId="757C5D1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（3）负责提供医疗保障。</w:t>
      </w:r>
    </w:p>
    <w:p w14:paraId="1B230A5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3．后勤保障组</w:t>
      </w:r>
    </w:p>
    <w:p w14:paraId="22E9F540">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区综合管理部分管负责人任组长，马山街道办事处、金山湾管理处、科经创新部、经济发展部、财政金融部等相关负责人为成员。其职责是：</w:t>
      </w:r>
    </w:p>
    <w:p w14:paraId="3D52A66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（1）负责调集事故所需物资、装备，确保事故所需器材、药剂、材料、食品等物资的供应；</w:t>
      </w:r>
    </w:p>
    <w:p w14:paraId="46B469F1">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（2）及时准确地将事故所需的各种船只、车辆、器材调往现场；</w:t>
      </w:r>
    </w:p>
    <w:p w14:paraId="7ECC88A1">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（3）必要时架设无线电通讯设施，保证救援通讯通畅；</w:t>
      </w:r>
    </w:p>
    <w:p w14:paraId="78C68C3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（4）安排好参加救援人员的饮食和休整；</w:t>
      </w:r>
    </w:p>
    <w:p w14:paraId="3810C182">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（5）做好其他相关后勤保障工作。</w:t>
      </w:r>
    </w:p>
    <w:p w14:paraId="4185613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（6）组织新闻、消息发布工作；</w:t>
      </w:r>
    </w:p>
    <w:p w14:paraId="4D83BAD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（7）协助做好事故的调查处理工作；</w:t>
      </w:r>
    </w:p>
    <w:p w14:paraId="76893BD4">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（8）做好事故的善后处理工作；</w:t>
      </w:r>
    </w:p>
    <w:p w14:paraId="168F310E">
      <w:pPr>
        <w:autoSpaceDE w:val="0"/>
        <w:autoSpaceDN w:val="0"/>
        <w:adjustRightInd w:val="0"/>
        <w:spacing w:line="560" w:lineRule="exact"/>
        <w:ind w:firstLine="640" w:firstLineChars="200"/>
        <w:rPr>
          <w:rFonts w:ascii="楷体_GB2312" w:eastAsia="楷体_GB2312"/>
          <w:kern w:val="0"/>
          <w:sz w:val="32"/>
        </w:rPr>
      </w:pPr>
      <w:r>
        <w:rPr>
          <w:rFonts w:hint="eastAsia" w:ascii="楷体_GB2312" w:eastAsia="楷体_GB2312"/>
          <w:kern w:val="0"/>
          <w:sz w:val="32"/>
        </w:rPr>
        <w:t>（四）相关搜救力量的职责</w:t>
      </w:r>
    </w:p>
    <w:p w14:paraId="5689630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1.被指定的搜救力量应接受区海上搜救应急救援指挥中心的组织、协调，积极参加相关的救援活动、承担搜救任务。</w:t>
      </w:r>
    </w:p>
    <w:p w14:paraId="3D1EC2C0">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在发生事故后，区海上搜救应急救援指挥中心请求莱山区海洋渔业局派出专业搜救人员和船舶、设备等参加搜救行动。</w:t>
      </w:r>
    </w:p>
    <w:p w14:paraId="0BA2BCD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所有在海上活动的船舶、设施发现海上有人遭遇生命危险时，在不严重危及自身安全的情况下都有积极参与救助的义务，其主要职责是：</w:t>
      </w:r>
    </w:p>
    <w:p w14:paraId="52BFE42C">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（1）发现海上有船舶和人员遭遇危险时，立即向区海上搜救应急救援指挥中心办公室报告海难事故现场的情况；</w:t>
      </w:r>
    </w:p>
    <w:p w14:paraId="6490089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（2）在指挥中心统一组织协调下，参加海上搜救行动，并及时报告搜救情况和结果；</w:t>
      </w:r>
    </w:p>
    <w:p w14:paraId="35EA6FB7">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（3）在海上搜救行动中，服从现场指挥的 组织协调，努力完成搜救任务；</w:t>
      </w:r>
    </w:p>
    <w:p w14:paraId="14623AB1">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（4）及时向指挥中心办公室提供事故现场附近的船舶、设施的动态，协助搜救指挥中心保持与现场搜救力量之间的通信联络。</w:t>
      </w:r>
    </w:p>
    <w:p w14:paraId="7AA24F73">
      <w:pPr>
        <w:spacing w:line="560" w:lineRule="exact"/>
        <w:ind w:firstLine="640" w:firstLineChars="200"/>
        <w:rPr>
          <w:rFonts w:ascii="仿宋_GB2312" w:hAnsi="仿宋_GB2312" w:eastAsia="仿宋_GB2312"/>
          <w:sz w:val="32"/>
        </w:rPr>
      </w:pPr>
      <w:r>
        <w:rPr>
          <w:rFonts w:hint="eastAsia" w:ascii="黑体" w:hAnsi="黑体" w:eastAsia="黑体"/>
          <w:sz w:val="32"/>
        </w:rPr>
        <w:t>三、事故报告与现场保护</w:t>
      </w:r>
    </w:p>
    <w:p w14:paraId="7290B95E">
      <w:pPr>
        <w:spacing w:line="560" w:lineRule="exact"/>
        <w:ind w:firstLine="640" w:firstLineChars="200"/>
        <w:rPr>
          <w:rFonts w:ascii="楷体_GB2312" w:hAnsi="仿宋_GB2312" w:eastAsia="楷体_GB2312"/>
          <w:sz w:val="32"/>
        </w:rPr>
      </w:pPr>
      <w:r>
        <w:rPr>
          <w:rFonts w:hint="eastAsia" w:ascii="楷体_GB2312" w:hAnsi="仿宋_GB2312" w:eastAsia="楷体_GB2312"/>
          <w:sz w:val="32"/>
        </w:rPr>
        <w:t>（一）通讯联络</w:t>
      </w:r>
    </w:p>
    <w:p w14:paraId="2FEAF00C">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1.海上搜救应急救援指挥中心（区管委办公室）值班电话：6922001</w:t>
      </w:r>
    </w:p>
    <w:p w14:paraId="0839DE1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2.海上搜救应急救援指挥办公室（经济发展部）值班电话：6925358。</w:t>
      </w:r>
    </w:p>
    <w:p w14:paraId="087A0607">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3、区公安分局值班电话：6760110、6922110</w:t>
      </w:r>
    </w:p>
    <w:p w14:paraId="64C080B1">
      <w:pPr>
        <w:spacing w:line="560" w:lineRule="exact"/>
        <w:ind w:firstLine="640" w:firstLineChars="200"/>
        <w:rPr>
          <w:rFonts w:ascii="楷体_GB2312" w:hAnsi="仿宋_GB2312" w:eastAsia="楷体_GB2312"/>
          <w:sz w:val="32"/>
        </w:rPr>
      </w:pPr>
      <w:r>
        <w:rPr>
          <w:rFonts w:hint="eastAsia" w:ascii="楷体_GB2312" w:hAnsi="仿宋_GB2312" w:eastAsia="楷体_GB2312"/>
          <w:sz w:val="32"/>
        </w:rPr>
        <w:t>（二）事故报告</w:t>
      </w:r>
    </w:p>
    <w:p w14:paraId="5A12344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事故单位在事故发生后立即将事故情况报告区海上搜救应急救援指挥中心办公室（区经济发展部）。由区海上搜救应急救援指挥中心办公室负责立即报告区海上搜救应急救援指挥中心（区综合管理部），由区海上搜救应急救援指挥中心负责立即报告区海上搜救应急救援指挥部总指挥和各副总指挥，由指挥部总指挥决定是否启用应急救援预案。区海上搜救应急救援指挥部须按规定自接到报警后30分钟内将事故情况报烟台市海洋与渔业局渔政渔港监督管理科及烟台市应急管理局高新技术产业开发区分局。</w:t>
      </w:r>
    </w:p>
    <w:p w14:paraId="652BB2C8">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2．事故报告应包括以下内容：</w:t>
      </w:r>
    </w:p>
    <w:p w14:paraId="06C281BF">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（1）事故发生单位概况；</w:t>
      </w:r>
    </w:p>
    <w:p w14:paraId="71CD6842">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（2）事故发生的时间、经纬度以及事故现场情况；</w:t>
      </w:r>
    </w:p>
    <w:p w14:paraId="5E2F3758">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（3）事故的简要经过；</w:t>
      </w:r>
    </w:p>
    <w:p w14:paraId="57370CE2">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（4）事故已经造成或者可能造成的伤亡人数（包括下落不明的人数）和初步估计的直接经济损失；</w:t>
      </w:r>
    </w:p>
    <w:p w14:paraId="15421715">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（5）已经采取的措施；</w:t>
      </w:r>
    </w:p>
    <w:p w14:paraId="66D0768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（6）其他应当报告的情况。</w:t>
      </w:r>
    </w:p>
    <w:p w14:paraId="61CD32B6">
      <w:pPr>
        <w:spacing w:line="560" w:lineRule="exact"/>
        <w:ind w:firstLine="640" w:firstLineChars="200"/>
        <w:rPr>
          <w:rFonts w:ascii="楷体_GB2312" w:hAnsi="仿宋_GB2312" w:eastAsia="楷体_GB2312"/>
          <w:sz w:val="32"/>
        </w:rPr>
      </w:pPr>
      <w:r>
        <w:rPr>
          <w:rFonts w:hint="eastAsia" w:ascii="楷体_GB2312" w:hAnsi="仿宋_GB2312" w:eastAsia="楷体_GB2312"/>
          <w:sz w:val="32"/>
        </w:rPr>
        <w:t>（三）现场保护</w:t>
      </w:r>
    </w:p>
    <w:p w14:paraId="289EBD59">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事故单位必须严格保护事故现场；区公安分局须迅速调动警力赶赴事故现场，搞好现场保护，维护现场治安。</w:t>
      </w:r>
    </w:p>
    <w:p w14:paraId="23A70D0F">
      <w:pPr>
        <w:spacing w:line="560" w:lineRule="exact"/>
        <w:ind w:firstLine="640" w:firstLineChars="200"/>
        <w:rPr>
          <w:rFonts w:ascii="黑体" w:hAnsi="黑体" w:eastAsia="黑体"/>
          <w:sz w:val="32"/>
        </w:rPr>
      </w:pPr>
      <w:r>
        <w:rPr>
          <w:rFonts w:hint="eastAsia" w:ascii="黑体" w:hAnsi="黑体" w:eastAsia="黑体"/>
          <w:sz w:val="32"/>
        </w:rPr>
        <w:t>四、事故应急救援</w:t>
      </w:r>
    </w:p>
    <w:p w14:paraId="638CBC5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事故发生后，事故单位应首先启动本单位的事故应急救援预案进行抢救。区海上搜救应急救援指挥部根据事故报告情况确定是否启动本预案。确需启动本预案的，立即按本预案组建指挥中心赶赴现场，指挥应急救援工作。指挥中心下设的各应急救援小组组长单位应立即按照本预案的要求组成应急救援小组，迅速赶赴现场，开展应急救援工作。根据事故抢险救援的需要，指挥中心可以请求区管委调集社会各界力量的支援。</w:t>
      </w:r>
    </w:p>
    <w:p w14:paraId="1E91877C">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应根据救援需要，按照就近、高效的原则，指挥中心通知海上专业救助力量赶赴现场实施搜救行动。同时通知事发现场附近的过往船舶参与搜救；指定莱山区海洋渔业局作为现场指挥，负责统一协调指挥现场的搜救力量。</w:t>
      </w:r>
    </w:p>
    <w:p w14:paraId="6C910A16">
      <w:pPr>
        <w:spacing w:line="560" w:lineRule="exact"/>
        <w:ind w:firstLine="640" w:firstLineChars="200"/>
        <w:rPr>
          <w:rFonts w:ascii="黑体" w:eastAsia="黑体"/>
          <w:sz w:val="32"/>
        </w:rPr>
      </w:pPr>
      <w:r>
        <w:rPr>
          <w:rFonts w:hint="eastAsia" w:ascii="黑体" w:eastAsia="黑体"/>
          <w:sz w:val="32"/>
        </w:rPr>
        <w:t>五、善后处理</w:t>
      </w:r>
    </w:p>
    <w:p w14:paraId="47636B2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(一)经济发展部应做好救援后的善后处理工作，积极采取各种补救措施，最大限度地消除或减轻对环境和人员生命财产安全造成的危害。</w:t>
      </w:r>
    </w:p>
    <w:p w14:paraId="606F1921">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（二）对有突出贡献的救援单位和人员给予通报表彰，并建议主管单位给予表彰或奖励。</w:t>
      </w:r>
    </w:p>
    <w:p w14:paraId="5528605E">
      <w:pPr>
        <w:spacing w:line="560" w:lineRule="exact"/>
        <w:ind w:firstLine="640" w:firstLineChars="200"/>
        <w:rPr>
          <w:rFonts w:ascii="黑体" w:eastAsia="黑体"/>
          <w:sz w:val="32"/>
        </w:rPr>
      </w:pPr>
      <w:r>
        <w:rPr>
          <w:rFonts w:hint="eastAsia" w:ascii="黑体" w:eastAsia="黑体"/>
          <w:sz w:val="32"/>
        </w:rPr>
        <w:t>六、事故调查处理</w:t>
      </w:r>
    </w:p>
    <w:p w14:paraId="40BA791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(一)应急救援行动结束后，区经济发展部要按职责分工，负责进行事故调查，查明原因，判明责任，作出行政处罚决定，并提交报告。</w:t>
      </w:r>
    </w:p>
    <w:p w14:paraId="4E7DBDF2">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（二）经济发展部要提出防范措施和整改意见，并追究事故责任人的行政责任。</w:t>
      </w:r>
    </w:p>
    <w:p w14:paraId="4A755AFF">
      <w:pPr>
        <w:spacing w:line="560" w:lineRule="exact"/>
        <w:ind w:firstLine="640" w:firstLineChars="200"/>
        <w:rPr>
          <w:rFonts w:ascii="仿宋_GB2312" w:hAnsi="宋体" w:eastAsia="仿宋_GB2312" w:cs="宋体"/>
          <w:kern w:val="0"/>
          <w:sz w:val="32"/>
          <w:szCs w:val="32"/>
        </w:rPr>
      </w:pPr>
    </w:p>
    <w:p w14:paraId="534E6426">
      <w:pPr>
        <w:spacing w:line="560" w:lineRule="exact"/>
        <w:ind w:firstLine="640" w:firstLineChars="200"/>
        <w:jc w:val="left"/>
        <w:rPr>
          <w:rFonts w:ascii="仿宋_GB2312" w:hAnsi="宋体" w:eastAsia="仿宋_GB2312" w:cs="宋体"/>
          <w:kern w:val="0"/>
          <w:sz w:val="32"/>
          <w:szCs w:val="32"/>
        </w:rPr>
      </w:pPr>
    </w:p>
    <w:p w14:paraId="087F1BCF">
      <w:pPr>
        <w:spacing w:line="560" w:lineRule="exact"/>
        <w:rPr>
          <w:rFonts w:ascii="仿宋_GB2312" w:eastAsia="仿宋_GB2312"/>
          <w:sz w:val="32"/>
        </w:rPr>
      </w:pPr>
      <w:r>
        <w:rPr>
          <w:rFonts w:hint="eastAsia" w:ascii="仿宋_GB2312" w:eastAsia="仿宋_GB2312"/>
          <w:sz w:val="32"/>
        </w:rPr>
        <w:t>附件：烟台高新区海上搜救应急预案运行流程</w:t>
      </w:r>
    </w:p>
    <w:p w14:paraId="4515B3B5">
      <w:pPr>
        <w:rPr>
          <w:rFonts w:ascii="方正小标宋简体" w:hAnsi="宋体" w:eastAsia="方正小标宋简体"/>
          <w:sz w:val="44"/>
        </w:rPr>
      </w:pPr>
    </w:p>
    <w:p w14:paraId="276211A7">
      <w:pPr>
        <w:jc w:val="center"/>
        <w:rPr>
          <w:rFonts w:ascii="方正小标宋简体" w:hAnsi="宋体" w:eastAsia="方正小标宋简体"/>
          <w:sz w:val="44"/>
        </w:rPr>
      </w:pPr>
      <w:r>
        <w:rPr>
          <w:rFonts w:hint="eastAsia" w:ascii="方正小标宋简体" w:hAnsi="宋体" w:eastAsia="方正小标宋简体"/>
          <w:sz w:val="44"/>
        </w:rPr>
        <w:t>高新区海上搜救应急预案运行流程</w:t>
      </w:r>
    </w:p>
    <w:p w14:paraId="3538787D">
      <w:pPr>
        <w:jc w:val="center"/>
        <w:rPr>
          <w:szCs w:val="21"/>
        </w:rPr>
      </w:pPr>
      <w:r>
        <w:drawing>
          <wp:anchor distT="0" distB="0" distL="114300" distR="114300" simplePos="0" relativeHeight="251692032" behindDoc="0" locked="0" layoutInCell="1" allowOverlap="1">
            <wp:simplePos x="0" y="0"/>
            <wp:positionH relativeFrom="column">
              <wp:posOffset>-190500</wp:posOffset>
            </wp:positionH>
            <wp:positionV relativeFrom="paragraph">
              <wp:posOffset>301625</wp:posOffset>
            </wp:positionV>
            <wp:extent cx="6064885" cy="6421120"/>
            <wp:effectExtent l="0" t="0" r="635" b="10160"/>
            <wp:wrapSquare wrapText="bothSides"/>
            <wp:docPr id="4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图片 2"/>
                    <pic:cNvPicPr>
                      <a:picLocks noChangeAspect="1"/>
                    </pic:cNvPicPr>
                  </pic:nvPicPr>
                  <pic:blipFill>
                    <a:blip r:embed="rId15" cstate="print"/>
                    <a:stretch>
                      <a:fillRect/>
                    </a:stretch>
                  </pic:blipFill>
                  <pic:spPr>
                    <a:xfrm>
                      <a:off x="0" y="0"/>
                      <a:ext cx="6064885" cy="6421120"/>
                    </a:xfrm>
                    <a:prstGeom prst="rect">
                      <a:avLst/>
                    </a:prstGeom>
                    <a:noFill/>
                    <a:ln w="9525">
                      <a:noFill/>
                    </a:ln>
                  </pic:spPr>
                </pic:pic>
              </a:graphicData>
            </a:graphic>
          </wp:anchor>
        </w:drawing>
      </w:r>
    </w:p>
    <w:p w14:paraId="10787EB1">
      <w:pPr>
        <w:spacing w:beforeLines="100" w:afterLines="10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烟台高新区海上溢油事件专项应急预案</w:t>
      </w:r>
    </w:p>
    <w:p w14:paraId="2F8B2508">
      <w:pPr>
        <w:tabs>
          <w:tab w:val="left" w:pos="210"/>
        </w:tabs>
        <w:spacing w:line="560" w:lineRule="exact"/>
        <w:ind w:firstLine="640" w:firstLineChars="200"/>
        <w:rPr>
          <w:rFonts w:ascii="仿宋_GB2312" w:eastAsia="仿宋_GB2312"/>
          <w:sz w:val="32"/>
          <w:szCs w:val="32"/>
        </w:rPr>
      </w:pPr>
      <w:r>
        <w:rPr>
          <w:rFonts w:hint="eastAsia" w:ascii="仿宋_GB2312" w:eastAsia="仿宋_GB2312"/>
          <w:sz w:val="32"/>
          <w:szCs w:val="32"/>
        </w:rPr>
        <w:t>为切实加强我区海上溢油突发事件应急处置工作，确保在发生海上溢油突发事件时，能够为社会提供及时、迅速、高效的服务，减少因海上溢油突发事件造成的损失，保障人体健康，保护社会公共利益，根据有关法律法规，结合我区实际，制定本预案。</w:t>
      </w:r>
    </w:p>
    <w:p w14:paraId="1DBA5FEA">
      <w:pPr>
        <w:tabs>
          <w:tab w:val="left" w:pos="210"/>
        </w:tabs>
        <w:spacing w:line="560" w:lineRule="exact"/>
        <w:ind w:firstLine="640" w:firstLineChars="200"/>
        <w:rPr>
          <w:rFonts w:ascii="黑体" w:eastAsia="黑体"/>
          <w:sz w:val="32"/>
          <w:szCs w:val="32"/>
        </w:rPr>
      </w:pPr>
      <w:r>
        <w:rPr>
          <w:rFonts w:hint="eastAsia" w:ascii="黑体" w:eastAsia="黑体"/>
          <w:sz w:val="32"/>
          <w:szCs w:val="32"/>
        </w:rPr>
        <w:t>一、总则</w:t>
      </w:r>
    </w:p>
    <w:p w14:paraId="4FC29E68">
      <w:pPr>
        <w:tabs>
          <w:tab w:val="left" w:pos="210"/>
        </w:tabs>
        <w:spacing w:line="560" w:lineRule="exact"/>
        <w:ind w:firstLine="640" w:firstLineChars="200"/>
        <w:rPr>
          <w:rFonts w:ascii="楷体_GB2312" w:eastAsia="楷体_GB2312"/>
          <w:sz w:val="32"/>
          <w:szCs w:val="32"/>
        </w:rPr>
      </w:pPr>
      <w:r>
        <w:rPr>
          <w:rFonts w:hint="eastAsia" w:ascii="楷体_GB2312" w:eastAsia="楷体_GB2312"/>
          <w:sz w:val="32"/>
          <w:szCs w:val="32"/>
        </w:rPr>
        <w:t>（一）编制目的</w:t>
      </w:r>
    </w:p>
    <w:p w14:paraId="726671B6">
      <w:pPr>
        <w:tabs>
          <w:tab w:val="left" w:pos="210"/>
        </w:tabs>
        <w:spacing w:line="560" w:lineRule="exact"/>
        <w:ind w:firstLine="640" w:firstLineChars="200"/>
        <w:rPr>
          <w:rFonts w:ascii="仿宋_GB2312" w:eastAsia="仿宋_GB2312"/>
          <w:sz w:val="32"/>
          <w:szCs w:val="32"/>
        </w:rPr>
      </w:pPr>
      <w:r>
        <w:rPr>
          <w:rFonts w:hint="eastAsia" w:ascii="仿宋_GB2312" w:eastAsia="仿宋_GB2312"/>
          <w:sz w:val="32"/>
          <w:szCs w:val="32"/>
        </w:rPr>
        <w:t>建立健全海上溢油应急处置程序，完善应急处置机制，明确海上溢油的应急管理职责，科学应对海上溢油污染，有力有序有效实施海上溢油应急处置行动，最大程度减少海上溢油造成的环境和财产损失，保障公众健康、环境安全和社会稳定。</w:t>
      </w:r>
    </w:p>
    <w:p w14:paraId="6A7D76F0">
      <w:pPr>
        <w:tabs>
          <w:tab w:val="left" w:pos="210"/>
        </w:tabs>
        <w:spacing w:line="560" w:lineRule="exact"/>
        <w:ind w:firstLine="640" w:firstLineChars="200"/>
        <w:rPr>
          <w:rFonts w:ascii="楷体_GB2312" w:eastAsia="楷体_GB2312"/>
          <w:sz w:val="32"/>
          <w:szCs w:val="32"/>
        </w:rPr>
      </w:pPr>
      <w:r>
        <w:rPr>
          <w:rFonts w:hint="eastAsia" w:ascii="楷体_GB2312" w:eastAsia="楷体_GB2312"/>
          <w:sz w:val="32"/>
          <w:szCs w:val="32"/>
        </w:rPr>
        <w:t>（二）编制依据</w:t>
      </w:r>
    </w:p>
    <w:p w14:paraId="725B804D">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根据《中华人民共和国海洋环境保护法》、《中华人民共和国突发事件应对法》、《山东省海洋环境保护条例》等有关法律法规，结合我区实际，制定本预案。</w:t>
      </w:r>
    </w:p>
    <w:p w14:paraId="3524FA53">
      <w:pPr>
        <w:tabs>
          <w:tab w:val="left" w:pos="210"/>
        </w:tabs>
        <w:spacing w:line="560" w:lineRule="exact"/>
        <w:ind w:firstLine="640" w:firstLineChars="200"/>
        <w:rPr>
          <w:rFonts w:ascii="黑体" w:eastAsia="楷体_GB2312"/>
          <w:sz w:val="32"/>
          <w:szCs w:val="32"/>
        </w:rPr>
      </w:pPr>
      <w:r>
        <w:rPr>
          <w:rFonts w:hint="eastAsia" w:ascii="楷体_GB2312" w:eastAsia="楷体_GB2312"/>
          <w:sz w:val="32"/>
          <w:szCs w:val="32"/>
        </w:rPr>
        <w:t>（三）适用范围</w:t>
      </w:r>
    </w:p>
    <w:p w14:paraId="57B1A6DF">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本预案适用于处置烟台高新区管辖海域范围内发生的溢油、化学品泄漏事故及其它使海上溢油安全受到危害的事件。</w:t>
      </w:r>
    </w:p>
    <w:p w14:paraId="0560E65D">
      <w:pPr>
        <w:numPr>
          <w:ilvl w:val="0"/>
          <w:numId w:val="6"/>
        </w:numPr>
        <w:tabs>
          <w:tab w:val="left" w:pos="210"/>
        </w:tabs>
        <w:spacing w:line="560" w:lineRule="exact"/>
        <w:ind w:firstLine="640" w:firstLineChars="200"/>
        <w:rPr>
          <w:rFonts w:ascii="楷体_GB2312" w:eastAsia="楷体_GB2312"/>
          <w:sz w:val="32"/>
          <w:szCs w:val="32"/>
        </w:rPr>
      </w:pPr>
      <w:r>
        <w:rPr>
          <w:rFonts w:hint="eastAsia" w:ascii="楷体_GB2312" w:eastAsia="楷体_GB2312"/>
          <w:sz w:val="32"/>
          <w:szCs w:val="32"/>
        </w:rPr>
        <w:t>工作原则</w:t>
      </w:r>
    </w:p>
    <w:p w14:paraId="74C8BCBC">
      <w:pPr>
        <w:tabs>
          <w:tab w:val="left" w:pos="210"/>
        </w:tabs>
        <w:spacing w:line="560" w:lineRule="exact"/>
        <w:ind w:firstLine="640" w:firstLineChars="200"/>
        <w:rPr>
          <w:rFonts w:ascii="仿宋_GB2312" w:eastAsia="仿宋_GB2312"/>
          <w:sz w:val="32"/>
          <w:szCs w:val="32"/>
        </w:rPr>
      </w:pPr>
      <w:r>
        <w:rPr>
          <w:rFonts w:hint="eastAsia" w:ascii="仿宋_GB2312" w:eastAsia="仿宋_GB2312"/>
          <w:sz w:val="32"/>
          <w:szCs w:val="32"/>
        </w:rPr>
        <w:t>1、预防为主、防治结合的原则。强化宣传，提高社会公众对海上溢油突发事件的防范意识，把加强海上溢油的监测监视与防治措施有机结合起来。</w:t>
      </w:r>
    </w:p>
    <w:p w14:paraId="6F9862C9">
      <w:pPr>
        <w:tabs>
          <w:tab w:val="left" w:pos="210"/>
        </w:tabs>
        <w:spacing w:line="560" w:lineRule="exact"/>
        <w:ind w:firstLine="640" w:firstLineChars="200"/>
        <w:rPr>
          <w:rFonts w:ascii="仿宋_GB2312" w:eastAsia="仿宋_GB2312"/>
          <w:sz w:val="32"/>
          <w:szCs w:val="32"/>
        </w:rPr>
      </w:pPr>
      <w:r>
        <w:rPr>
          <w:rFonts w:hint="eastAsia" w:ascii="仿宋_GB2312" w:eastAsia="仿宋_GB2312"/>
          <w:sz w:val="32"/>
          <w:szCs w:val="32"/>
        </w:rPr>
        <w:t>2、属地负责、区域管理的原则。区管委对管辖海域内的海上溢油突发事件工作负总责，经济发展部及沿海各村参与。</w:t>
      </w:r>
    </w:p>
    <w:p w14:paraId="3CC144C1">
      <w:pPr>
        <w:tabs>
          <w:tab w:val="left" w:pos="210"/>
        </w:tabs>
        <w:spacing w:line="560" w:lineRule="exact"/>
        <w:ind w:firstLine="640" w:firstLineChars="200"/>
        <w:rPr>
          <w:rFonts w:ascii="仿宋_GB2312" w:eastAsia="仿宋_GB2312"/>
          <w:sz w:val="32"/>
          <w:szCs w:val="32"/>
        </w:rPr>
      </w:pPr>
      <w:r>
        <w:rPr>
          <w:rFonts w:hint="eastAsia" w:ascii="仿宋_GB2312" w:eastAsia="仿宋_GB2312"/>
          <w:sz w:val="32"/>
          <w:szCs w:val="32"/>
        </w:rPr>
        <w:t>3、快速反应、部门联动的原则。建立海上溢油突发事件预警快速反应机制，增强应急处理能力，保证发现、报告、监测、防治等环节紧密衔接，一旦发生海上溢油突发事件，快速做出反应。</w:t>
      </w:r>
    </w:p>
    <w:p w14:paraId="60077204">
      <w:pPr>
        <w:tabs>
          <w:tab w:val="left" w:pos="210"/>
        </w:tabs>
        <w:spacing w:line="560" w:lineRule="exact"/>
        <w:ind w:firstLine="640" w:firstLineChars="200"/>
        <w:rPr>
          <w:rFonts w:ascii="仿宋_GB2312" w:eastAsia="黑体"/>
          <w:sz w:val="32"/>
          <w:szCs w:val="32"/>
        </w:rPr>
      </w:pPr>
      <w:r>
        <w:rPr>
          <w:rFonts w:hint="eastAsia" w:ascii="黑体" w:eastAsia="黑体"/>
          <w:sz w:val="32"/>
          <w:szCs w:val="32"/>
        </w:rPr>
        <w:t>二、组织机构及职责</w:t>
      </w:r>
    </w:p>
    <w:p w14:paraId="60032857">
      <w:pPr>
        <w:tabs>
          <w:tab w:val="left" w:pos="210"/>
        </w:tabs>
        <w:spacing w:line="560" w:lineRule="exact"/>
        <w:ind w:firstLine="640" w:firstLineChars="200"/>
        <w:rPr>
          <w:rFonts w:ascii="楷体_GB2312" w:eastAsia="楷体_GB2312"/>
          <w:sz w:val="32"/>
          <w:szCs w:val="32"/>
        </w:rPr>
      </w:pPr>
      <w:r>
        <w:rPr>
          <w:rFonts w:hint="eastAsia" w:ascii="楷体_GB2312" w:eastAsia="楷体_GB2312"/>
          <w:sz w:val="32"/>
          <w:szCs w:val="32"/>
        </w:rPr>
        <w:t>（一）应急领导小组</w:t>
      </w:r>
    </w:p>
    <w:p w14:paraId="200BA484">
      <w:pPr>
        <w:tabs>
          <w:tab w:val="left" w:pos="210"/>
        </w:tabs>
        <w:spacing w:line="560" w:lineRule="exact"/>
        <w:ind w:firstLine="640" w:firstLineChars="200"/>
        <w:rPr>
          <w:rFonts w:ascii="仿宋_GB2312" w:eastAsia="仿宋_GB2312"/>
          <w:sz w:val="32"/>
          <w:szCs w:val="32"/>
        </w:rPr>
      </w:pPr>
      <w:r>
        <w:rPr>
          <w:rFonts w:hint="eastAsia" w:ascii="仿宋_GB2312" w:eastAsia="仿宋_GB2312"/>
          <w:sz w:val="32"/>
          <w:szCs w:val="32"/>
        </w:rPr>
        <w:t>成立高新区海上溢油突发事件应急领导小组（以下简称区应急领导小组），区管委分管副主任任组长，区经济发展部分管负责人任副组长，马山街道办事处、金山湾管理处、</w:t>
      </w:r>
      <w:r>
        <w:rPr>
          <w:rFonts w:hint="eastAsia" w:ascii="仿宋_GB2312" w:hAnsi="宋体" w:eastAsia="仿宋_GB2312" w:cs="宋体"/>
          <w:kern w:val="0"/>
          <w:sz w:val="32"/>
          <w:szCs w:val="32"/>
        </w:rPr>
        <w:t>区综合管理部、区财政金融部、区经济发展部、综合行政执法局、公安分局、</w:t>
      </w:r>
      <w:r>
        <w:rPr>
          <w:rFonts w:hint="eastAsia" w:ascii="仿宋_GB2312" w:eastAsia="仿宋_GB2312" w:cs="仿宋_GB2312"/>
          <w:kern w:val="0"/>
          <w:sz w:val="32"/>
          <w:szCs w:val="32"/>
        </w:rPr>
        <w:t>生态环境局高新区分局</w:t>
      </w:r>
      <w:r>
        <w:rPr>
          <w:rFonts w:hint="eastAsia" w:ascii="仿宋_GB2312" w:hAnsi="宋体" w:eastAsia="仿宋_GB2312" w:cs="宋体"/>
          <w:kern w:val="0"/>
          <w:sz w:val="32"/>
          <w:szCs w:val="32"/>
        </w:rPr>
        <w:t>、区卫生健康管理办公室</w:t>
      </w:r>
      <w:r>
        <w:rPr>
          <w:rFonts w:hint="eastAsia" w:ascii="仿宋_GB2312" w:eastAsia="仿宋_GB2312"/>
          <w:sz w:val="32"/>
          <w:szCs w:val="32"/>
        </w:rPr>
        <w:t>等部门和单位负责人为成员。</w:t>
      </w:r>
    </w:p>
    <w:p w14:paraId="57076692">
      <w:pPr>
        <w:tabs>
          <w:tab w:val="left" w:pos="210"/>
        </w:tabs>
        <w:spacing w:line="560" w:lineRule="exact"/>
        <w:ind w:firstLine="640" w:firstLineChars="200"/>
        <w:rPr>
          <w:rFonts w:ascii="仿宋_GB2312" w:eastAsia="仿宋_GB2312"/>
          <w:sz w:val="32"/>
          <w:szCs w:val="32"/>
        </w:rPr>
      </w:pPr>
      <w:r>
        <w:rPr>
          <w:rFonts w:hint="eastAsia" w:ascii="仿宋_GB2312" w:eastAsia="仿宋_GB2312"/>
          <w:sz w:val="32"/>
          <w:szCs w:val="32"/>
        </w:rPr>
        <w:t>主要职责：</w:t>
      </w:r>
    </w:p>
    <w:p w14:paraId="179E39B4">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研究确定海上溢油突发事件应急处理工作原则，组织制定应急预案；</w:t>
      </w:r>
    </w:p>
    <w:p w14:paraId="74BB2CEA">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根据管辖海域内海上溢油突发事件情况决定启动应急预案，并组织实施；</w:t>
      </w:r>
    </w:p>
    <w:p w14:paraId="6D82D5FA">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负责全区海域内重大海上溢油突发事件的统一领导、统一指挥，协调和调动社会力量和各种资源参与海上溢油突发事件的应急处理；</w:t>
      </w:r>
    </w:p>
    <w:p w14:paraId="1DD13E32">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4.</w:t>
      </w:r>
      <w:r>
        <w:rPr>
          <w:rFonts w:hint="eastAsia" w:ascii="仿宋_GB2312" w:eastAsia="仿宋_GB2312" w:cs="仿宋_GB2312"/>
          <w:kern w:val="0"/>
          <w:sz w:val="32"/>
          <w:szCs w:val="32"/>
        </w:rPr>
        <w:t>完成区管委交办的其他工作。</w:t>
      </w:r>
    </w:p>
    <w:p w14:paraId="720BA748">
      <w:pPr>
        <w:tabs>
          <w:tab w:val="left" w:pos="210"/>
        </w:tabs>
        <w:spacing w:line="560" w:lineRule="exact"/>
        <w:ind w:firstLine="640" w:firstLineChars="200"/>
        <w:rPr>
          <w:rFonts w:ascii="楷体_GB2312" w:eastAsia="楷体_GB2312"/>
          <w:sz w:val="32"/>
          <w:szCs w:val="32"/>
        </w:rPr>
      </w:pPr>
      <w:r>
        <w:rPr>
          <w:rFonts w:hint="eastAsia" w:ascii="楷体_GB2312" w:eastAsia="楷体_GB2312"/>
          <w:sz w:val="32"/>
          <w:szCs w:val="32"/>
        </w:rPr>
        <w:t>（二）应急领导小组办公室</w:t>
      </w:r>
    </w:p>
    <w:p w14:paraId="1D596C6D">
      <w:pPr>
        <w:tabs>
          <w:tab w:val="left" w:pos="210"/>
        </w:tabs>
        <w:spacing w:line="560" w:lineRule="exact"/>
        <w:ind w:firstLine="640" w:firstLineChars="200"/>
        <w:rPr>
          <w:rFonts w:ascii="仿宋_GB2312" w:hAnsi="宋体" w:eastAsia="仿宋_GB2312"/>
          <w:sz w:val="32"/>
          <w:szCs w:val="32"/>
        </w:rPr>
      </w:pPr>
      <w:r>
        <w:rPr>
          <w:rFonts w:hint="eastAsia" w:ascii="仿宋_GB2312" w:eastAsia="仿宋_GB2312"/>
          <w:sz w:val="32"/>
          <w:szCs w:val="32"/>
        </w:rPr>
        <w:t>区应急领导小组办公室设在区经济发展部，由区经济发展部分管负责人任主任。其主要</w:t>
      </w:r>
      <w:r>
        <w:rPr>
          <w:rFonts w:hint="eastAsia" w:ascii="仿宋_GB2312" w:hAnsi="宋体" w:eastAsia="仿宋_GB2312"/>
          <w:sz w:val="32"/>
          <w:szCs w:val="32"/>
        </w:rPr>
        <w:t>职责：</w:t>
      </w:r>
    </w:p>
    <w:p w14:paraId="7DC4381E">
      <w:pPr>
        <w:tabs>
          <w:tab w:val="left" w:pos="210"/>
        </w:tabs>
        <w:spacing w:line="560" w:lineRule="exact"/>
        <w:ind w:firstLine="640" w:firstLineChars="200"/>
        <w:rPr>
          <w:rFonts w:ascii="仿宋_GB2312" w:eastAsia="仿宋_GB2312"/>
          <w:sz w:val="32"/>
          <w:szCs w:val="32"/>
        </w:rPr>
      </w:pPr>
      <w:r>
        <w:rPr>
          <w:rFonts w:hint="eastAsia" w:ascii="仿宋_GB2312" w:eastAsia="仿宋_GB2312"/>
          <w:sz w:val="32"/>
          <w:szCs w:val="32"/>
        </w:rPr>
        <w:t>（1）贯彻落实应急指挥中心的决定，负责应急指挥中心的日常工作；</w:t>
      </w:r>
    </w:p>
    <w:p w14:paraId="76A707C7">
      <w:pPr>
        <w:pStyle w:val="11"/>
        <w:widowControl w:val="0"/>
        <w:shd w:val="clear" w:color="auto" w:fill="FFFFFF"/>
        <w:spacing w:before="0" w:beforeAutospacing="0" w:after="0" w:afterAutospacing="0" w:line="56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（2）接收海上溢油信息报告，按照突发事件信息报告有关规定做好海上溢油信息报告，并及时通报相关部门；</w:t>
      </w:r>
    </w:p>
    <w:p w14:paraId="0DCAD3FD">
      <w:pPr>
        <w:pStyle w:val="11"/>
        <w:widowControl w:val="0"/>
        <w:shd w:val="clear" w:color="auto" w:fill="FFFFFF"/>
        <w:spacing w:before="0" w:beforeAutospacing="0" w:after="0" w:afterAutospacing="0" w:line="56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（3）组织对海上溢油信息进行分析研判，报请应急指挥中心启动本预案；</w:t>
      </w:r>
    </w:p>
    <w:p w14:paraId="1F08AFD4">
      <w:pPr>
        <w:pStyle w:val="11"/>
        <w:widowControl w:val="0"/>
        <w:shd w:val="clear" w:color="auto" w:fill="FFFFFF"/>
        <w:spacing w:before="0" w:beforeAutospacing="0" w:after="0" w:afterAutospacing="0" w:line="56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（4）组织拟订、修订海上溢油事件应急处置预案；</w:t>
      </w:r>
    </w:p>
    <w:p w14:paraId="2B3A93E2">
      <w:pPr>
        <w:pStyle w:val="11"/>
        <w:widowControl w:val="0"/>
        <w:shd w:val="clear" w:color="auto" w:fill="FFFFFF"/>
        <w:spacing w:before="0" w:beforeAutospacing="0" w:after="0" w:afterAutospacing="0" w:line="56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（5）负责专家咨询委员会的组建和日常管理；</w:t>
      </w:r>
    </w:p>
    <w:p w14:paraId="1FE7494C">
      <w:pPr>
        <w:pStyle w:val="11"/>
        <w:widowControl w:val="0"/>
        <w:shd w:val="clear" w:color="auto" w:fill="FFFFFF"/>
        <w:spacing w:before="0" w:beforeAutospacing="0" w:after="0" w:afterAutospacing="0" w:line="56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（6）负责与应急指挥中心成员单位的日常联络；</w:t>
      </w:r>
    </w:p>
    <w:p w14:paraId="73934F59">
      <w:pPr>
        <w:pStyle w:val="11"/>
        <w:widowControl w:val="0"/>
        <w:shd w:val="clear" w:color="auto" w:fill="FFFFFF"/>
        <w:spacing w:before="0" w:beforeAutospacing="0" w:after="0" w:afterAutospacing="0" w:line="56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（7）承办市应急指挥中心交办的其他工作。</w:t>
      </w:r>
    </w:p>
    <w:p w14:paraId="21BC6B51">
      <w:pPr>
        <w:pStyle w:val="5"/>
        <w:tabs>
          <w:tab w:val="left" w:pos="210"/>
        </w:tabs>
        <w:spacing w:line="560" w:lineRule="exact"/>
        <w:rPr>
          <w:rFonts w:ascii="楷体_GB2312" w:eastAsia="楷体_GB2312"/>
          <w:szCs w:val="32"/>
        </w:rPr>
      </w:pPr>
      <w:r>
        <w:rPr>
          <w:rFonts w:hint="eastAsia" w:ascii="楷体_GB2312" w:eastAsia="楷体_GB2312"/>
          <w:szCs w:val="32"/>
        </w:rPr>
        <w:t>（三）成员单位及职责</w:t>
      </w:r>
    </w:p>
    <w:p w14:paraId="31295BB6">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区经济发展部。组织制定海上溢油突发事件控制规划，组织相关海上溢油突发事件预案的实施；做好社会捐助经费和物资的管理使用工作及救济物资发放、污染区域人民群众的生活救助工作。</w:t>
      </w:r>
    </w:p>
    <w:p w14:paraId="199D3A28">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区财政金融部。提供必要的经费支持，确保海上溢油突发事件处置装备、器材等物资所需的经费。</w:t>
      </w:r>
    </w:p>
    <w:p w14:paraId="3B9C2E8D">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区公安分局、区综合行政执法局。负责密切注视事件动态，依法、及时、妥善地处置与人民生命财产安全、社会稳定有关的突发事件，查处打击违法犯罪活动；协助海洋与渔业部门做好污染调查，落实各项强制隔离措施。</w:t>
      </w:r>
    </w:p>
    <w:p w14:paraId="3C9A5396">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4</w:t>
      </w:r>
      <w:r>
        <w:rPr>
          <w:rFonts w:ascii="仿宋_GB2312" w:eastAsia="仿宋_GB2312" w:cs="仿宋_GB2312"/>
          <w:kern w:val="0"/>
          <w:sz w:val="32"/>
          <w:szCs w:val="32"/>
        </w:rPr>
        <w:t>.</w:t>
      </w:r>
      <w:r>
        <w:rPr>
          <w:rFonts w:hint="eastAsia" w:ascii="仿宋_GB2312" w:eastAsia="仿宋_GB2312" w:cs="仿宋_GB2312"/>
          <w:kern w:val="0"/>
          <w:sz w:val="32"/>
          <w:szCs w:val="32"/>
        </w:rPr>
        <w:t>生态环境局高新区分局。责陆源排污的监督管理，配合海洋与渔业部门调查处理因陆源排污造成的海上溢油污染事故。</w:t>
      </w:r>
    </w:p>
    <w:p w14:paraId="60192E7F">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5</w:t>
      </w:r>
      <w:r>
        <w:rPr>
          <w:rFonts w:ascii="仿宋_GB2312" w:eastAsia="仿宋_GB2312" w:cs="仿宋_GB2312"/>
          <w:kern w:val="0"/>
          <w:sz w:val="32"/>
          <w:szCs w:val="32"/>
        </w:rPr>
        <w:t>.</w:t>
      </w:r>
      <w:r>
        <w:rPr>
          <w:rFonts w:hint="eastAsia" w:ascii="仿宋_GB2312" w:eastAsia="仿宋_GB2312" w:cs="仿宋_GB2312"/>
          <w:kern w:val="0"/>
          <w:sz w:val="32"/>
          <w:szCs w:val="32"/>
        </w:rPr>
        <w:t>区综合管理部。负责组织新闻媒体广泛开展环境污染防控科普宣传，加强突发事件应急处置的宣传报道；坚持正确的舆论导向，加强对海上溢油突发事件新闻报道的规范管理，营造有利于处置工作深入开展的良好舆论氛围。</w:t>
      </w:r>
    </w:p>
    <w:p w14:paraId="673BD857">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6.区卫生健康管理办公室。负责做好有关伤员的救治，受污染区域人员疾病的预防和治疗工作。</w:t>
      </w:r>
    </w:p>
    <w:p w14:paraId="5B37B2F3">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7</w:t>
      </w:r>
      <w:r>
        <w:rPr>
          <w:rFonts w:ascii="仿宋_GB2312" w:eastAsia="仿宋_GB2312" w:cs="仿宋_GB2312"/>
          <w:kern w:val="0"/>
          <w:sz w:val="32"/>
          <w:szCs w:val="32"/>
        </w:rPr>
        <w:t>.</w:t>
      </w:r>
      <w:r>
        <w:rPr>
          <w:rFonts w:hint="eastAsia" w:ascii="仿宋_GB2312" w:eastAsia="仿宋_GB2312" w:cs="仿宋_GB2312"/>
          <w:kern w:val="0"/>
          <w:sz w:val="32"/>
          <w:szCs w:val="32"/>
        </w:rPr>
        <w:t>区科技创新部。根据海上溢油突发事件需要，及时组织科技力量协作攻关，支持突发事件防控工作的科学研究。</w:t>
      </w:r>
    </w:p>
    <w:p w14:paraId="479C525C">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8.区马山街道办事处、金山湾管理处。要根据海上溢油突发事件应急处理的需要，协助相关部门做好突发事件应急处理工作，紧急物资的进口、接收或分配以及区应急指挥部交办的其他工作等。</w:t>
      </w:r>
    </w:p>
    <w:p w14:paraId="24503DC9">
      <w:pPr>
        <w:tabs>
          <w:tab w:val="left" w:pos="210"/>
        </w:tabs>
        <w:spacing w:line="560" w:lineRule="exact"/>
        <w:ind w:firstLine="640" w:firstLineChars="200"/>
        <w:rPr>
          <w:rFonts w:ascii="黑体" w:eastAsia="黑体"/>
          <w:sz w:val="32"/>
          <w:szCs w:val="32"/>
        </w:rPr>
      </w:pPr>
      <w:r>
        <w:rPr>
          <w:rFonts w:hint="eastAsia" w:ascii="黑体" w:eastAsia="黑体"/>
          <w:sz w:val="32"/>
          <w:szCs w:val="32"/>
        </w:rPr>
        <w:t>三、</w:t>
      </w:r>
      <w:bookmarkStart w:id="206" w:name="_Toc434914536"/>
      <w:r>
        <w:rPr>
          <w:rFonts w:hint="eastAsia" w:ascii="黑体" w:eastAsia="黑体"/>
          <w:sz w:val="32"/>
          <w:szCs w:val="32"/>
        </w:rPr>
        <w:t>预测、预警及报告</w:t>
      </w:r>
      <w:bookmarkEnd w:id="206"/>
    </w:p>
    <w:p w14:paraId="1B094247">
      <w:pPr>
        <w:pStyle w:val="5"/>
        <w:tabs>
          <w:tab w:val="left" w:pos="210"/>
        </w:tabs>
        <w:spacing w:line="560" w:lineRule="exact"/>
        <w:rPr>
          <w:rFonts w:ascii="楷体_GB2312" w:eastAsia="楷体_GB2312"/>
          <w:szCs w:val="32"/>
        </w:rPr>
      </w:pPr>
      <w:r>
        <w:rPr>
          <w:rFonts w:hint="eastAsia" w:ascii="楷体_GB2312" w:eastAsia="楷体_GB2312"/>
          <w:szCs w:val="32"/>
        </w:rPr>
        <w:t>（一）预测预警</w:t>
      </w:r>
    </w:p>
    <w:p w14:paraId="64437858">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区经济发展部要建立完善海上溢油突发事件监测与预警系统，设立海上溢油监测点，对可能发生海上溢油突发事件的重点区域进行监督监测，及时发现潜在的隐患。</w:t>
      </w:r>
    </w:p>
    <w:p w14:paraId="27FB0CC5">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预警级别及启动。</w:t>
      </w:r>
      <w:r>
        <w:rPr>
          <w:rFonts w:ascii="仿宋_GB2312" w:eastAsia="仿宋_GB2312" w:cs="仿宋_GB2312"/>
          <w:kern w:val="0"/>
          <w:sz w:val="32"/>
          <w:szCs w:val="32"/>
        </w:rPr>
        <w:t>根据《防治船舶污染海洋环境管理条例》等有关规定，按照溢油量或溢油事件导致或可能导致的直接经济损失、人员伤亡等情况，海上溢油应急事件由低到高分为一般海上溢油事件(Ⅳ级)、较大海上溢油事件(Ⅲ级)、重大海上溢油事件(Ⅱ级)和特别重大海上溢油事件(Ⅰ级)4级。</w:t>
      </w:r>
    </w:p>
    <w:p w14:paraId="55BBF7B0">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一般海上溢油事件(Ⅳ级)</w:t>
      </w:r>
      <w:r>
        <w:rPr>
          <w:rFonts w:hint="eastAsia" w:ascii="仿宋_GB2312" w:eastAsia="仿宋_GB2312" w:cs="仿宋_GB2312"/>
          <w:kern w:val="0"/>
          <w:sz w:val="32"/>
          <w:szCs w:val="32"/>
        </w:rPr>
        <w:t>，启动蓝色预警</w:t>
      </w:r>
      <w:r>
        <w:rPr>
          <w:rFonts w:ascii="仿宋_GB2312" w:eastAsia="仿宋_GB2312" w:cs="仿宋_GB2312"/>
          <w:kern w:val="0"/>
          <w:sz w:val="32"/>
          <w:szCs w:val="32"/>
        </w:rPr>
        <w:t>：溢油量不足100吨;造成直接经济损失不足5000万元人民币;造成3人以下死亡;因海上溢油污染造成跨县级行政区域影响。</w:t>
      </w:r>
    </w:p>
    <w:p w14:paraId="0D6734DF">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较大海上溢油事件(Ⅲ级)</w:t>
      </w:r>
      <w:r>
        <w:rPr>
          <w:rFonts w:hint="eastAsia" w:ascii="仿宋_GB2312" w:eastAsia="仿宋_GB2312" w:cs="仿宋_GB2312"/>
          <w:kern w:val="0"/>
          <w:sz w:val="32"/>
          <w:szCs w:val="32"/>
        </w:rPr>
        <w:t>，启动黄色预警</w:t>
      </w:r>
      <w:r>
        <w:rPr>
          <w:rFonts w:ascii="仿宋_GB2312" w:eastAsia="仿宋_GB2312" w:cs="仿宋_GB2312"/>
          <w:kern w:val="0"/>
          <w:sz w:val="32"/>
          <w:szCs w:val="32"/>
        </w:rPr>
        <w:t>：溢油量100吨以上不足500吨;造成直接经济损失5000万元人民币以上不足1亿元人民币;造成3人以上、10人以下死亡，或50人以下中毒(重伤);因海上溢油污染造成跨地级行政区域影响，使当地经济社会活动受到影响。</w:t>
      </w:r>
    </w:p>
    <w:p w14:paraId="33CEBD98">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重大海上溢油事件(Ⅱ级)</w:t>
      </w:r>
      <w:r>
        <w:rPr>
          <w:rFonts w:hint="eastAsia" w:ascii="仿宋_GB2312" w:eastAsia="仿宋_GB2312" w:cs="仿宋_GB2312"/>
          <w:kern w:val="0"/>
          <w:sz w:val="32"/>
          <w:szCs w:val="32"/>
        </w:rPr>
        <w:t>，启动橙色预警</w:t>
      </w:r>
      <w:r>
        <w:rPr>
          <w:rFonts w:ascii="仿宋_GB2312" w:eastAsia="仿宋_GB2312" w:cs="仿宋_GB2312"/>
          <w:kern w:val="0"/>
          <w:sz w:val="32"/>
          <w:szCs w:val="32"/>
        </w:rPr>
        <w:t>：溢油量500吨以上不足1000吨;造成直接经济损失1亿元人民币以上不足2亿元人民币;造成10人以上、30人以下死亡，或50人以上、100人以下中毒(重伤);疏散转移群众1万人以上、5万人以下;因海上溢油污染造成跨省级行政区域影响，使当地经济社会活动受到较大影响;造成县级以上城镇水源地取水中断。</w:t>
      </w:r>
    </w:p>
    <w:p w14:paraId="1092AFE0">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特别重大海上溢油事件(Ⅰ级)</w:t>
      </w:r>
      <w:r>
        <w:rPr>
          <w:rFonts w:hint="eastAsia" w:ascii="仿宋_GB2312" w:eastAsia="仿宋_GB2312" w:cs="仿宋_GB2312"/>
          <w:kern w:val="0"/>
          <w:sz w:val="32"/>
          <w:szCs w:val="32"/>
        </w:rPr>
        <w:t>，启动红色预警</w:t>
      </w:r>
      <w:r>
        <w:rPr>
          <w:rFonts w:ascii="仿宋_GB2312" w:eastAsia="仿宋_GB2312" w:cs="仿宋_GB2312"/>
          <w:kern w:val="0"/>
          <w:sz w:val="32"/>
          <w:szCs w:val="32"/>
        </w:rPr>
        <w:t>：溢油量1000吨以上;造成直接经济损失2亿元人民币以上;造成30人以上死亡，或100人以上中毒(重伤);需疏散转移群众5万人以上;因海上溢油污染造成跨国界影响;造成主要水源地取水中断。</w:t>
      </w:r>
    </w:p>
    <w:p w14:paraId="7B908D27">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预警支持系统。建立海上溢油安全预警系统和海上溢油应急资料库，开发研制环境应急管理系统软件。建立报警服务系统及相关技术支持平台、信息反馈与确认等体系。</w:t>
      </w:r>
    </w:p>
    <w:p w14:paraId="674F9735">
      <w:pPr>
        <w:pStyle w:val="5"/>
        <w:tabs>
          <w:tab w:val="left" w:pos="210"/>
        </w:tabs>
        <w:spacing w:line="560" w:lineRule="exact"/>
        <w:rPr>
          <w:rFonts w:ascii="楷体_GB2312" w:eastAsia="楷体_GB2312"/>
          <w:szCs w:val="32"/>
        </w:rPr>
      </w:pPr>
      <w:r>
        <w:rPr>
          <w:rFonts w:hint="eastAsia" w:ascii="楷体_GB2312" w:eastAsia="楷体_GB2312"/>
          <w:szCs w:val="32"/>
        </w:rPr>
        <w:t>（二）报告</w:t>
      </w:r>
    </w:p>
    <w:p w14:paraId="23395CF6">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报告单位和报告人</w:t>
      </w:r>
    </w:p>
    <w:p w14:paraId="63B2EDFC">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责任报告单位：</w:t>
      </w:r>
    </w:p>
    <w:p w14:paraId="4F124587">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1</w:t>
      </w:r>
      <w:r>
        <w:rPr>
          <w:rFonts w:hint="eastAsia" w:ascii="仿宋_GB2312" w:eastAsia="仿宋_GB2312" w:cs="仿宋_GB2312"/>
          <w:kern w:val="0"/>
          <w:sz w:val="32"/>
          <w:szCs w:val="32"/>
        </w:rPr>
        <w:t>）高新区管委；</w:t>
      </w:r>
    </w:p>
    <w:p w14:paraId="30EF673B">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2</w:t>
      </w:r>
      <w:r>
        <w:rPr>
          <w:rFonts w:hint="eastAsia" w:ascii="仿宋_GB2312" w:eastAsia="仿宋_GB2312" w:cs="仿宋_GB2312"/>
          <w:kern w:val="0"/>
          <w:sz w:val="32"/>
          <w:szCs w:val="32"/>
        </w:rPr>
        <w:t>）市海洋发展和渔业局、市海洋环境监测中心；</w:t>
      </w:r>
    </w:p>
    <w:p w14:paraId="16E747E8">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3</w:t>
      </w:r>
      <w:r>
        <w:rPr>
          <w:rFonts w:hint="eastAsia" w:ascii="仿宋_GB2312" w:eastAsia="仿宋_GB2312" w:cs="仿宋_GB2312"/>
          <w:kern w:val="0"/>
          <w:sz w:val="32"/>
          <w:szCs w:val="32"/>
        </w:rPr>
        <w:t>）市环境保护局、市环境监察及环境监测机构；</w:t>
      </w:r>
    </w:p>
    <w:p w14:paraId="3484F10C">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4</w:t>
      </w:r>
      <w:r>
        <w:rPr>
          <w:rFonts w:hint="eastAsia" w:ascii="仿宋_GB2312" w:eastAsia="仿宋_GB2312" w:cs="仿宋_GB2312"/>
          <w:kern w:val="0"/>
          <w:sz w:val="32"/>
          <w:szCs w:val="32"/>
        </w:rPr>
        <w:t>）海事部门、海事监察机构；</w:t>
      </w:r>
    </w:p>
    <w:p w14:paraId="71D30837">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5</w:t>
      </w:r>
      <w:r>
        <w:rPr>
          <w:rFonts w:hint="eastAsia" w:ascii="仿宋_GB2312" w:eastAsia="仿宋_GB2312" w:cs="仿宋_GB2312"/>
          <w:kern w:val="0"/>
          <w:sz w:val="32"/>
          <w:szCs w:val="32"/>
        </w:rPr>
        <w:t>）海上溢油突发事件发生单位及其主管部门；</w:t>
      </w:r>
    </w:p>
    <w:p w14:paraId="2934F53B">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6</w:t>
      </w:r>
      <w:r>
        <w:rPr>
          <w:rFonts w:hint="eastAsia" w:ascii="仿宋_GB2312" w:eastAsia="仿宋_GB2312" w:cs="仿宋_GB2312"/>
          <w:kern w:val="0"/>
          <w:sz w:val="32"/>
          <w:szCs w:val="32"/>
        </w:rPr>
        <w:t>）海上溢油突发事件有关单位。</w:t>
      </w:r>
    </w:p>
    <w:p w14:paraId="4BABA6C7">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责任报告人：</w:t>
      </w:r>
    </w:p>
    <w:p w14:paraId="5E77B366">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1</w:t>
      </w:r>
      <w:r>
        <w:rPr>
          <w:rFonts w:hint="eastAsia" w:ascii="仿宋_GB2312" w:eastAsia="仿宋_GB2312" w:cs="仿宋_GB2312"/>
          <w:kern w:val="0"/>
          <w:sz w:val="32"/>
          <w:szCs w:val="32"/>
        </w:rPr>
        <w:t>）执行公务的海洋环保专业人员；</w:t>
      </w:r>
    </w:p>
    <w:p w14:paraId="07D30F7A">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2</w:t>
      </w:r>
      <w:r>
        <w:rPr>
          <w:rFonts w:hint="eastAsia" w:ascii="仿宋_GB2312" w:eastAsia="仿宋_GB2312" w:cs="仿宋_GB2312"/>
          <w:kern w:val="0"/>
          <w:sz w:val="32"/>
          <w:szCs w:val="32"/>
        </w:rPr>
        <w:t>）有关单位的工作人员。</w:t>
      </w:r>
    </w:p>
    <w:p w14:paraId="6C919CCC">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报告时限和程序</w:t>
      </w:r>
    </w:p>
    <w:p w14:paraId="35BC79FE">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1</w:t>
      </w:r>
      <w:r>
        <w:rPr>
          <w:rFonts w:hint="eastAsia" w:ascii="仿宋_GB2312" w:eastAsia="仿宋_GB2312" w:cs="仿宋_GB2312"/>
          <w:kern w:val="0"/>
          <w:sz w:val="32"/>
          <w:szCs w:val="32"/>
        </w:rPr>
        <w:t>）海上溢油突发事件责任报告单位及人员，发现或获知海上溢油突发事件，要在</w:t>
      </w:r>
      <w:r>
        <w:rPr>
          <w:rFonts w:ascii="仿宋_GB2312" w:eastAsia="仿宋_GB2312" w:cs="仿宋_GB2312"/>
          <w:kern w:val="0"/>
          <w:sz w:val="32"/>
          <w:szCs w:val="32"/>
        </w:rPr>
        <w:t>2</w:t>
      </w:r>
      <w:r>
        <w:rPr>
          <w:rFonts w:hint="eastAsia" w:ascii="仿宋_GB2312" w:eastAsia="仿宋_GB2312" w:cs="仿宋_GB2312"/>
          <w:kern w:val="0"/>
          <w:sz w:val="32"/>
          <w:szCs w:val="32"/>
        </w:rPr>
        <w:t>小时内向区经济发展部报告；</w:t>
      </w:r>
    </w:p>
    <w:p w14:paraId="3773CA61">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2</w:t>
      </w:r>
      <w:r>
        <w:rPr>
          <w:rFonts w:hint="eastAsia" w:ascii="仿宋_GB2312" w:eastAsia="仿宋_GB2312" w:cs="仿宋_GB2312"/>
          <w:kern w:val="0"/>
          <w:sz w:val="32"/>
          <w:szCs w:val="32"/>
        </w:rPr>
        <w:t>）接到海上溢油突发事件报告的区经济发展部，要在30分钟内向区管委报告，同时向市海洋发展和渔业局报告，并立即组织进行现场调查和确认；</w:t>
      </w:r>
    </w:p>
    <w:p w14:paraId="3D9B69D9">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3</w:t>
      </w:r>
      <w:r>
        <w:rPr>
          <w:rFonts w:hint="eastAsia" w:ascii="仿宋_GB2312" w:eastAsia="仿宋_GB2312" w:cs="仿宋_GB2312"/>
          <w:kern w:val="0"/>
          <w:sz w:val="32"/>
          <w:szCs w:val="32"/>
        </w:rPr>
        <w:t>）区管委要在接到报告</w:t>
      </w:r>
      <w:r>
        <w:rPr>
          <w:rFonts w:ascii="仿宋_GB2312" w:eastAsia="仿宋_GB2312" w:cs="仿宋_GB2312"/>
          <w:kern w:val="0"/>
          <w:sz w:val="32"/>
          <w:szCs w:val="32"/>
        </w:rPr>
        <w:t>2</w:t>
      </w:r>
      <w:r>
        <w:rPr>
          <w:rFonts w:hint="eastAsia" w:ascii="仿宋_GB2312" w:eastAsia="仿宋_GB2312" w:cs="仿宋_GB2312"/>
          <w:kern w:val="0"/>
          <w:sz w:val="32"/>
          <w:szCs w:val="32"/>
        </w:rPr>
        <w:t>小时内向烟台市人民政府报告；</w:t>
      </w:r>
    </w:p>
    <w:p w14:paraId="7B97E4DD">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4</w:t>
      </w:r>
      <w:r>
        <w:rPr>
          <w:rFonts w:hint="eastAsia" w:ascii="仿宋_GB2312" w:eastAsia="仿宋_GB2312" w:cs="仿宋_GB2312"/>
          <w:kern w:val="0"/>
          <w:sz w:val="32"/>
          <w:szCs w:val="32"/>
        </w:rPr>
        <w:t>）根据调查和确认结果，随时报告事件势态进展情况。</w:t>
      </w:r>
    </w:p>
    <w:p w14:paraId="34E1AF39">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报告内容及形式</w:t>
      </w:r>
    </w:p>
    <w:p w14:paraId="70761521">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海上溢油突发事件报告分为速报、确报和结果报。</w:t>
      </w:r>
    </w:p>
    <w:p w14:paraId="28EAC443">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1</w:t>
      </w:r>
      <w:r>
        <w:rPr>
          <w:rFonts w:hint="eastAsia" w:ascii="仿宋_GB2312" w:eastAsia="仿宋_GB2312" w:cs="仿宋_GB2312"/>
          <w:kern w:val="0"/>
          <w:sz w:val="32"/>
          <w:szCs w:val="32"/>
        </w:rPr>
        <w:t>）速报。可用电话或当面报告，速报内容主要包括</w:t>
      </w:r>
      <w:r>
        <w:rPr>
          <w:rFonts w:ascii="仿宋_GB2312" w:eastAsia="仿宋_GB2312" w:cs="仿宋_GB2312"/>
          <w:kern w:val="0"/>
          <w:sz w:val="32"/>
          <w:szCs w:val="32"/>
        </w:rPr>
        <w:t>:</w:t>
      </w:r>
      <w:r>
        <w:rPr>
          <w:rFonts w:hint="eastAsia" w:ascii="仿宋_GB2312" w:eastAsia="仿宋_GB2312" w:cs="仿宋_GB2312"/>
          <w:kern w:val="0"/>
          <w:sz w:val="32"/>
          <w:szCs w:val="32"/>
        </w:rPr>
        <w:t>海上溢油突发事件的类型、发生时间、地点、污染源、主要污染物质、经济损失、人员受害情况、捕杀与砍伐国家重点保护的水生野生动植物的名称和数量、自然保护区受害面积及程度、事件潜在的危害程度、转化方式趋向等初步情况。</w:t>
      </w:r>
    </w:p>
    <w:p w14:paraId="60D8F0BB">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2</w:t>
      </w:r>
      <w:r>
        <w:rPr>
          <w:rFonts w:hint="eastAsia" w:ascii="仿宋_GB2312" w:eastAsia="仿宋_GB2312" w:cs="仿宋_GB2312"/>
          <w:kern w:val="0"/>
          <w:sz w:val="32"/>
          <w:szCs w:val="32"/>
        </w:rPr>
        <w:t>）确报。可通过电话或书面报告，是指在速报的基础上报告有关确切数据、事件发生的原因、过程及采取的应急措施、处置效果、目前状态等情况。</w:t>
      </w:r>
    </w:p>
    <w:p w14:paraId="36A1E65D">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3</w:t>
      </w:r>
      <w:r>
        <w:rPr>
          <w:rFonts w:hint="eastAsia" w:ascii="仿宋_GB2312" w:eastAsia="仿宋_GB2312" w:cs="仿宋_GB2312"/>
          <w:kern w:val="0"/>
          <w:sz w:val="32"/>
          <w:szCs w:val="32"/>
        </w:rPr>
        <w:t>）结果报。结果报告采用书面报告，是指在确报的基础上，报告处理事件的措施、过程和结果，事件潜在或间接的危害、社会影响、处理后的遗留问题，有关部门的工作，出具危害与损失证明文件等详细情况。报告采用适当方式，避免在当地群众中造成不良影响。</w:t>
      </w:r>
    </w:p>
    <w:p w14:paraId="00F17AF5">
      <w:pPr>
        <w:pStyle w:val="5"/>
        <w:tabs>
          <w:tab w:val="left" w:pos="210"/>
        </w:tabs>
        <w:spacing w:line="560" w:lineRule="exact"/>
        <w:rPr>
          <w:rFonts w:ascii="楷体_GB2312" w:eastAsia="楷体_GB2312"/>
          <w:szCs w:val="32"/>
        </w:rPr>
      </w:pPr>
      <w:r>
        <w:rPr>
          <w:rFonts w:hint="eastAsia" w:ascii="楷体_GB2312" w:eastAsia="楷体_GB2312"/>
          <w:szCs w:val="32"/>
        </w:rPr>
        <w:t>（三）评估与确认</w:t>
      </w:r>
    </w:p>
    <w:p w14:paraId="57418A79">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组建由海洋环保管理和海上溢油监测专业人员、海上溢油评价专家、危险化学品专家、海上溢油评估专家等组成的海上溢油突发事件评估咨询专家组。根据海上溢油突发事件性质、类别、危害程度、涉及范围，开展事件快速评估与决策咨询。</w:t>
      </w:r>
    </w:p>
    <w:p w14:paraId="1001EDF4">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评估</w:t>
      </w:r>
    </w:p>
    <w:p w14:paraId="10D37C79">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1</w:t>
      </w:r>
      <w:r>
        <w:rPr>
          <w:rFonts w:hint="eastAsia" w:ascii="仿宋_GB2312" w:eastAsia="仿宋_GB2312" w:cs="仿宋_GB2312"/>
          <w:kern w:val="0"/>
          <w:sz w:val="32"/>
          <w:szCs w:val="32"/>
        </w:rPr>
        <w:t>）评估内容。明确海上溢油突发事件性质和类别，预测可能的涉及范围、发展趋势及对人群健康或环境造成的影响；确定海上溢油突发事件的级别；评估现有应急处置措施是否得当，应急能力是否达到控制海上溢油突发事件的需求等。</w:t>
      </w:r>
    </w:p>
    <w:p w14:paraId="2C21065D">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2</w:t>
      </w:r>
      <w:r>
        <w:rPr>
          <w:rFonts w:hint="eastAsia" w:ascii="仿宋_GB2312" w:eastAsia="仿宋_GB2312" w:cs="仿宋_GB2312"/>
          <w:kern w:val="0"/>
          <w:sz w:val="32"/>
          <w:szCs w:val="32"/>
        </w:rPr>
        <w:t>）评估步骤。通过对海上溢油突发事件发生地区进行现场调查，收集资料，迅速对现有信息资料进行全面分析研究，提出评估意见，为技术行为和行政决策提供依据。</w:t>
      </w:r>
    </w:p>
    <w:p w14:paraId="5813653B">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3</w:t>
      </w:r>
      <w:r>
        <w:rPr>
          <w:rFonts w:hint="eastAsia" w:ascii="仿宋_GB2312" w:eastAsia="仿宋_GB2312" w:cs="仿宋_GB2312"/>
          <w:kern w:val="0"/>
          <w:sz w:val="32"/>
          <w:szCs w:val="32"/>
        </w:rPr>
        <w:t>）决策咨询。海上溢油突发事件评估专家组对快速评估结果进行分析，提出对现有应急处置措施的改进意见，并对行动方案做出决策咨询。</w:t>
      </w:r>
    </w:p>
    <w:p w14:paraId="7019F8F9">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确认</w:t>
      </w:r>
    </w:p>
    <w:p w14:paraId="062D5DCE">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海上溢油突发事件由市级海洋与渔业行政主管部门负责组织专家进行确认。</w:t>
      </w:r>
    </w:p>
    <w:p w14:paraId="3B1A2247">
      <w:pPr>
        <w:pStyle w:val="5"/>
        <w:tabs>
          <w:tab w:val="left" w:pos="210"/>
        </w:tabs>
        <w:spacing w:line="560" w:lineRule="exact"/>
        <w:rPr>
          <w:rFonts w:ascii="黑体" w:hAnsi="黑体" w:eastAsia="黑体" w:cs="黑体"/>
          <w:bCs/>
          <w:szCs w:val="32"/>
        </w:rPr>
      </w:pPr>
      <w:bookmarkStart w:id="207" w:name="_Toc434914537"/>
      <w:r>
        <w:rPr>
          <w:rFonts w:hint="eastAsia" w:ascii="黑体" w:hAnsi="黑体" w:eastAsia="黑体" w:cs="黑体"/>
          <w:bCs/>
          <w:szCs w:val="32"/>
        </w:rPr>
        <w:t>五、应急响应</w:t>
      </w:r>
      <w:bookmarkEnd w:id="207"/>
    </w:p>
    <w:p w14:paraId="13A375E8">
      <w:pPr>
        <w:pStyle w:val="5"/>
        <w:tabs>
          <w:tab w:val="left" w:pos="210"/>
        </w:tabs>
        <w:spacing w:line="560" w:lineRule="exact"/>
        <w:rPr>
          <w:rFonts w:ascii="楷体_GB2312" w:eastAsia="楷体_GB2312"/>
          <w:szCs w:val="32"/>
        </w:rPr>
      </w:pPr>
      <w:r>
        <w:rPr>
          <w:rFonts w:hint="eastAsia" w:ascii="楷体_GB2312" w:eastAsia="楷体_GB2312"/>
          <w:szCs w:val="32"/>
        </w:rPr>
        <w:t>（一）基本应急</w:t>
      </w:r>
    </w:p>
    <w:p w14:paraId="2C821960">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区级应急响应。一般海上溢油突发事件，由区管委及区经济发展部采取应急响应，启动区级应急预案。其应急指挥机构要立即组织有关部门赶赴现场，指挥突发事件的处置，指导、协调、督促有关部门开展工作。</w:t>
      </w:r>
    </w:p>
    <w:p w14:paraId="661BC4D1">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市海洋与渔业行政主管部门应急响应。较大海上溢油突发事件发生后，市海洋与渔业行政主管部门要在专家咨询组的指导下，组织和协调各方面工作并及时派出专业技术机构赴现场开展现场调查，组织落实各项紧急防控措施；配合上级专业机构对不明原因的突发事件开展污染源调查、受污染区域范围划定等工作；检查督导基层组织应急处理措施的落实；依法接受和管理社会捐赠的资金、物资；按授权发布本市海上溢油突发事件信息。</w:t>
      </w:r>
    </w:p>
    <w:p w14:paraId="7F254D08">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市人民政府应急响应。市人民政府根据海上溢油突发事件的类别和性质及时启动市级应急指挥部工作，在应急指挥部的统一领导和指挥下，组织协调市、县市区开展海上溢油突发事件的应急处理工作，开展海上溢油突发事件的决策指挥、污染危害监测与分析、污染源调查与控制、受污染群众救治与转移、信息发布、宣传教育、国内外交流与合作、后勤保障等工作。</w:t>
      </w:r>
    </w:p>
    <w:p w14:paraId="52049019">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任何单位和个人都要积极配合、支持海上溢油突发事件应急处理专业机构开展现场采样、监测、技术分析、评估等处理工作，不得以任何理由拒绝和妨碍工作开展。</w:t>
      </w:r>
    </w:p>
    <w:p w14:paraId="1D451DA8">
      <w:pPr>
        <w:pStyle w:val="5"/>
        <w:tabs>
          <w:tab w:val="left" w:pos="210"/>
        </w:tabs>
        <w:spacing w:line="560" w:lineRule="exact"/>
        <w:rPr>
          <w:rFonts w:ascii="楷体_GB2312" w:eastAsia="楷体_GB2312"/>
          <w:szCs w:val="32"/>
        </w:rPr>
      </w:pPr>
      <w:r>
        <w:rPr>
          <w:rFonts w:hint="eastAsia" w:ascii="楷体_GB2312" w:eastAsia="楷体_GB2312"/>
          <w:szCs w:val="32"/>
        </w:rPr>
        <w:t>（二）应急终止</w:t>
      </w:r>
    </w:p>
    <w:p w14:paraId="0B227DDB">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应急终止的条件：</w:t>
      </w:r>
    </w:p>
    <w:p w14:paraId="24F746BC">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1</w:t>
      </w:r>
      <w:r>
        <w:rPr>
          <w:rFonts w:hint="eastAsia" w:ascii="仿宋_GB2312" w:eastAsia="仿宋_GB2312" w:cs="仿宋_GB2312"/>
          <w:kern w:val="0"/>
          <w:sz w:val="32"/>
          <w:szCs w:val="32"/>
        </w:rPr>
        <w:t>）事件现场得到控制，事件成立的条件已经消除；</w:t>
      </w:r>
    </w:p>
    <w:p w14:paraId="09FA4DFB">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2</w:t>
      </w:r>
      <w:r>
        <w:rPr>
          <w:rFonts w:hint="eastAsia" w:ascii="仿宋_GB2312" w:eastAsia="仿宋_GB2312" w:cs="仿宋_GB2312"/>
          <w:kern w:val="0"/>
          <w:sz w:val="32"/>
          <w:szCs w:val="32"/>
        </w:rPr>
        <w:t>）事件所造成的危害已经基本消除，无继发可能；</w:t>
      </w:r>
    </w:p>
    <w:p w14:paraId="7D0F804A">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3</w:t>
      </w:r>
      <w:r>
        <w:rPr>
          <w:rFonts w:hint="eastAsia" w:ascii="仿宋_GB2312" w:eastAsia="仿宋_GB2312" w:cs="仿宋_GB2312"/>
          <w:kern w:val="0"/>
          <w:sz w:val="32"/>
          <w:szCs w:val="32"/>
        </w:rPr>
        <w:t>）已采取必要的防护措施，公众健康与环境不遭受危害，事件可能引起的中长期后果趋于合理且非常低的水平；</w:t>
      </w:r>
    </w:p>
    <w:p w14:paraId="5A73AA73">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4</w:t>
      </w:r>
      <w:r>
        <w:rPr>
          <w:rFonts w:hint="eastAsia" w:ascii="仿宋_GB2312" w:eastAsia="仿宋_GB2312" w:cs="仿宋_GB2312"/>
          <w:kern w:val="0"/>
          <w:sz w:val="32"/>
          <w:szCs w:val="32"/>
        </w:rPr>
        <w:t>）事件现场各种专业应急处置行动已无继续的必要。</w:t>
      </w:r>
    </w:p>
    <w:p w14:paraId="5F5E4EB7">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应急终止的程序：</w:t>
      </w:r>
    </w:p>
    <w:p w14:paraId="18AAF5AF">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1</w:t>
      </w:r>
      <w:r>
        <w:rPr>
          <w:rFonts w:hint="eastAsia" w:ascii="仿宋_GB2312" w:eastAsia="仿宋_GB2312" w:cs="仿宋_GB2312"/>
          <w:kern w:val="0"/>
          <w:sz w:val="32"/>
          <w:szCs w:val="32"/>
        </w:rPr>
        <w:t>）事件现场指挥部组织专家咨询组论证调查，确认突发事件已具备应急终止条件后，以书面形式向区应急指挥部报告；</w:t>
      </w:r>
    </w:p>
    <w:p w14:paraId="5124B782">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2</w:t>
      </w:r>
      <w:r>
        <w:rPr>
          <w:rFonts w:hint="eastAsia" w:ascii="仿宋_GB2312" w:eastAsia="仿宋_GB2312" w:cs="仿宋_GB2312"/>
          <w:kern w:val="0"/>
          <w:sz w:val="32"/>
          <w:szCs w:val="32"/>
        </w:rPr>
        <w:t>）接到区应急指挥部的应急终止通知后，组织应急人员及设备有序撤离；</w:t>
      </w:r>
    </w:p>
    <w:p w14:paraId="4E026B33">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3</w:t>
      </w:r>
      <w:r>
        <w:rPr>
          <w:rFonts w:hint="eastAsia" w:ascii="仿宋_GB2312" w:eastAsia="仿宋_GB2312" w:cs="仿宋_GB2312"/>
          <w:kern w:val="0"/>
          <w:sz w:val="32"/>
          <w:szCs w:val="32"/>
        </w:rPr>
        <w:t>）区经济发展部向社会发布突发事件应急终止的信息；</w:t>
      </w:r>
    </w:p>
    <w:p w14:paraId="09ED8178">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w:t>
      </w:r>
      <w:r>
        <w:rPr>
          <w:rFonts w:ascii="仿宋_GB2312" w:eastAsia="仿宋_GB2312" w:cs="仿宋_GB2312"/>
          <w:kern w:val="0"/>
          <w:sz w:val="32"/>
          <w:szCs w:val="32"/>
        </w:rPr>
        <w:t>4</w:t>
      </w:r>
      <w:r>
        <w:rPr>
          <w:rFonts w:hint="eastAsia" w:ascii="仿宋_GB2312" w:eastAsia="仿宋_GB2312" w:cs="仿宋_GB2312"/>
          <w:kern w:val="0"/>
          <w:sz w:val="32"/>
          <w:szCs w:val="32"/>
        </w:rPr>
        <w:t>）由区经济发展部组织专家进行应急行动评价，编制应急评价报告，存档备案，并上报有关部门。</w:t>
      </w:r>
    </w:p>
    <w:p w14:paraId="33CD242C">
      <w:pPr>
        <w:pStyle w:val="5"/>
        <w:tabs>
          <w:tab w:val="left" w:pos="210"/>
        </w:tabs>
        <w:spacing w:line="560" w:lineRule="exact"/>
        <w:rPr>
          <w:rFonts w:ascii="黑体" w:hAnsi="黑体" w:eastAsia="黑体" w:cs="黑体"/>
          <w:bCs/>
          <w:szCs w:val="32"/>
        </w:rPr>
      </w:pPr>
      <w:bookmarkStart w:id="208" w:name="_Toc434914538"/>
      <w:r>
        <w:rPr>
          <w:rFonts w:hint="eastAsia" w:ascii="黑体" w:hAnsi="黑体" w:eastAsia="黑体" w:cs="黑体"/>
          <w:bCs/>
          <w:szCs w:val="32"/>
        </w:rPr>
        <w:t>六、信息管理与发布</w:t>
      </w:r>
      <w:bookmarkEnd w:id="208"/>
    </w:p>
    <w:p w14:paraId="4D2C0C7A">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建立准确、透明、适度、科学的突发事件信息发布制度。区经济发展部负责向区管委报告海上溢油突发事件情况。有关海上溢油突发事件信息，由区经济发展部根据授权，及时、准确、全面地向社会发布，其他相关部门、单位及个人未经批准，不得擅自</w:t>
      </w:r>
      <w:r>
        <w:rPr>
          <w:rFonts w:hint="eastAsia" w:ascii="仿宋_GB2312" w:eastAsia="仿宋_GB2312" w:cs="仿宋_GB2312"/>
          <w:kern w:val="0"/>
          <w:sz w:val="32"/>
          <w:szCs w:val="32"/>
          <w:lang w:eastAsia="zh-CN"/>
        </w:rPr>
        <w:t>泄漏</w:t>
      </w:r>
      <w:r>
        <w:rPr>
          <w:rFonts w:hint="eastAsia" w:ascii="仿宋_GB2312" w:eastAsia="仿宋_GB2312" w:cs="仿宋_GB2312"/>
          <w:kern w:val="0"/>
          <w:sz w:val="32"/>
          <w:szCs w:val="32"/>
        </w:rPr>
        <w:t>事件信息。区管委及区经济发展部，要加强对海上溢油突发事件的舆论引导，建立快速发布机制，避免因发布滞后造成工作被动。对媒体的不准确报道，要及时通过发布通稿或召开新闻发布会等形式澄清事实真相，以正视听。</w:t>
      </w:r>
    </w:p>
    <w:p w14:paraId="40BA0F29">
      <w:pPr>
        <w:pStyle w:val="5"/>
        <w:tabs>
          <w:tab w:val="left" w:pos="210"/>
        </w:tabs>
        <w:spacing w:line="560" w:lineRule="exact"/>
        <w:rPr>
          <w:rFonts w:ascii="黑体" w:hAnsi="黑体" w:eastAsia="黑体" w:cs="黑体"/>
          <w:bCs/>
          <w:szCs w:val="32"/>
        </w:rPr>
      </w:pPr>
      <w:bookmarkStart w:id="209" w:name="_Toc434914539"/>
      <w:r>
        <w:rPr>
          <w:rFonts w:hint="eastAsia" w:ascii="黑体" w:hAnsi="黑体" w:eastAsia="黑体" w:cs="黑体"/>
          <w:bCs/>
          <w:szCs w:val="32"/>
        </w:rPr>
        <w:t>七、应急保障</w:t>
      </w:r>
      <w:bookmarkEnd w:id="209"/>
    </w:p>
    <w:p w14:paraId="2EBC66DF">
      <w:pPr>
        <w:pStyle w:val="5"/>
        <w:tabs>
          <w:tab w:val="left" w:pos="210"/>
        </w:tabs>
        <w:spacing w:line="560" w:lineRule="exact"/>
        <w:rPr>
          <w:rFonts w:cs="仿宋_GB2312"/>
          <w:kern w:val="0"/>
          <w:szCs w:val="32"/>
        </w:rPr>
      </w:pPr>
      <w:r>
        <w:rPr>
          <w:rFonts w:hint="eastAsia" w:cs="仿宋_GB2312"/>
          <w:kern w:val="0"/>
          <w:szCs w:val="32"/>
        </w:rPr>
        <w:t>（一）组织保障</w:t>
      </w:r>
    </w:p>
    <w:p w14:paraId="74F90EF2">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根据应急工作需要，区经济发展部成立海上溢油突发事件应急管理机构，负责海上溢油突发事件应急准备、预警、预报等各项工作。</w:t>
      </w:r>
    </w:p>
    <w:p w14:paraId="6C3A7243">
      <w:pPr>
        <w:pStyle w:val="5"/>
        <w:tabs>
          <w:tab w:val="left" w:pos="210"/>
        </w:tabs>
        <w:spacing w:line="560" w:lineRule="exact"/>
        <w:rPr>
          <w:rFonts w:ascii="楷体_GB2312" w:eastAsia="楷体_GB2312"/>
          <w:szCs w:val="32"/>
        </w:rPr>
      </w:pPr>
      <w:r>
        <w:rPr>
          <w:rFonts w:hint="eastAsia" w:ascii="楷体_GB2312" w:eastAsia="楷体_GB2312"/>
          <w:szCs w:val="32"/>
        </w:rPr>
        <w:t>（二）技术保障</w:t>
      </w:r>
    </w:p>
    <w:p w14:paraId="7E9CE421">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建立区级海上溢油应急专家数据库，确保在突发事件发生后，迅速成立海上溢油突发事件应急处置专家咨询组，为指挥决策提供专业咨询。其主要职责是：了解掌握国内外海上溢油突发事件应急处理的相关知识和信息，提供咨询服务；综合评估海上溢油突发事件，预测其发展趋势，提出启动和终止应急预案的建议；指导、调整和评估应急处理措施；参与海上溢油突发事件的总结评估并提交评估报告。</w:t>
      </w:r>
    </w:p>
    <w:p w14:paraId="2866E18E">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建立和完善信息系统。建立处置海上溢油突发事件决策支持与指挥调度技术平台，承担全区海上溢油突发事件相关信息收集、处理、分析、发布和应急响应等工作。</w:t>
      </w:r>
    </w:p>
    <w:p w14:paraId="59A57702">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科研和交流。积极开展应对海上溢油突发事件的科学研究，加强应急处理技术的国内外交流与合作，引进国内外先进技术和方法，提高我市应对突发事件的整体水平。</w:t>
      </w:r>
    </w:p>
    <w:p w14:paraId="012F5BE2">
      <w:pPr>
        <w:pStyle w:val="5"/>
        <w:tabs>
          <w:tab w:val="left" w:pos="210"/>
        </w:tabs>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（三）应急专业队伍保障</w:t>
      </w:r>
    </w:p>
    <w:p w14:paraId="21364BB5">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区管委要以现有海上溢油监察队伍为基础，建立一支海上溢油突发事件应急处置机动队伍，由海上溢油监察、海上溢油监测、环境监察、环境监测、环境科研等人员组成，作为应对海上溢油突发事件的常备重要力量，随时准备处置突发事件，参与和指导事件发生地开展突发事件应急处置工作。其主要职责：指导应急监测分析，确定污染类别、程度、范围；进行现场调查、取证、评估及上报工作；根据调查结果及专家意见，确定应急处置的技术措施；督导各项现场应急处理措施的落实；开展突发事件应急处理的业务培训和咨询等。</w:t>
      </w:r>
    </w:p>
    <w:p w14:paraId="6D8375E0">
      <w:pPr>
        <w:pStyle w:val="5"/>
        <w:tabs>
          <w:tab w:val="left" w:pos="210"/>
        </w:tabs>
        <w:spacing w:line="560" w:lineRule="exact"/>
        <w:rPr>
          <w:rFonts w:ascii="楷体_GB2312" w:eastAsia="楷体_GB2312"/>
          <w:szCs w:val="32"/>
        </w:rPr>
      </w:pPr>
      <w:r>
        <w:rPr>
          <w:rFonts w:hint="eastAsia" w:ascii="楷体_GB2312" w:eastAsia="楷体_GB2312"/>
          <w:szCs w:val="32"/>
        </w:rPr>
        <w:t>（四）后勤保障</w:t>
      </w:r>
    </w:p>
    <w:p w14:paraId="606D444F">
      <w:pPr>
        <w:tabs>
          <w:tab w:val="left" w:pos="210"/>
        </w:tabs>
        <w:autoSpaceDE w:val="0"/>
        <w:autoSpaceDN w:val="0"/>
        <w:adjustRightInd w:val="0"/>
        <w:spacing w:line="560" w:lineRule="exact"/>
        <w:ind w:firstLine="643" w:firstLineChars="200"/>
        <w:rPr>
          <w:rFonts w:ascii="仿宋_GB2312" w:eastAsia="仿宋_GB2312" w:cs="仿宋_GB2312"/>
          <w:kern w:val="0"/>
          <w:sz w:val="32"/>
          <w:szCs w:val="32"/>
        </w:rPr>
      </w:pPr>
      <w:r>
        <w:rPr>
          <w:rFonts w:ascii="仿宋_GB2312" w:eastAsia="仿宋_GB2312" w:cs="仿宋_GB2312"/>
          <w:b/>
          <w:bCs/>
          <w:kern w:val="0"/>
          <w:sz w:val="32"/>
          <w:szCs w:val="32"/>
        </w:rPr>
        <w:t>1.</w:t>
      </w:r>
      <w:r>
        <w:rPr>
          <w:rFonts w:hint="eastAsia" w:ascii="仿宋_GB2312" w:eastAsia="仿宋_GB2312" w:cs="仿宋_GB2312"/>
          <w:b/>
          <w:bCs/>
          <w:kern w:val="0"/>
          <w:sz w:val="32"/>
          <w:szCs w:val="32"/>
        </w:rPr>
        <w:t>物资储备</w:t>
      </w:r>
      <w:r>
        <w:rPr>
          <w:rFonts w:hint="eastAsia" w:ascii="仿宋_GB2312" w:eastAsia="仿宋_GB2312" w:cs="仿宋_GB2312"/>
          <w:kern w:val="0"/>
          <w:sz w:val="32"/>
          <w:szCs w:val="32"/>
        </w:rPr>
        <w:t>。区管委及其有关部门要根据区经济发展部提出的计划，建立处理突发事件的物资储备。</w:t>
      </w:r>
    </w:p>
    <w:p w14:paraId="10181891">
      <w:pPr>
        <w:tabs>
          <w:tab w:val="left" w:pos="210"/>
        </w:tabs>
        <w:autoSpaceDE w:val="0"/>
        <w:autoSpaceDN w:val="0"/>
        <w:adjustRightInd w:val="0"/>
        <w:spacing w:line="560" w:lineRule="exact"/>
        <w:ind w:firstLine="643" w:firstLineChars="200"/>
        <w:rPr>
          <w:rFonts w:ascii="仿宋_GB2312" w:eastAsia="仿宋_GB2312" w:cs="仿宋_GB2312"/>
          <w:kern w:val="0"/>
          <w:sz w:val="32"/>
          <w:szCs w:val="32"/>
        </w:rPr>
      </w:pPr>
      <w:r>
        <w:rPr>
          <w:rFonts w:ascii="仿宋_GB2312" w:eastAsia="仿宋_GB2312" w:cs="仿宋_GB2312"/>
          <w:b/>
          <w:bCs/>
          <w:kern w:val="0"/>
          <w:sz w:val="32"/>
          <w:szCs w:val="32"/>
        </w:rPr>
        <w:t>2.</w:t>
      </w:r>
      <w:r>
        <w:rPr>
          <w:rFonts w:hint="eastAsia" w:ascii="仿宋_GB2312" w:eastAsia="仿宋_GB2312" w:cs="仿宋_GB2312"/>
          <w:b/>
          <w:bCs/>
          <w:kern w:val="0"/>
          <w:sz w:val="32"/>
          <w:szCs w:val="32"/>
        </w:rPr>
        <w:t>装备保障。</w:t>
      </w:r>
      <w:r>
        <w:rPr>
          <w:rFonts w:hint="eastAsia" w:ascii="仿宋_GB2312" w:eastAsia="仿宋_GB2312" w:cs="仿宋_GB2312"/>
          <w:kern w:val="0"/>
          <w:sz w:val="32"/>
          <w:szCs w:val="32"/>
        </w:rPr>
        <w:t>区经济发展部要充分发挥职能作用，根据工作需要和职责要求，建立和完善专家数据库和环境、生态安全数据库系统。加强危险化学品检验、鉴定和监测设备建设。增加应急处置和自身防护装备、物资的储备，不断提高应急监测、动态监控、消除污染的能力，保证在发生海上溢油事故时，能有效防止污染的扩散。</w:t>
      </w:r>
    </w:p>
    <w:p w14:paraId="36DEB193">
      <w:pPr>
        <w:tabs>
          <w:tab w:val="left" w:pos="210"/>
        </w:tabs>
        <w:autoSpaceDE w:val="0"/>
        <w:autoSpaceDN w:val="0"/>
        <w:adjustRightInd w:val="0"/>
        <w:spacing w:line="560" w:lineRule="exact"/>
        <w:ind w:firstLine="643" w:firstLineChars="200"/>
        <w:rPr>
          <w:rFonts w:ascii="仿宋_GB2312" w:eastAsia="仿宋_GB2312" w:cs="仿宋_GB2312"/>
          <w:kern w:val="0"/>
          <w:sz w:val="32"/>
          <w:szCs w:val="32"/>
        </w:rPr>
      </w:pPr>
      <w:r>
        <w:rPr>
          <w:rFonts w:ascii="仿宋_GB2312" w:eastAsia="仿宋_GB2312" w:cs="仿宋_GB2312"/>
          <w:b/>
          <w:bCs/>
          <w:kern w:val="0"/>
          <w:sz w:val="32"/>
          <w:szCs w:val="32"/>
        </w:rPr>
        <w:t>3.</w:t>
      </w:r>
      <w:r>
        <w:rPr>
          <w:rFonts w:hint="eastAsia" w:ascii="仿宋_GB2312" w:eastAsia="仿宋_GB2312" w:cs="仿宋_GB2312"/>
          <w:b/>
          <w:bCs/>
          <w:kern w:val="0"/>
          <w:sz w:val="32"/>
          <w:szCs w:val="32"/>
        </w:rPr>
        <w:t>经费保障。</w:t>
      </w:r>
      <w:r>
        <w:rPr>
          <w:rFonts w:hint="eastAsia" w:ascii="仿宋_GB2312" w:eastAsia="仿宋_GB2312" w:cs="仿宋_GB2312"/>
          <w:kern w:val="0"/>
          <w:sz w:val="32"/>
          <w:szCs w:val="32"/>
        </w:rPr>
        <w:t>区财政金融部要保障海上溢油突发事件应急基础设施建设、运转经费和突发事件处理经费，所需经费列入同级部门财政预算。捐助资金要纳入各级财政专户管理，由区应急指挥部统一掌握，集中安排使用。</w:t>
      </w:r>
    </w:p>
    <w:p w14:paraId="12472727">
      <w:pPr>
        <w:pStyle w:val="5"/>
        <w:tabs>
          <w:tab w:val="left" w:pos="210"/>
        </w:tabs>
        <w:spacing w:line="560" w:lineRule="exact"/>
        <w:rPr>
          <w:rFonts w:cs="仿宋_GB2312"/>
          <w:kern w:val="0"/>
          <w:szCs w:val="32"/>
        </w:rPr>
      </w:pPr>
      <w:r>
        <w:rPr>
          <w:rFonts w:hint="eastAsia" w:cs="仿宋_GB2312"/>
          <w:kern w:val="0"/>
          <w:szCs w:val="32"/>
        </w:rPr>
        <w:t>（五）宣传保障</w:t>
      </w:r>
    </w:p>
    <w:p w14:paraId="61A69485">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区综合管理部要利用电视、广播、报纸、互联网、应急手册等多种形式，对社会公众广泛开展海上溢油突发事件应急知识的专业教育，宣传应急科普知识，指导群众以科学的行为和方式对待海上溢油突发事件。</w:t>
      </w:r>
    </w:p>
    <w:p w14:paraId="59D523CC">
      <w:pPr>
        <w:pStyle w:val="5"/>
        <w:tabs>
          <w:tab w:val="left" w:pos="210"/>
        </w:tabs>
        <w:spacing w:line="560" w:lineRule="exact"/>
        <w:rPr>
          <w:rFonts w:ascii="黑体" w:hAnsi="黑体" w:eastAsia="黑体" w:cs="黑体"/>
          <w:bCs/>
          <w:szCs w:val="32"/>
        </w:rPr>
      </w:pPr>
      <w:bookmarkStart w:id="210" w:name="_Toc434914540"/>
      <w:r>
        <w:rPr>
          <w:rFonts w:hint="eastAsia" w:ascii="黑体" w:hAnsi="黑体" w:eastAsia="黑体" w:cs="黑体"/>
          <w:bCs/>
          <w:szCs w:val="32"/>
        </w:rPr>
        <w:t>八、附则</w:t>
      </w:r>
      <w:bookmarkEnd w:id="210"/>
    </w:p>
    <w:p w14:paraId="2F0AD75E">
      <w:pPr>
        <w:pStyle w:val="5"/>
        <w:tabs>
          <w:tab w:val="left" w:pos="210"/>
        </w:tabs>
        <w:spacing w:line="560" w:lineRule="exact"/>
        <w:rPr>
          <w:rFonts w:ascii="楷体_GB2312" w:hAnsi="楷体_GB2312" w:eastAsia="楷体_GB2312" w:cs="楷体_GB2312"/>
          <w:kern w:val="0"/>
          <w:sz w:val="20"/>
          <w:szCs w:val="20"/>
        </w:rPr>
      </w:pPr>
      <w:r>
        <w:rPr>
          <w:rFonts w:hint="eastAsia" w:ascii="楷体_GB2312" w:hAnsi="楷体_GB2312" w:eastAsia="楷体_GB2312" w:cs="楷体_GB2312"/>
          <w:kern w:val="0"/>
          <w:szCs w:val="32"/>
        </w:rPr>
        <w:t>（一）培训和演练</w:t>
      </w:r>
    </w:p>
    <w:p w14:paraId="4ADEA02F">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海上溢油突发事件应急处理常备队伍要按照应急预案，每年至少进行一次专门的培训和演练。提高防范和处置海上溢油突发事件的技能，增强实战能力。按照本预案的规定，各地和有关部门要根据海上溢油突发事件的性质、类别，制定具体的技术方案或工作方案。</w:t>
      </w:r>
    </w:p>
    <w:p w14:paraId="3CF41B30">
      <w:pPr>
        <w:pStyle w:val="5"/>
        <w:tabs>
          <w:tab w:val="left" w:pos="210"/>
        </w:tabs>
        <w:spacing w:line="560" w:lineRule="exact"/>
        <w:rPr>
          <w:rFonts w:ascii="楷体_GB2312" w:eastAsia="楷体_GB2312"/>
          <w:szCs w:val="32"/>
        </w:rPr>
      </w:pPr>
      <w:r>
        <w:rPr>
          <w:rFonts w:hint="eastAsia" w:ascii="楷体_GB2312" w:eastAsia="楷体_GB2312"/>
          <w:szCs w:val="32"/>
        </w:rPr>
        <w:t>（二）预案管理</w:t>
      </w:r>
    </w:p>
    <w:p w14:paraId="47BA9FFD">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区应急指挥部办公室要根据需要和演练情况，及时对预案进行修订和完善。</w:t>
      </w:r>
    </w:p>
    <w:p w14:paraId="49245045">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本预案由区经济发展部负责解释。</w:t>
      </w:r>
    </w:p>
    <w:p w14:paraId="1844FF2E">
      <w:pPr>
        <w:tabs>
          <w:tab w:val="left" w:pos="210"/>
        </w:tabs>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本预案自发布之日起实施。</w:t>
      </w:r>
    </w:p>
    <w:p w14:paraId="5CA91496">
      <w:pPr>
        <w:tabs>
          <w:tab w:val="left" w:pos="210"/>
        </w:tabs>
        <w:spacing w:line="560" w:lineRule="exact"/>
        <w:ind w:firstLine="640" w:firstLineChars="200"/>
        <w:rPr>
          <w:rFonts w:ascii="仿宋_GB2312" w:eastAsia="仿宋_GB2312" w:cs="仿宋_GB2312"/>
          <w:kern w:val="0"/>
          <w:sz w:val="32"/>
          <w:szCs w:val="32"/>
        </w:rPr>
      </w:pPr>
    </w:p>
    <w:p w14:paraId="5664EA43">
      <w:pPr>
        <w:tabs>
          <w:tab w:val="left" w:pos="210"/>
        </w:tabs>
        <w:ind w:firstLine="640" w:firstLineChars="200"/>
        <w:rPr>
          <w:rFonts w:ascii="仿宋_GB2312" w:eastAsia="仿宋_GB2312" w:cs="仿宋_GB2312"/>
          <w:kern w:val="0"/>
          <w:sz w:val="32"/>
          <w:szCs w:val="32"/>
        </w:rPr>
      </w:pPr>
    </w:p>
    <w:p w14:paraId="2C8DA649">
      <w:pPr>
        <w:tabs>
          <w:tab w:val="left" w:pos="210"/>
        </w:tabs>
        <w:ind w:firstLine="640" w:firstLineChars="200"/>
        <w:rPr>
          <w:rFonts w:ascii="仿宋_GB2312" w:eastAsia="仿宋_GB2312" w:cs="仿宋_GB2312"/>
          <w:kern w:val="0"/>
          <w:sz w:val="32"/>
          <w:szCs w:val="32"/>
        </w:rPr>
      </w:pPr>
    </w:p>
    <w:p w14:paraId="2BF773A4">
      <w:pPr>
        <w:tabs>
          <w:tab w:val="left" w:pos="210"/>
        </w:tabs>
        <w:ind w:firstLine="640" w:firstLineChars="200"/>
        <w:rPr>
          <w:rFonts w:ascii="仿宋_GB2312" w:eastAsia="仿宋_GB2312"/>
          <w:sz w:val="32"/>
          <w:szCs w:val="32"/>
        </w:rPr>
      </w:pPr>
      <w:r>
        <w:rPr>
          <w:rFonts w:hint="eastAsia" w:ascii="仿宋_GB2312" w:eastAsia="仿宋_GB2312" w:cs="仿宋_GB2312"/>
          <w:kern w:val="0"/>
          <w:sz w:val="32"/>
          <w:szCs w:val="32"/>
        </w:rPr>
        <w:t>附件：</w:t>
      </w:r>
      <w:r>
        <w:rPr>
          <w:rFonts w:hint="eastAsia" w:ascii="仿宋_GB2312" w:eastAsia="仿宋_GB2312"/>
          <w:sz w:val="32"/>
          <w:szCs w:val="32"/>
        </w:rPr>
        <w:t>1、高新区海上溢油突发应急预案运行流程</w:t>
      </w:r>
    </w:p>
    <w:p w14:paraId="0B68CD3A">
      <w:pPr>
        <w:widowControl/>
        <w:jc w:val="left"/>
        <w:rPr>
          <w:rFonts w:ascii="方正黑体简体" w:hAnsi="宋体" w:eastAsia="方正黑体简体" w:cs="宋体"/>
          <w:kern w:val="0"/>
          <w:sz w:val="32"/>
          <w:szCs w:val="32"/>
        </w:rPr>
      </w:pPr>
    </w:p>
    <w:p w14:paraId="75613C10">
      <w:pPr>
        <w:widowControl/>
        <w:jc w:val="left"/>
        <w:rPr>
          <w:rFonts w:ascii="方正黑体简体" w:hAnsi="宋体" w:eastAsia="方正黑体简体" w:cs="宋体"/>
          <w:kern w:val="0"/>
          <w:sz w:val="32"/>
          <w:szCs w:val="32"/>
        </w:rPr>
        <w:sectPr>
          <w:headerReference r:id="rId7" w:type="default"/>
          <w:pgSz w:w="11906" w:h="16838"/>
          <w:pgMar w:top="2098" w:right="1417" w:bottom="1984" w:left="1531" w:header="851" w:footer="1418" w:gutter="0"/>
          <w:cols w:space="720" w:num="1"/>
          <w:docGrid w:type="lines" w:linePitch="312" w:charSpace="0"/>
        </w:sectPr>
      </w:pPr>
    </w:p>
    <w:p w14:paraId="10B4628E">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高新区海上溢油突发应急预案运行流程</w:t>
      </w:r>
    </w:p>
    <w:p w14:paraId="550EA6FF">
      <w:r>
        <w:drawing>
          <wp:anchor distT="0" distB="0" distL="114300" distR="114300" simplePos="0" relativeHeight="251694080" behindDoc="0" locked="0" layoutInCell="1" allowOverlap="1">
            <wp:simplePos x="0" y="0"/>
            <wp:positionH relativeFrom="column">
              <wp:posOffset>-406400</wp:posOffset>
            </wp:positionH>
            <wp:positionV relativeFrom="paragraph">
              <wp:posOffset>6985</wp:posOffset>
            </wp:positionV>
            <wp:extent cx="6353175" cy="6710680"/>
            <wp:effectExtent l="0" t="0" r="1905" b="10160"/>
            <wp:wrapSquare wrapText="bothSides"/>
            <wp:docPr id="4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图片 3"/>
                    <pic:cNvPicPr>
                      <a:picLocks noChangeAspect="1"/>
                    </pic:cNvPicPr>
                  </pic:nvPicPr>
                  <pic:blipFill>
                    <a:blip r:embed="rId16" cstate="print"/>
                    <a:stretch>
                      <a:fillRect/>
                    </a:stretch>
                  </pic:blipFill>
                  <pic:spPr>
                    <a:xfrm>
                      <a:off x="0" y="0"/>
                      <a:ext cx="6353175" cy="6710680"/>
                    </a:xfrm>
                    <a:prstGeom prst="rect">
                      <a:avLst/>
                    </a:prstGeom>
                    <a:noFill/>
                    <a:ln w="9525">
                      <a:noFill/>
                    </a:ln>
                  </pic:spPr>
                </pic:pic>
              </a:graphicData>
            </a:graphic>
          </wp:anchor>
        </w:drawing>
      </w:r>
    </w:p>
    <w:p w14:paraId="299EA114">
      <w:pPr>
        <w:pStyle w:val="11"/>
        <w:spacing w:beforeLines="100" w:beforeAutospacing="0" w:afterLines="100" w:afterAutospacing="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烟台高新区大面积停电事件</w:t>
      </w:r>
      <w:r>
        <w:rPr>
          <w:rFonts w:hint="eastAsia" w:ascii="方正小标宋简体" w:hAnsi="Helvetica" w:eastAsia="方正小标宋简体" w:cs="Helvetica"/>
          <w:sz w:val="44"/>
          <w:szCs w:val="44"/>
        </w:rPr>
        <w:t>专项</w:t>
      </w:r>
      <w:r>
        <w:rPr>
          <w:rFonts w:hint="eastAsia" w:ascii="方正小标宋_GBK" w:hAnsi="方正小标宋_GBK" w:eastAsia="方正小标宋_GBK" w:cs="方正小标宋_GBK"/>
          <w:sz w:val="44"/>
          <w:szCs w:val="44"/>
        </w:rPr>
        <w:t>应急预案</w:t>
      </w:r>
    </w:p>
    <w:p w14:paraId="1005A562">
      <w:pPr>
        <w:pStyle w:val="11"/>
        <w:spacing w:before="0" w:beforeAutospacing="0" w:after="0" w:afterAutospacing="0" w:line="520" w:lineRule="exact"/>
        <w:ind w:firstLine="632" w:firstLineChars="200"/>
        <w:jc w:val="both"/>
        <w:rPr>
          <w:rFonts w:ascii="黑体" w:hAnsi="黑体" w:eastAsia="黑体"/>
          <w:sz w:val="32"/>
          <w:szCs w:val="32"/>
        </w:rPr>
      </w:pPr>
      <w:r>
        <w:rPr>
          <w:rFonts w:hint="eastAsia" w:ascii="黑体" w:hAnsi="黑体" w:eastAsia="黑体"/>
          <w:sz w:val="32"/>
          <w:szCs w:val="32"/>
        </w:rPr>
        <w:t>1 总则</w:t>
      </w:r>
    </w:p>
    <w:p w14:paraId="03AC88B7">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1.1 编制目的</w:t>
      </w:r>
    </w:p>
    <w:p w14:paraId="65ABE545">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1.2 编制依据</w:t>
      </w:r>
    </w:p>
    <w:p w14:paraId="16CEAA7B">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1.3 适用范围</w:t>
      </w:r>
    </w:p>
    <w:p w14:paraId="308FFB14">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1.4 工作原则</w:t>
      </w:r>
    </w:p>
    <w:p w14:paraId="274524BC">
      <w:pPr>
        <w:pStyle w:val="11"/>
        <w:spacing w:before="0" w:beforeAutospacing="0" w:after="0" w:afterAutospacing="0" w:line="520" w:lineRule="exact"/>
        <w:ind w:firstLine="632" w:firstLineChars="200"/>
        <w:jc w:val="both"/>
        <w:rPr>
          <w:rFonts w:ascii="仿宋" w:hAnsi="仿宋" w:eastAsia="仿宋"/>
          <w:sz w:val="32"/>
          <w:szCs w:val="32"/>
        </w:rPr>
      </w:pPr>
      <w:r>
        <w:rPr>
          <w:rFonts w:hint="eastAsia" w:ascii="楷体_GB2312" w:hAnsi="仿宋" w:eastAsia="楷体_GB2312"/>
          <w:sz w:val="32"/>
          <w:szCs w:val="32"/>
        </w:rPr>
        <w:t>1.5 事件分级</w:t>
      </w:r>
    </w:p>
    <w:p w14:paraId="23255149">
      <w:pPr>
        <w:pStyle w:val="11"/>
        <w:spacing w:before="0" w:beforeAutospacing="0" w:after="0" w:afterAutospacing="0" w:line="520" w:lineRule="exact"/>
        <w:ind w:firstLine="632" w:firstLineChars="200"/>
        <w:jc w:val="both"/>
        <w:rPr>
          <w:rFonts w:ascii="黑体" w:hAnsi="黑体" w:eastAsia="黑体"/>
          <w:sz w:val="32"/>
          <w:szCs w:val="32"/>
        </w:rPr>
      </w:pPr>
      <w:r>
        <w:rPr>
          <w:rFonts w:hint="eastAsia" w:ascii="黑体" w:hAnsi="黑体" w:eastAsia="黑体"/>
          <w:sz w:val="32"/>
          <w:szCs w:val="32"/>
        </w:rPr>
        <w:t>2 组织体系</w:t>
      </w:r>
    </w:p>
    <w:p w14:paraId="1D039D1B">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2.1 区级组织指挥机构</w:t>
      </w:r>
    </w:p>
    <w:p w14:paraId="63CABA02">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2.2 现场指挥机构</w:t>
      </w:r>
    </w:p>
    <w:p w14:paraId="4DFD6243">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2.3 重要电力用户</w:t>
      </w:r>
    </w:p>
    <w:p w14:paraId="458739A8">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2.4 专家组</w:t>
      </w:r>
    </w:p>
    <w:p w14:paraId="1C2B6260">
      <w:pPr>
        <w:pStyle w:val="11"/>
        <w:spacing w:before="0" w:beforeAutospacing="0" w:after="0" w:afterAutospacing="0" w:line="520" w:lineRule="exact"/>
        <w:ind w:firstLine="632" w:firstLineChars="200"/>
        <w:jc w:val="both"/>
        <w:rPr>
          <w:rFonts w:ascii="仿宋" w:hAnsi="仿宋" w:eastAsia="仿宋"/>
          <w:sz w:val="32"/>
          <w:szCs w:val="32"/>
        </w:rPr>
      </w:pPr>
      <w:r>
        <w:rPr>
          <w:rFonts w:hint="eastAsia" w:ascii="楷体_GB2312" w:hAnsi="仿宋" w:eastAsia="楷体_GB2312"/>
          <w:sz w:val="32"/>
          <w:szCs w:val="32"/>
        </w:rPr>
        <w:t>2.5上级派驻机构</w:t>
      </w:r>
    </w:p>
    <w:p w14:paraId="078AD655">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黑体" w:hAnsi="黑体" w:eastAsia="黑体"/>
          <w:sz w:val="32"/>
          <w:szCs w:val="32"/>
        </w:rPr>
        <w:t>3 监测预警和信息报告</w:t>
      </w:r>
    </w:p>
    <w:p w14:paraId="43512E36">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3.1监测和风险分析</w:t>
      </w:r>
    </w:p>
    <w:p w14:paraId="5DC1BB8E">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3.2预警</w:t>
      </w:r>
    </w:p>
    <w:p w14:paraId="0ECA641E">
      <w:pPr>
        <w:pStyle w:val="11"/>
        <w:spacing w:before="0" w:beforeAutospacing="0" w:after="0" w:afterAutospacing="0" w:line="520" w:lineRule="exact"/>
        <w:ind w:firstLine="632" w:firstLineChars="200"/>
        <w:jc w:val="both"/>
        <w:rPr>
          <w:rFonts w:ascii="仿宋" w:hAnsi="仿宋" w:eastAsia="仿宋"/>
          <w:sz w:val="32"/>
          <w:szCs w:val="32"/>
        </w:rPr>
      </w:pPr>
      <w:r>
        <w:rPr>
          <w:rFonts w:hint="eastAsia" w:ascii="楷体_GB2312" w:hAnsi="仿宋" w:eastAsia="楷体_GB2312"/>
          <w:sz w:val="32"/>
          <w:szCs w:val="32"/>
        </w:rPr>
        <w:t>3.3信息报告</w:t>
      </w:r>
    </w:p>
    <w:p w14:paraId="59FECA52">
      <w:pPr>
        <w:pStyle w:val="11"/>
        <w:spacing w:before="0" w:beforeAutospacing="0" w:after="0" w:afterAutospacing="0" w:line="520" w:lineRule="exact"/>
        <w:ind w:firstLine="632" w:firstLineChars="200"/>
        <w:jc w:val="both"/>
        <w:rPr>
          <w:rFonts w:ascii="黑体" w:hAnsi="黑体" w:eastAsia="黑体"/>
          <w:sz w:val="32"/>
          <w:szCs w:val="32"/>
        </w:rPr>
      </w:pPr>
      <w:r>
        <w:rPr>
          <w:rFonts w:hint="eastAsia" w:ascii="黑体" w:hAnsi="黑体" w:eastAsia="黑体"/>
          <w:sz w:val="32"/>
          <w:szCs w:val="32"/>
        </w:rPr>
        <w:t>4 应急响应</w:t>
      </w:r>
    </w:p>
    <w:p w14:paraId="61E241F0">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4.1 响应分级</w:t>
      </w:r>
    </w:p>
    <w:p w14:paraId="32F46978">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4.2 响应措施</w:t>
      </w:r>
    </w:p>
    <w:p w14:paraId="38F68B3B">
      <w:pPr>
        <w:pStyle w:val="11"/>
        <w:spacing w:before="0" w:beforeAutospacing="0" w:after="0" w:afterAutospacing="0" w:line="520" w:lineRule="exact"/>
        <w:ind w:firstLine="632" w:firstLineChars="200"/>
        <w:jc w:val="both"/>
        <w:rPr>
          <w:rFonts w:ascii="仿宋" w:hAnsi="仿宋" w:eastAsia="仿宋"/>
          <w:sz w:val="32"/>
          <w:szCs w:val="32"/>
        </w:rPr>
      </w:pPr>
      <w:r>
        <w:rPr>
          <w:rFonts w:hint="eastAsia" w:ascii="楷体_GB2312" w:hAnsi="仿宋" w:eastAsia="楷体_GB2312"/>
          <w:sz w:val="32"/>
          <w:szCs w:val="32"/>
        </w:rPr>
        <w:t>4.3 响应终止</w:t>
      </w:r>
    </w:p>
    <w:p w14:paraId="216B5081">
      <w:pPr>
        <w:pStyle w:val="11"/>
        <w:spacing w:before="0" w:beforeAutospacing="0" w:after="0" w:afterAutospacing="0" w:line="520" w:lineRule="exact"/>
        <w:ind w:firstLine="632" w:firstLineChars="200"/>
        <w:jc w:val="both"/>
        <w:rPr>
          <w:rFonts w:ascii="黑体" w:hAnsi="黑体" w:eastAsia="黑体"/>
          <w:sz w:val="32"/>
          <w:szCs w:val="32"/>
        </w:rPr>
      </w:pPr>
      <w:r>
        <w:rPr>
          <w:rFonts w:hint="eastAsia" w:ascii="黑体" w:hAnsi="黑体" w:eastAsia="黑体"/>
          <w:sz w:val="32"/>
          <w:szCs w:val="32"/>
        </w:rPr>
        <w:t>5 后期处置</w:t>
      </w:r>
    </w:p>
    <w:p w14:paraId="4116559A">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5.1 处置评估</w:t>
      </w:r>
    </w:p>
    <w:p w14:paraId="6A819A22">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5.2 事件调查</w:t>
      </w:r>
    </w:p>
    <w:p w14:paraId="7CFAA010">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5.3 善后处置</w:t>
      </w:r>
    </w:p>
    <w:p w14:paraId="5085CE78">
      <w:pPr>
        <w:pStyle w:val="11"/>
        <w:spacing w:before="0" w:beforeAutospacing="0" w:after="0" w:afterAutospacing="0" w:line="520" w:lineRule="exact"/>
        <w:ind w:firstLine="632" w:firstLineChars="200"/>
        <w:jc w:val="both"/>
        <w:rPr>
          <w:rFonts w:ascii="仿宋" w:hAnsi="仿宋" w:eastAsia="仿宋"/>
          <w:sz w:val="32"/>
          <w:szCs w:val="32"/>
        </w:rPr>
      </w:pPr>
      <w:r>
        <w:rPr>
          <w:rFonts w:hint="eastAsia" w:ascii="楷体_GB2312" w:hAnsi="仿宋" w:eastAsia="楷体_GB2312"/>
          <w:sz w:val="32"/>
          <w:szCs w:val="32"/>
        </w:rPr>
        <w:t>5.4 恢复重建</w:t>
      </w:r>
    </w:p>
    <w:p w14:paraId="1751E2E6">
      <w:pPr>
        <w:pStyle w:val="11"/>
        <w:spacing w:before="0" w:beforeAutospacing="0" w:after="0" w:afterAutospacing="0" w:line="520" w:lineRule="exact"/>
        <w:ind w:firstLine="632" w:firstLineChars="200"/>
        <w:jc w:val="both"/>
        <w:rPr>
          <w:rFonts w:ascii="黑体" w:hAnsi="黑体" w:eastAsia="黑体"/>
          <w:sz w:val="32"/>
          <w:szCs w:val="32"/>
        </w:rPr>
      </w:pPr>
      <w:r>
        <w:rPr>
          <w:rFonts w:hint="eastAsia" w:ascii="黑体" w:hAnsi="黑体" w:eastAsia="黑体"/>
          <w:sz w:val="32"/>
          <w:szCs w:val="32"/>
        </w:rPr>
        <w:t>6 保障措施</w:t>
      </w:r>
    </w:p>
    <w:p w14:paraId="77311037">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6.1 队伍保障</w:t>
      </w:r>
    </w:p>
    <w:p w14:paraId="540EBF1E">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6.2 装备物资保障</w:t>
      </w:r>
    </w:p>
    <w:p w14:paraId="5E47304A">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6.3 通信、交通与运输保障</w:t>
      </w:r>
    </w:p>
    <w:p w14:paraId="08ECFDD5">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6.4 技术保障</w:t>
      </w:r>
    </w:p>
    <w:p w14:paraId="68BA62CB">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6.5 应急电源保障</w:t>
      </w:r>
    </w:p>
    <w:p w14:paraId="57578A1C">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6.6 资金保障</w:t>
      </w:r>
    </w:p>
    <w:p w14:paraId="6B7BAC26">
      <w:pPr>
        <w:pStyle w:val="11"/>
        <w:spacing w:before="0" w:beforeAutospacing="0" w:after="0" w:afterAutospacing="0" w:line="520" w:lineRule="exact"/>
        <w:ind w:firstLine="632" w:firstLineChars="200"/>
        <w:jc w:val="both"/>
        <w:rPr>
          <w:rFonts w:ascii="仿宋" w:hAnsi="仿宋" w:eastAsia="仿宋"/>
          <w:sz w:val="32"/>
          <w:szCs w:val="32"/>
        </w:rPr>
      </w:pPr>
      <w:r>
        <w:rPr>
          <w:rFonts w:hint="eastAsia" w:ascii="楷体_GB2312" w:hAnsi="仿宋" w:eastAsia="楷体_GB2312"/>
          <w:sz w:val="32"/>
          <w:szCs w:val="32"/>
        </w:rPr>
        <w:t>6.7 宣教、培训和演练</w:t>
      </w:r>
    </w:p>
    <w:p w14:paraId="63A23E07">
      <w:pPr>
        <w:pStyle w:val="11"/>
        <w:spacing w:before="0" w:beforeAutospacing="0" w:after="0" w:afterAutospacing="0" w:line="520" w:lineRule="exact"/>
        <w:ind w:firstLine="632" w:firstLineChars="200"/>
        <w:jc w:val="both"/>
        <w:rPr>
          <w:rFonts w:ascii="黑体" w:hAnsi="黑体" w:eastAsia="黑体"/>
          <w:sz w:val="32"/>
          <w:szCs w:val="32"/>
        </w:rPr>
      </w:pPr>
      <w:r>
        <w:rPr>
          <w:rFonts w:hint="eastAsia" w:ascii="黑体" w:hAnsi="黑体" w:eastAsia="黑体"/>
          <w:sz w:val="32"/>
          <w:szCs w:val="32"/>
        </w:rPr>
        <w:t>7 附则</w:t>
      </w:r>
    </w:p>
    <w:p w14:paraId="37AE20D0">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7.1 预案管理</w:t>
      </w:r>
    </w:p>
    <w:p w14:paraId="07CB2931">
      <w:pPr>
        <w:pStyle w:val="11"/>
        <w:spacing w:before="0" w:beforeAutospacing="0" w:after="0" w:afterAutospacing="0" w:line="520" w:lineRule="exact"/>
        <w:ind w:firstLine="632" w:firstLineChars="200"/>
        <w:jc w:val="both"/>
        <w:rPr>
          <w:rFonts w:ascii="楷体_GB2312" w:hAnsi="仿宋" w:eastAsia="楷体_GB2312"/>
          <w:sz w:val="32"/>
          <w:szCs w:val="32"/>
        </w:rPr>
      </w:pPr>
      <w:r>
        <w:rPr>
          <w:rFonts w:hint="eastAsia" w:ascii="楷体_GB2312" w:hAnsi="仿宋" w:eastAsia="楷体_GB2312"/>
          <w:sz w:val="32"/>
          <w:szCs w:val="32"/>
        </w:rPr>
        <w:t>7.2 预案解释</w:t>
      </w:r>
    </w:p>
    <w:p w14:paraId="11897956">
      <w:pPr>
        <w:pStyle w:val="11"/>
        <w:spacing w:before="0" w:beforeAutospacing="0" w:after="0" w:afterAutospacing="0" w:line="520" w:lineRule="exact"/>
        <w:ind w:firstLine="632" w:firstLineChars="200"/>
        <w:jc w:val="both"/>
        <w:rPr>
          <w:rFonts w:ascii="仿宋" w:hAnsi="仿宋" w:eastAsia="仿宋"/>
          <w:sz w:val="32"/>
          <w:szCs w:val="32"/>
        </w:rPr>
      </w:pPr>
      <w:r>
        <w:rPr>
          <w:rFonts w:hint="eastAsia" w:ascii="楷体_GB2312" w:hAnsi="仿宋" w:eastAsia="楷体_GB2312"/>
          <w:sz w:val="32"/>
          <w:szCs w:val="32"/>
        </w:rPr>
        <w:t>7.3 预案实施时间</w:t>
      </w:r>
    </w:p>
    <w:p w14:paraId="1CDE269E">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ascii="仿宋" w:hAnsi="仿宋" w:eastAsia="仿宋"/>
          <w:sz w:val="32"/>
          <w:szCs w:val="32"/>
        </w:rPr>
        <w:br w:type="page"/>
      </w:r>
      <w:r>
        <w:rPr>
          <w:rFonts w:hint="eastAsia" w:ascii="黑体" w:hAnsi="黑体" w:eastAsia="黑体" w:cs="黑体"/>
          <w:sz w:val="32"/>
          <w:szCs w:val="32"/>
        </w:rPr>
        <w:t>1 总则</w:t>
      </w:r>
    </w:p>
    <w:p w14:paraId="1E9A9C25">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1.1 编制目的</w:t>
      </w:r>
    </w:p>
    <w:p w14:paraId="2CA36C10">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正确、高效、有序地处置大面积停电事件，建立健全大面积停电事件应对工作机制，提高应对效率，最大程度减少停电事件造成的损失和影响，维护高新区安全、社会稳定和人民群众生命财产安全。</w:t>
      </w:r>
    </w:p>
    <w:p w14:paraId="66DF3E65">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1.2 编制依据</w:t>
      </w:r>
    </w:p>
    <w:p w14:paraId="53530566">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突发事件应对法》、《中华人民共和国安全生产法》、《中华人民共和国电力法》、《生产安全事故报告和调查处理条例》、《电力安全事故应对和调查处理条例》、《电网调度管理条例》、《国家突发公共事件总体应急预案》、《国家大面积停电事件应急预案》、《烟台市突发事件总体应急预案》、《烟台市大面积停电事件应急预案》及相关法律、法规、预案等，制定本预案。</w:t>
      </w:r>
    </w:p>
    <w:p w14:paraId="205A26E6">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1.3 适用范围</w:t>
      </w:r>
    </w:p>
    <w:p w14:paraId="6843934C">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本预案适用于烟台高新区境内发生的大面积停电事件应对工作。</w:t>
      </w:r>
    </w:p>
    <w:p w14:paraId="612D16F5">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大面积停电事件是指由于自然灾害、电力安全事故和外力破坏等原因造成区域性电网、烟台电网或高新区电网大量减供负荷，对国家安全、社会稳定以及人民群众生产生活造成影响和威胁的停电事件。</w:t>
      </w:r>
    </w:p>
    <w:p w14:paraId="43FA01E7">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1.4 工作原则</w:t>
      </w:r>
    </w:p>
    <w:p w14:paraId="5E27C37B">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大面积停电事件应对工作坚持统一领导、综合协调，属地为主、分工负责，保障民生、维护安全，全社会共同参与的原则。大面积停电事件发生后，区管委及有关部门、重要电力用户应立即按照职责分工和相关预案开展处置工作。</w:t>
      </w:r>
    </w:p>
    <w:p w14:paraId="25A6FB75">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1.5 事件分级</w:t>
      </w:r>
    </w:p>
    <w:p w14:paraId="050133CE">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按照事件严重性和受影响程度，大面积停电事件分为特别重大、重大、较大和一般四级。分级标准见附件l。</w:t>
      </w:r>
    </w:p>
    <w:p w14:paraId="4D30CF36">
      <w:pPr>
        <w:pStyle w:val="11"/>
        <w:widowControl w:val="0"/>
        <w:spacing w:before="0" w:beforeAutospacing="0" w:after="0" w:afterAutospacing="0" w:line="560" w:lineRule="exact"/>
        <w:ind w:firstLine="632" w:firstLineChars="200"/>
        <w:jc w:val="both"/>
        <w:rPr>
          <w:rFonts w:ascii="黑体" w:hAnsi="黑体" w:eastAsia="黑体" w:cs="黑体"/>
          <w:sz w:val="32"/>
          <w:szCs w:val="32"/>
        </w:rPr>
      </w:pPr>
      <w:r>
        <w:rPr>
          <w:rFonts w:hint="eastAsia" w:ascii="黑体" w:hAnsi="黑体" w:eastAsia="黑体" w:cs="黑体"/>
          <w:sz w:val="32"/>
          <w:szCs w:val="32"/>
        </w:rPr>
        <w:t>2 组织体系</w:t>
      </w:r>
    </w:p>
    <w:p w14:paraId="645E9636">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2.1 区级组织指挥机构</w:t>
      </w:r>
    </w:p>
    <w:p w14:paraId="553B6A50">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管委成立处置电网大面积停电事件应急领导小组(以下简称区应急领导小组)，负责相关工作的指导协调和组织管理。区应急领导小组办公室设在区经济发展部，负责区应急领导小组日常工作。区应急领导小组组成及工作组职责见附件2。</w:t>
      </w:r>
    </w:p>
    <w:p w14:paraId="692F2481">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当发生重大、特别重大及较大大面积停电事件时，区应急领导小组在烟台市大面积停电应急领导小组（以下简称市应急领导小组）统一领导、组织和指挥下开展高新区行政区域内的应对工作。</w:t>
      </w:r>
    </w:p>
    <w:p w14:paraId="3B00A0F5">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当发生一般大面积停电事件时，由区应急小组负责指挥、协调全区或相关行政区域内的应对工作。超出高新区处置能力时，可按程序报请市政府批准，或根据市政府领导指示，由市应急领导小组或市政府授权烟台市发展和改革委员会成立的市大面积停电事件应急指挥部，统一领导、组织和指挥应对工作。</w:t>
      </w:r>
    </w:p>
    <w:p w14:paraId="1379744A">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2.2 现场指挥机构</w:t>
      </w:r>
    </w:p>
    <w:p w14:paraId="6509DC93">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负责大面积停电事件应对的政府根据需要成立现场指挥部，负责现场组织指挥工作。参与现场处置的有关单位和人员应服从现场指挥部的统一指挥。</w:t>
      </w:r>
    </w:p>
    <w:p w14:paraId="4A585B62">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2.3 重要电力用户</w:t>
      </w:r>
    </w:p>
    <w:p w14:paraId="1B87EEEB">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维护基本公共秩序、保障人身安全和避免重大经济损失具有重要意义的管委机关、医疗、交通、通信、广播电视、供水、供气、供热、加油(加气)、排水泵站、污水处理、工矿商贸等单位，应根据有关规定合理配置供电电源和自备应急电源，完善非电保安等各种保障措施，并定期检查维护，确保相关设施设备的可靠性和有效性。发生大面积停电事件时，负责本单位事故抢险和应急处置工作，根据情况，向政府有关部门请求支援。</w:t>
      </w:r>
    </w:p>
    <w:p w14:paraId="2B7C924F">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2.4 专家组</w:t>
      </w:r>
    </w:p>
    <w:p w14:paraId="1E23DC87">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各级组织指挥机构根据需要成立大面积停电事件应急专家组，成员由电力、气象、地质、地震、水文等领域相关专家组成，对大面积停电事件应对工作提供技术咨询和建议。</w:t>
      </w:r>
    </w:p>
    <w:p w14:paraId="5E4C3531">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2.5 上级派驻机构</w:t>
      </w:r>
    </w:p>
    <w:p w14:paraId="2B8C7731">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国家能源局山东监管办公室依据省、烟台市《大面积停电事件应急预案》，根据电力企业或地方政府的要求，协调有关方面为应对工作提供支援和技术支持，指导或视情况到现场指导地方政府事件应对、舆情应对，督促电力企业迅速开展电力抢修恢复等工作；通讯、气象、水文等其他中央省属驻鲁驻牟机构根据有关规定，提供工作指导、工作支援和技术支持，视情况参与地方政府组织指挥机构和现场指挥机构。</w:t>
      </w:r>
    </w:p>
    <w:p w14:paraId="797A06B2">
      <w:pPr>
        <w:pStyle w:val="11"/>
        <w:widowControl w:val="0"/>
        <w:spacing w:before="0" w:beforeAutospacing="0" w:after="0" w:afterAutospacing="0" w:line="560" w:lineRule="exact"/>
        <w:ind w:firstLine="632" w:firstLineChars="200"/>
        <w:jc w:val="both"/>
        <w:rPr>
          <w:rFonts w:ascii="黑体" w:hAnsi="黑体" w:eastAsia="黑体" w:cs="黑体"/>
          <w:sz w:val="32"/>
          <w:szCs w:val="32"/>
        </w:rPr>
      </w:pPr>
      <w:r>
        <w:rPr>
          <w:rFonts w:hint="eastAsia" w:ascii="黑体" w:hAnsi="黑体" w:eastAsia="黑体" w:cs="黑体"/>
          <w:sz w:val="32"/>
          <w:szCs w:val="32"/>
        </w:rPr>
        <w:t>3 预警和信息报告</w:t>
      </w:r>
    </w:p>
    <w:p w14:paraId="0812767D">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3.1 监测和风险分析</w:t>
      </w:r>
    </w:p>
    <w:p w14:paraId="43C5AB97">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协调相关电力企业加强对重要电力设施设备运行、发电燃料供应等情况的监测，建立与气象、水利、林业、地震、公安、交通运输、国土资源、通信、经信等部门的信息共享机制，及时分析各类情况对电力运行可能造成的影响，预估可能影响的范围和程度。</w:t>
      </w:r>
    </w:p>
    <w:p w14:paraId="012E4CC5">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3.2 预警</w:t>
      </w:r>
    </w:p>
    <w:p w14:paraId="4D9359E4">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3.2.1 预警信息发布</w:t>
      </w:r>
    </w:p>
    <w:p w14:paraId="098B384F">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协调相关电力企业研判可能造成大面积停电事件时，按事件分级和工作程序及时将有关情况报告区经济发展部，提出预警信息发布建议，并视情况通知重要电力用户。区经济发展部应及时组织研判，必要时报请本级管委批准后向社会公众发布预警，通报同级其他相关部门和单位。区经济发展部应根据事件分级，视情况报烟台市发展和改革委员会、国家能源局山东监管办公室。</w:t>
      </w:r>
    </w:p>
    <w:p w14:paraId="32ECF4D9">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当预判可能发生大面积停电事件后，相关电力企业应当在报告当地政府电力运行主管部门的同时，向国家能源局山东监管办公室报告。</w:t>
      </w:r>
    </w:p>
    <w:p w14:paraId="5D887081">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3.2.2 预警行动</w:t>
      </w:r>
    </w:p>
    <w:p w14:paraId="77D9C5F9">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预警信息发布后，相关电力企业要加强设备巡查检修和运行监测，采取有效措施控制事态发展，组织相关应急救援队伍和人员进入待命状态，动员后备人员做好参加应急救援和处置工作准备，并做好大面积停电事件应急所需物资、装备和设备等应急保障准备工作。重要电力用户做好自备应急电源启用准备和非电保安措施准备。区管委启动应急联动机制，组织有关部门和单位做好维持公共秩序、供水供气供热、通信、加油(气)、商品供应、交通物流、抢险救援等方面的应急准备; 加强相关舆情监测，主动回应社会公众关注的热点问题，及时澄清谣言传言，做好舆论引导工作。</w:t>
      </w:r>
    </w:p>
    <w:p w14:paraId="2BF2E5CD">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3.2.3 预警解除</w:t>
      </w:r>
    </w:p>
    <w:p w14:paraId="455E6506">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根据事态发展，经研判不会发生大面积停电事件时，按照“谁发布、谁解除”的原则，由发布单位解除预警，适时终止相关措施。</w:t>
      </w:r>
    </w:p>
    <w:p w14:paraId="27B82203">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3.3 信息报告</w:t>
      </w:r>
    </w:p>
    <w:p w14:paraId="17A49364">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大面积停电事件发生后，国网山东省电力公司烟台供电公司莱山客户服务分中心应立即将停电范围、停电负荷、影响用户数、发展趋势等有关情况向高新区经济发展部通报。</w:t>
      </w:r>
    </w:p>
    <w:p w14:paraId="13D6A745">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经济发展部接到大面积停电事件信息报告或者监测到相关信息后，应当立即进行核实，对大面积停电事件的性质和类别作出初步认定，按照国家规定的时限、程序和要求向上一级政府经信、能源管理等部门和本级政府报告，并通报同级其他相关部门、单位和中央省属派驻机构。</w:t>
      </w:r>
    </w:p>
    <w:p w14:paraId="5C4B2FBC">
      <w:pPr>
        <w:pStyle w:val="11"/>
        <w:widowControl w:val="0"/>
        <w:spacing w:before="0" w:beforeAutospacing="0" w:after="0" w:afterAutospacing="0" w:line="560" w:lineRule="exact"/>
        <w:ind w:firstLine="632" w:firstLineChars="200"/>
        <w:jc w:val="both"/>
        <w:rPr>
          <w:rFonts w:ascii="黑体" w:hAnsi="黑体" w:eastAsia="黑体" w:cs="黑体"/>
          <w:sz w:val="32"/>
          <w:szCs w:val="32"/>
        </w:rPr>
      </w:pPr>
      <w:r>
        <w:rPr>
          <w:rFonts w:hint="eastAsia" w:ascii="黑体" w:hAnsi="黑体" w:eastAsia="黑体" w:cs="黑体"/>
          <w:sz w:val="32"/>
          <w:szCs w:val="32"/>
        </w:rPr>
        <w:t>4 应急响应</w:t>
      </w:r>
    </w:p>
    <w:p w14:paraId="698281FE">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4.1 响应分级</w:t>
      </w:r>
    </w:p>
    <w:p w14:paraId="509D8DDB">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根据大面积停电事件的影响范围、严重程度和发展态势，将应急响应设定为Ⅰ级、Ⅱ级、Ⅲ级和Ⅳ级四个等级。</w:t>
      </w:r>
    </w:p>
    <w:p w14:paraId="2DF34C45">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4.1.1 Ⅰ级、Ⅱ级、Ⅲ级应急响应</w:t>
      </w:r>
    </w:p>
    <w:p w14:paraId="776327CC">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初判发生特别重大、重大大面积停电事件，由市应急领导小组决定启动Ⅰ级、Ⅱ级、Ⅲ级应急响应，并由市应急领导小组负责指挥应对工作。区应急领导小组配合市应急领导小组开展工作。</w:t>
      </w:r>
    </w:p>
    <w:p w14:paraId="47A4E0EE">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4.1.2 Ⅳ级应急响应</w:t>
      </w:r>
    </w:p>
    <w:p w14:paraId="46848319">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初判发生一般大面积停电事件，由区管委决定启动Ⅳ级应急响应，区应急领导小组立即组织召开小组成员和专家组会议，进行分析研判，开展协调应对工作，对事件影响及发展趋势进行综合评估，就有关重大问题做出决策和部署；向各有关单位发布启动相关应急程序的命令，立即派出工作组或成立现场指挥部，赶赴现场开展应急处置工作；将有关情况报告区应急领导小组。必要时，区应急领导小组可派出工作组，统一领导、组织、指挥应对工作。</w:t>
      </w:r>
    </w:p>
    <w:p w14:paraId="4862E338">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4.1.3 对于未达到大面积停电事件标准，但造成或可能造成重大社会影响的，由事发地管委视情况决定启动应急响应。</w:t>
      </w:r>
    </w:p>
    <w:p w14:paraId="6FDBC1B8">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4.1.4 应急响应启动后，可视事件造成损失情况及发展趋势调整响应级别，避免响应不足或响应过度。</w:t>
      </w:r>
    </w:p>
    <w:p w14:paraId="7B333C97">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4.2 响应措施</w:t>
      </w:r>
    </w:p>
    <w:p w14:paraId="2183299E">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大面积停电事件发生后，相关电力企业和重要电力用户要立即实施先期处置，全力控制事件发展态势，减少损失和影响。区管委、有关部门和单位根据工作需要，启动相应的工作机制，组织采取以下措施：</w:t>
      </w:r>
    </w:p>
    <w:p w14:paraId="58B745D9">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4.2.1 抢修电网并恢复运行</w:t>
      </w:r>
    </w:p>
    <w:p w14:paraId="751C56EE">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电网企业合理安排运行方式，控制停电范围；尽快恢复重要输变电设备、电力主干网架运行；在条件具备时，优先恢复重要电力用户、重要城区和重点地区的电力供应。迅速组织力量抢修受损电网设备设施，根据应急指挥机构的要求向重要电力用户及重要设施、场所提供必要的电力支援。</w:t>
      </w:r>
    </w:p>
    <w:p w14:paraId="1C018E46">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发电企业保证设备安全，抢修受损设备，做好发电机组并网运行准备，按照电力调度指令恢复运行。</w:t>
      </w:r>
    </w:p>
    <w:p w14:paraId="5F17CDA6">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4.2.2 防范次生衍生事故</w:t>
      </w:r>
    </w:p>
    <w:p w14:paraId="78F3673D">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停电后易造成重大影响和生命财产损失的核设施、金融机构、医院、交通枢纽、通信、广播电视、公用事业单位、城区轨道交通设施及非煤矿山、危险化学品、冶炼企业等重要电力用户，按照有关技术要求迅速启动自备应急电源或采取非电保安措施，及时启动相应停电事件应急响应，避免造成更大影响和损失。各类人员聚集场所停电后要迅速启用应急照明，组织人员有秩序地疏散，确保人身安全。消防、武警部门做好应急救援准备工作，及时处置各类火灾、爆炸事件，解救被困人员。在供电恢复过程中，各重要电力用户严格按照调度计划分时分步恢复用电。加强重大危险源、重要目标、重大关键基础设施隐患排查与监测预警，及时采取防范措施，及时扑灭各类火灾，解救被困人员，防止发生次生衍生事故。</w:t>
      </w:r>
    </w:p>
    <w:p w14:paraId="14314C47">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4.2.3 保障居民基本生活</w:t>
      </w:r>
    </w:p>
    <w:p w14:paraId="31067C67">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城区管理部门、相关企业启用应急供水措施，保障居民基本用水需求;采用多种方式，保障燃气供应和采暖期内居民生活用热。经济和信息化、交通运输等部门组织生活必需品的应急生产、调配和运输，保障停电期间居民基本生活。卫生健康部门准备好抢救、治疗病人的应急队伍、车辆、药品和物资，保证病人能得到及时、有效治疗。</w:t>
      </w:r>
    </w:p>
    <w:p w14:paraId="71429AD7">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4.2.4 维护社会稳定</w:t>
      </w:r>
    </w:p>
    <w:p w14:paraId="33775C20">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公安部门加强涉及国家安全和公共安全的重点单位安全保卫工作，严密防范和严厉打击违法犯罪活动；加强对停电区域内繁华街区、大型居民区、大型商场、学校、医院、金融、城区轨道交通设施及其他重要生产经营场所等重点地区、重点部位、人员密集场所的治安巡逻，及时疏散人员，解救被困人员，确保人身安全，防范治安事件。要积极组织力量，严厉打击造谣惑众、囤积居奇、哄抬物价等各种违法行为。</w:t>
      </w:r>
    </w:p>
    <w:p w14:paraId="6F89A9B6">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4.2.5 交警五大队加强停电地区道路交通指挥和疏导，维护道路交通秩序，优先保障应急救援车辆通行。</w:t>
      </w:r>
    </w:p>
    <w:p w14:paraId="3FECBE35">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4.2.6 加强信息发布</w:t>
      </w:r>
    </w:p>
    <w:p w14:paraId="4F6D434B">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综合管理部按照及时准确、公开透明、客观统一的原则，加强信息发布和舆论引导，通过多种媒体渠道，主动向社会发布停电相关信息和应对工作情况，提示相关注意事项和安保措施。加强舆情收集分析，及时回应社会关切，澄清不实信息，正确引导社会舆论，稳定公众情绪。</w:t>
      </w:r>
    </w:p>
    <w:p w14:paraId="7065E0C2">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4.2.7 组织事态评估</w:t>
      </w:r>
    </w:p>
    <w:p w14:paraId="31145997">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应急指挥机构及时组织对大面积停电事件影响范围、影响程度、发展趋势及恢复进度进行评估，为进一步做好应对工作提供依据。</w:t>
      </w:r>
    </w:p>
    <w:p w14:paraId="20E04D93">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4.3 响应终止</w:t>
      </w:r>
    </w:p>
    <w:p w14:paraId="5A1F01A6">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同时满足以下条件时，由启动预案应急响应的应急指挥机构终止应急响应：</w:t>
      </w:r>
    </w:p>
    <w:p w14:paraId="651A0DBB">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 电网主干网架基本恢复正常，电网运行参数保持在稳定限额之内，主要发电厂机组运行稳定；</w:t>
      </w:r>
    </w:p>
    <w:p w14:paraId="21CB73BF">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 减供负荷恢复80%以上，受停电影响的重点地区负荷恢复90%以上。</w:t>
      </w:r>
    </w:p>
    <w:p w14:paraId="4975E9A9">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 造成大面积停电事件的隐患基本消除；</w:t>
      </w:r>
    </w:p>
    <w:p w14:paraId="621B1A72">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 大面积停电事件造成的重特大次生衍生事故基本处置完成。</w:t>
      </w:r>
    </w:p>
    <w:p w14:paraId="34DB2C18">
      <w:pPr>
        <w:pStyle w:val="11"/>
        <w:widowControl w:val="0"/>
        <w:spacing w:before="0" w:beforeAutospacing="0" w:after="0" w:afterAutospacing="0" w:line="560" w:lineRule="exact"/>
        <w:ind w:firstLine="632" w:firstLineChars="200"/>
        <w:jc w:val="both"/>
        <w:rPr>
          <w:rFonts w:ascii="黑体" w:hAnsi="黑体" w:eastAsia="黑体" w:cs="黑体"/>
          <w:sz w:val="32"/>
          <w:szCs w:val="32"/>
        </w:rPr>
      </w:pPr>
      <w:r>
        <w:rPr>
          <w:rFonts w:hint="eastAsia" w:ascii="黑体" w:hAnsi="黑体" w:eastAsia="黑体" w:cs="黑体"/>
          <w:sz w:val="32"/>
          <w:szCs w:val="32"/>
        </w:rPr>
        <w:t>5 后期处置</w:t>
      </w:r>
    </w:p>
    <w:p w14:paraId="212A597B">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5.1 处置评估</w:t>
      </w:r>
    </w:p>
    <w:p w14:paraId="47C8B41A">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大面积停电事件应急响应终止后，区管委及时组织对事件处置过程进行评估，总结经验教训，分析查找问题，提出改进措施，形成处置评估报告。评估报告一般包括事件发生原因和经过、事件造成的直接损失和影响、事件处置过程、经验教训以及改进建议等。鼓励开展第三方评估。</w:t>
      </w:r>
    </w:p>
    <w:p w14:paraId="013219E5">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5.2 事件调查</w:t>
      </w:r>
    </w:p>
    <w:p w14:paraId="589A35F0">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大面积停电事件发生之后，应急领导小组应根据有关规定成立调查组进行事件调查。区管委、有关部门和单位要认真配合调查组的工作，客观、公正、准确地查明事件原因、性质、影响范围、经济损失等情况，提出防范、整改措施和处理建议。</w:t>
      </w:r>
    </w:p>
    <w:p w14:paraId="34EDAA82">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5.3 善后处置</w:t>
      </w:r>
    </w:p>
    <w:p w14:paraId="53C4FB74">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区管委应及时组织制订善后工作方案并组织实施。保险机构要及时开展相关理赔工作，尽快消除大面积停电事件的影响。</w:t>
      </w:r>
    </w:p>
    <w:p w14:paraId="763C2047">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5.4 恢复重建</w:t>
      </w:r>
    </w:p>
    <w:p w14:paraId="7A716E80">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大面积停电事件应急响应终止后，需对电网网架结构和设备设施进行修复或重建的，由区管委或授权发展改革部门根据实际工作需要组织编制恢复重建规划。相关电力企业和区管委应当根据规划做好本行政区域电力系统恢复重建工作。</w:t>
      </w:r>
    </w:p>
    <w:p w14:paraId="06E89F5F">
      <w:pPr>
        <w:pStyle w:val="11"/>
        <w:widowControl w:val="0"/>
        <w:spacing w:before="0" w:beforeAutospacing="0" w:after="0" w:afterAutospacing="0" w:line="560" w:lineRule="exact"/>
        <w:ind w:firstLine="632" w:firstLineChars="200"/>
        <w:jc w:val="both"/>
        <w:rPr>
          <w:rFonts w:ascii="黑体" w:hAnsi="黑体" w:eastAsia="黑体" w:cs="黑体"/>
          <w:sz w:val="32"/>
          <w:szCs w:val="32"/>
        </w:rPr>
      </w:pPr>
      <w:r>
        <w:rPr>
          <w:rFonts w:hint="eastAsia" w:ascii="黑体" w:hAnsi="黑体" w:eastAsia="黑体" w:cs="黑体"/>
          <w:sz w:val="32"/>
          <w:szCs w:val="32"/>
        </w:rPr>
        <w:t>6 保障措施</w:t>
      </w:r>
    </w:p>
    <w:p w14:paraId="170D0331">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6.1 应急队伍保障</w:t>
      </w:r>
    </w:p>
    <w:p w14:paraId="67187D77">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电力企业应建立健全电力抢修应急专业队伍，加强设备维护和应急抢修技能方面的人员培训，定期开展应急演练， 提高应急救援能力。区管委要根据需要组织动员通信、交通、供水、供气、供热等其他专业应急队伍和志愿者等参与大面积停电事件及其次生衍生灾害处置工作。</w:t>
      </w:r>
    </w:p>
    <w:p w14:paraId="23D04A0B">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6.2 物资装备保障</w:t>
      </w:r>
    </w:p>
    <w:p w14:paraId="05248BF6">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电力企业应储备必要的专业应急装备及物资，建立和完善相应保障体系。区管委有关部门要加强应急救援装备物资及生产生活物资的紧急生产、储备调拨和紧急配送工作，保障支援大面积停电事件应对工作需要。鼓励支持社会化储备。</w:t>
      </w:r>
    </w:p>
    <w:p w14:paraId="6277062F">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6.3 通信、交通与运输保障</w:t>
      </w:r>
    </w:p>
    <w:p w14:paraId="028BAD37">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管委及经信等部门、通信运营商要建立健全大面积停电事件应急通信保障体系，形成可靠的通信保障能力，确保应急期间通信联络和信息传递需要。交通运输部门要健全紧急运输保障体系，保障应急响应所需人员、物资、装备、器材等的运输；交警部门要加强交通应急管理，保障应急救援车辆优先通行；有关单位应配备必要的应急车辆，保障应急救援需要。</w:t>
      </w:r>
    </w:p>
    <w:p w14:paraId="64BD278C">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6.4 技术保障</w:t>
      </w:r>
    </w:p>
    <w:p w14:paraId="5C2DA0A9">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气象、国土资源、地震、水务、林业等部门应为电力日常监测预警及电力应急抢险提供必要的气象、地质、地震、水文、森林防火等服务。</w:t>
      </w:r>
    </w:p>
    <w:p w14:paraId="6C93BA0F">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6.5 应急电源保障</w:t>
      </w:r>
    </w:p>
    <w:p w14:paraId="53BDD1E6">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提高电力系统快速恢复能力，区管委有关部门和电力企业应充分考虑电源、电网规划布局，适度提高重要输电通道抗灾设防标准，加强电网“黑启动”能力建设。电力企业应配备适量的应急发电装备，必要时提供应急电源支援。重要电力用户应按照国家有关技术要求配置应急电源，制定突发停电事件应急预案和非电保安措施，并加强设备维护和管理，确保应急状态下能够投入运行。</w:t>
      </w:r>
    </w:p>
    <w:p w14:paraId="740C63CB">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6.6 资金保障</w:t>
      </w:r>
    </w:p>
    <w:p w14:paraId="404F0566">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区经济发展部、区财政金融部等有关部门，对大面积停电事件处置和恢复重建工作提供必要的资金保障。税务管理部门应按照有关规定，对大面积停电事件应对处置和恢复重建工作给予税收减免政策支持。</w:t>
      </w:r>
    </w:p>
    <w:p w14:paraId="5666C89B">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6.7 宣教、培训和演练</w:t>
      </w:r>
    </w:p>
    <w:p w14:paraId="487D5D6C">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6.7.1 宣传教育</w:t>
      </w:r>
    </w:p>
    <w:p w14:paraId="0937BF06">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经济发展部、重要电力用户等单位要充分利用各种媒体，加大对大面积停电事件应急知识的宣传教育工作，不断提高公众的应急意识和自救互救能力；加大保护电力设施和打击破坏电力设施的宣传力度，增强公众保护电力设施的意识。</w:t>
      </w:r>
    </w:p>
    <w:p w14:paraId="4F3D6D1E">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6.7.2 培训</w:t>
      </w:r>
    </w:p>
    <w:p w14:paraId="1AF30128">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区级应急指挥机构成员单位、重要电力用户应定期组织大面积停电应急业务培训。重要电力用户还应加强大面积停电应急处置和救援技能培训，开展技术交流和研讨，提高应急救援业务知识水平。</w:t>
      </w:r>
    </w:p>
    <w:p w14:paraId="66DACBFC">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6.7.3 演练</w:t>
      </w:r>
    </w:p>
    <w:p w14:paraId="6D24D3F3">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级应急指挥机构应根据实际情况，至少每三年组织开展一次大面积停电事件应急联合演练，建立完善政府有关应急联动部门单位、重要电力用户以及社会公众之间的应急协同联动机制，提高应急处置能力。各重要电力用户应根据生产实际，至少每年组织开展一次本单位的应急演练。</w:t>
      </w:r>
    </w:p>
    <w:p w14:paraId="48C86382">
      <w:pPr>
        <w:pStyle w:val="11"/>
        <w:widowControl w:val="0"/>
        <w:spacing w:before="0" w:beforeAutospacing="0" w:after="0" w:afterAutospacing="0" w:line="560" w:lineRule="exact"/>
        <w:ind w:firstLine="632" w:firstLineChars="200"/>
        <w:jc w:val="both"/>
        <w:rPr>
          <w:rFonts w:ascii="黑体" w:hAnsi="黑体" w:eastAsia="黑体" w:cs="黑体"/>
          <w:sz w:val="32"/>
          <w:szCs w:val="32"/>
        </w:rPr>
      </w:pPr>
      <w:r>
        <w:rPr>
          <w:rFonts w:hint="eastAsia" w:ascii="黑体" w:hAnsi="黑体" w:eastAsia="黑体" w:cs="黑体"/>
          <w:sz w:val="32"/>
          <w:szCs w:val="32"/>
        </w:rPr>
        <w:t>7 附则</w:t>
      </w:r>
    </w:p>
    <w:p w14:paraId="51231BD6">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7.1 预案管理</w:t>
      </w:r>
    </w:p>
    <w:p w14:paraId="063D89E1">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本预案发布后，区经济发展部适时组织评估和修订。</w:t>
      </w:r>
    </w:p>
    <w:p w14:paraId="5DF4B4AA">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区管委及应急组织指挥机构成员单位要结合实际制定(或修订)大面积停电事件应急处置预案(或支撑预案)，重要电力用户应制定突发停电事件应急预案，并按照应急预案管理要求进行备案。</w:t>
      </w:r>
    </w:p>
    <w:p w14:paraId="2281E07D">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7.2 预案解释</w:t>
      </w:r>
    </w:p>
    <w:p w14:paraId="2336A04A">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本预案由区经济发展部负责解释。</w:t>
      </w:r>
    </w:p>
    <w:p w14:paraId="23FC57E9">
      <w:pPr>
        <w:pStyle w:val="11"/>
        <w:widowControl w:val="0"/>
        <w:spacing w:before="0" w:beforeAutospacing="0" w:after="0" w:afterAutospacing="0" w:line="560" w:lineRule="exact"/>
        <w:ind w:firstLine="632"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7.3 预案实施时间</w:t>
      </w:r>
    </w:p>
    <w:p w14:paraId="74DEA6AE">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本预案自印发之日起实施。</w:t>
      </w:r>
    </w:p>
    <w:p w14:paraId="5883FA17">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p>
    <w:p w14:paraId="04CE75DD">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p>
    <w:p w14:paraId="2086CAE5">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附件：1.高新区大面积停电事件分级标准</w:t>
      </w:r>
    </w:p>
    <w:p w14:paraId="3CCB2310">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2.高新区大面积停电事件应急领导小组组成及职责</w:t>
      </w:r>
    </w:p>
    <w:p w14:paraId="5ACE8289">
      <w:pPr>
        <w:pStyle w:val="11"/>
        <w:widowControl w:val="0"/>
        <w:spacing w:before="0" w:beforeAutospacing="0" w:after="0" w:afterAutospacing="0" w:line="560" w:lineRule="exact"/>
        <w:ind w:firstLine="632" w:firstLineChars="200"/>
        <w:jc w:val="both"/>
        <w:rPr>
          <w:rFonts w:ascii="仿宋" w:hAnsi="仿宋" w:eastAsia="仿宋"/>
          <w:sz w:val="32"/>
          <w:szCs w:val="32"/>
        </w:rPr>
      </w:pPr>
      <w:r>
        <w:rPr>
          <w:rFonts w:hint="eastAsia" w:ascii="仿宋_GB2312" w:hAnsi="仿宋_GB2312" w:eastAsia="仿宋_GB2312" w:cs="仿宋_GB2312"/>
          <w:sz w:val="32"/>
          <w:szCs w:val="32"/>
        </w:rPr>
        <w:t>3.高新区大面积停电突发事件应急处置流程图</w:t>
      </w:r>
      <w:r>
        <w:rPr>
          <w:rFonts w:hint="eastAsia" w:ascii="仿宋_GB2312" w:hAnsi="仿宋_GB2312" w:eastAsia="仿宋_GB2312" w:cs="仿宋_GB2312"/>
          <w:sz w:val="32"/>
          <w:szCs w:val="32"/>
        </w:rPr>
        <w:br w:type="page"/>
      </w:r>
      <w:r>
        <w:rPr>
          <w:rFonts w:hint="eastAsia" w:ascii="黑体" w:hAnsi="黑体" w:eastAsia="黑体"/>
          <w:sz w:val="32"/>
          <w:szCs w:val="32"/>
        </w:rPr>
        <w:t>附件</w:t>
      </w:r>
      <w:r>
        <w:rPr>
          <w:rFonts w:ascii="黑体" w:hAnsi="黑体" w:eastAsia="黑体"/>
          <w:sz w:val="32"/>
          <w:szCs w:val="32"/>
        </w:rPr>
        <w:t>1</w:t>
      </w:r>
    </w:p>
    <w:p w14:paraId="379F8981">
      <w:pPr>
        <w:pStyle w:val="11"/>
        <w:widowControl w:val="0"/>
        <w:spacing w:before="0" w:beforeAutospacing="0" w:after="0" w:afterAutospacing="0"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高新区大面积停电事件分级标准</w:t>
      </w:r>
    </w:p>
    <w:p w14:paraId="5FBBAF3B">
      <w:pPr>
        <w:pStyle w:val="11"/>
        <w:widowControl w:val="0"/>
        <w:spacing w:before="0" w:beforeAutospacing="0" w:after="0" w:afterAutospacing="0" w:line="560" w:lineRule="exact"/>
        <w:ind w:firstLine="872" w:firstLineChars="200"/>
        <w:jc w:val="both"/>
        <w:rPr>
          <w:rFonts w:ascii="方正小标宋简体" w:hAnsi="仿宋" w:eastAsia="方正小标宋简体"/>
          <w:sz w:val="44"/>
          <w:szCs w:val="44"/>
        </w:rPr>
      </w:pPr>
    </w:p>
    <w:p w14:paraId="45B386ED">
      <w:pPr>
        <w:pStyle w:val="11"/>
        <w:widowControl w:val="0"/>
        <w:spacing w:before="0" w:beforeAutospacing="0" w:after="0" w:afterAutospacing="0" w:line="560" w:lineRule="exact"/>
        <w:ind w:firstLine="632" w:firstLineChars="200"/>
        <w:jc w:val="both"/>
        <w:rPr>
          <w:rFonts w:ascii="仿宋_GB2312" w:hAnsi="仿宋"/>
          <w:sz w:val="32"/>
          <w:szCs w:val="32"/>
        </w:rPr>
      </w:pPr>
      <w:r>
        <w:rPr>
          <w:rFonts w:hint="eastAsia" w:ascii="仿宋_GB2312" w:hAnsi="仿宋_GB2312" w:eastAsia="仿宋_GB2312" w:cs="仿宋_GB2312"/>
          <w:sz w:val="32"/>
          <w:szCs w:val="32"/>
        </w:rPr>
        <w:t>根据电网大面积停电造成的危害程度、影响范围等因素，参考《电力安全事故应急处置和调查处理条例》中的电力安全事故等级划分标准,将大面积停电事件分为：特别重大、重大、较大、一般四级。</w:t>
      </w:r>
    </w:p>
    <w:p w14:paraId="2CCC39BF">
      <w:pPr>
        <w:pStyle w:val="11"/>
        <w:widowControl w:val="0"/>
        <w:spacing w:before="0" w:beforeAutospacing="0" w:after="0" w:afterAutospacing="0" w:line="560" w:lineRule="exact"/>
        <w:ind w:firstLine="632" w:firstLineChars="200"/>
        <w:jc w:val="both"/>
        <w:rPr>
          <w:rFonts w:ascii="黑体" w:hAnsi="黑体" w:eastAsia="黑体"/>
          <w:sz w:val="32"/>
          <w:szCs w:val="32"/>
        </w:rPr>
      </w:pPr>
      <w:r>
        <w:rPr>
          <w:rFonts w:hint="eastAsia" w:ascii="黑体" w:hAnsi="黑体" w:eastAsia="黑体"/>
          <w:sz w:val="32"/>
          <w:szCs w:val="32"/>
        </w:rPr>
        <w:t>一、特别重大大面积停电事件</w:t>
      </w:r>
    </w:p>
    <w:p w14:paraId="28D41C69">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符合下列情形之一的，为特别重大大面积停电事件：</w:t>
      </w:r>
    </w:p>
    <w:p w14:paraId="3DC1DCD8">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1.造成区域性电网大面积停电，减供负荷达到30%以上，对烟台电网造成特别严重影响的；</w:t>
      </w:r>
    </w:p>
    <w:p w14:paraId="7A0982CB">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2.造成烟台电网大面积停电，减供负荷达到30%以上的。</w:t>
      </w:r>
    </w:p>
    <w:p w14:paraId="0145D8D7">
      <w:pPr>
        <w:pStyle w:val="11"/>
        <w:widowControl w:val="0"/>
        <w:spacing w:before="0" w:beforeAutospacing="0" w:after="0" w:afterAutospacing="0" w:line="560" w:lineRule="exact"/>
        <w:ind w:firstLine="632" w:firstLineChars="200"/>
        <w:jc w:val="both"/>
        <w:rPr>
          <w:rFonts w:ascii="黑体" w:hAnsi="黑体" w:eastAsia="黑体"/>
          <w:sz w:val="32"/>
          <w:szCs w:val="32"/>
        </w:rPr>
      </w:pPr>
      <w:bookmarkStart w:id="211" w:name="_Toc353783726"/>
      <w:bookmarkEnd w:id="211"/>
      <w:r>
        <w:rPr>
          <w:rFonts w:hint="eastAsia" w:ascii="黑体" w:hAnsi="黑体" w:eastAsia="黑体"/>
          <w:sz w:val="32"/>
          <w:szCs w:val="32"/>
        </w:rPr>
        <w:t>二、重大大面积停电事件</w:t>
      </w:r>
    </w:p>
    <w:p w14:paraId="12B96F60">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符合下列情形之一的，为重大大面积停电事件：</w:t>
      </w:r>
    </w:p>
    <w:p w14:paraId="1776AE92">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bookmarkStart w:id="212" w:name="_Toc293839501"/>
      <w:bookmarkEnd w:id="212"/>
      <w:bookmarkStart w:id="213" w:name="_Toc293839562"/>
      <w:bookmarkEnd w:id="213"/>
      <w:bookmarkStart w:id="214" w:name="_Toc293839628"/>
      <w:bookmarkEnd w:id="214"/>
      <w:r>
        <w:rPr>
          <w:rFonts w:hint="eastAsia" w:ascii="仿宋_GB2312" w:hAnsi="仿宋_GB2312" w:eastAsia="仿宋_GB2312" w:cs="仿宋_GB2312"/>
          <w:sz w:val="32"/>
          <w:szCs w:val="32"/>
        </w:rPr>
        <w:t>1.造成区域性电网大面积停电，减供负荷达到10%以上30%以下，对烟台电网造成严重影响的；</w:t>
      </w:r>
    </w:p>
    <w:p w14:paraId="1BCDA31E">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2.造成烟台电网大面积停电，减供负荷达到13%以上30%以下的；</w:t>
      </w:r>
    </w:p>
    <w:p w14:paraId="38671769">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3.造成区域电网大面积停电，减供负荷60%以上，或70%以上供电用户停电。</w:t>
      </w:r>
    </w:p>
    <w:p w14:paraId="1808644F">
      <w:pPr>
        <w:pStyle w:val="11"/>
        <w:widowControl w:val="0"/>
        <w:spacing w:before="0" w:beforeAutospacing="0" w:after="0" w:afterAutospacing="0" w:line="560" w:lineRule="exact"/>
        <w:ind w:firstLine="632" w:firstLineChars="200"/>
        <w:jc w:val="both"/>
        <w:rPr>
          <w:rFonts w:ascii="黑体" w:hAnsi="黑体" w:eastAsia="黑体"/>
          <w:sz w:val="32"/>
          <w:szCs w:val="32"/>
        </w:rPr>
      </w:pPr>
      <w:bookmarkStart w:id="215" w:name="_Toc353783727"/>
      <w:bookmarkEnd w:id="215"/>
      <w:r>
        <w:rPr>
          <w:rFonts w:hint="eastAsia" w:ascii="黑体" w:hAnsi="黑体" w:eastAsia="黑体"/>
          <w:sz w:val="32"/>
          <w:szCs w:val="32"/>
        </w:rPr>
        <w:t>三、较大大面积停电事件</w:t>
      </w:r>
    </w:p>
    <w:p w14:paraId="31238450">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符合下列情形之一的，为较大大面积停电事件：</w:t>
      </w:r>
    </w:p>
    <w:p w14:paraId="21D5DA75">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1.造成区域性电网大面积停电，减供负荷达到7%以上10%以下，对烟台电网造成较重影响的；</w:t>
      </w:r>
    </w:p>
    <w:p w14:paraId="6C2F99AD">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2.造成烟台电网大面积停电，减供负荷10%以上13%以下的，对高新区电网造成较重影响的；</w:t>
      </w:r>
    </w:p>
    <w:p w14:paraId="34726067">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3.造成区域电网大面积停电，减供负荷40%以上60%以下，或50%以上70%以下供电用户停电；</w:t>
      </w:r>
    </w:p>
    <w:p w14:paraId="130D20FF">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4.造成区电网大面积停电，减供负荷60%以上，或70%以上供电用户停电。</w:t>
      </w:r>
    </w:p>
    <w:p w14:paraId="2E80A525">
      <w:pPr>
        <w:pStyle w:val="11"/>
        <w:widowControl w:val="0"/>
        <w:spacing w:before="0" w:beforeAutospacing="0" w:after="0" w:afterAutospacing="0" w:line="560" w:lineRule="exact"/>
        <w:ind w:firstLine="632" w:firstLineChars="200"/>
        <w:jc w:val="both"/>
        <w:rPr>
          <w:rFonts w:ascii="黑体" w:hAnsi="黑体" w:eastAsia="黑体"/>
          <w:sz w:val="32"/>
          <w:szCs w:val="32"/>
        </w:rPr>
      </w:pPr>
      <w:bookmarkStart w:id="216" w:name="_Toc293839630"/>
      <w:bookmarkEnd w:id="216"/>
      <w:bookmarkStart w:id="217" w:name="_Toc298425888"/>
      <w:bookmarkEnd w:id="217"/>
      <w:bookmarkStart w:id="218" w:name="_Toc353783728"/>
      <w:bookmarkEnd w:id="218"/>
      <w:bookmarkStart w:id="219" w:name="_Toc293839564"/>
      <w:bookmarkEnd w:id="219"/>
      <w:bookmarkStart w:id="220" w:name="_Toc293839503"/>
      <w:bookmarkEnd w:id="220"/>
      <w:r>
        <w:rPr>
          <w:rFonts w:hint="eastAsia" w:ascii="黑体" w:hAnsi="黑体" w:eastAsia="黑体"/>
          <w:sz w:val="32"/>
          <w:szCs w:val="32"/>
        </w:rPr>
        <w:t>四、一般大面积停电事件</w:t>
      </w:r>
    </w:p>
    <w:p w14:paraId="55337B1F">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符合下列情形之一的，为一般大面积停电事件：</w:t>
      </w:r>
    </w:p>
    <w:p w14:paraId="50FF804F">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1.造成区域性电网大面积停电，减供负荷达到4%以上7%以下，对烟台电网造成一般影响的；</w:t>
      </w:r>
    </w:p>
    <w:p w14:paraId="221D2FAA">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2.造成烟台电网大面积停电，减供负荷5%以上10%以下的，对高新区电网造成一般影响的；</w:t>
      </w:r>
    </w:p>
    <w:p w14:paraId="1D10160B">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3.造成区域电网大面积停电，减供负荷达到20%以上40%以下，或30%以上50%以下供电用户停电；</w:t>
      </w:r>
    </w:p>
    <w:p w14:paraId="091DE887">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4.造成区电网大面积停电，减供负荷40%以上60%以下，或50%以上70%以下供电用户停电。</w:t>
      </w:r>
    </w:p>
    <w:p w14:paraId="16928B2F">
      <w:pPr>
        <w:pStyle w:val="11"/>
        <w:widowControl w:val="0"/>
        <w:spacing w:before="0" w:beforeAutospacing="0" w:after="0" w:afterAutospacing="0" w:line="560" w:lineRule="exact"/>
        <w:ind w:firstLine="632" w:firstLineChars="200"/>
        <w:jc w:val="both"/>
        <w:rPr>
          <w:rFonts w:ascii="黑体" w:hAnsi="黑体" w:eastAsia="黑体"/>
          <w:sz w:val="32"/>
          <w:szCs w:val="32"/>
        </w:rPr>
      </w:pPr>
      <w:r>
        <w:rPr>
          <w:rFonts w:hint="eastAsia" w:ascii="黑体" w:hAnsi="黑体" w:eastAsia="黑体"/>
          <w:sz w:val="32"/>
          <w:szCs w:val="32"/>
        </w:rPr>
        <w:t>五、其它</w:t>
      </w:r>
    </w:p>
    <w:p w14:paraId="23FFF1BE">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发生以下可能造成重大社会影响的停电事件，参照一般电网大面积停电事件处置。</w:t>
      </w:r>
    </w:p>
    <w:p w14:paraId="512EE07D">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1.因安全故障造成城区电网减供负荷比例、城区供电用户停电比例超过《电力安全事故应急处置和调查处理条例》规定的一般事故比例标准的60%以上。</w:t>
      </w:r>
    </w:p>
    <w:p w14:paraId="060D58AE">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2.发生五级电网事件，电网减供负荷100兆瓦以上，或造成特级或一级重要用户外部供电电源全部中断。</w:t>
      </w:r>
    </w:p>
    <w:p w14:paraId="17FD9BA1">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3.对于尚未达到以上停电事件标准，但对社会产生较大影响的其他停电事件。</w:t>
      </w:r>
    </w:p>
    <w:p w14:paraId="7E768A68">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上述分级标准有关数量中的表述中，“以上”含本数，“以下”不含本数。</w:t>
      </w:r>
    </w:p>
    <w:p w14:paraId="57EEC776">
      <w:pPr>
        <w:pStyle w:val="11"/>
        <w:widowControl w:val="0"/>
        <w:spacing w:before="0" w:beforeAutospacing="0" w:after="0" w:afterAutospacing="0" w:line="560" w:lineRule="exact"/>
        <w:ind w:firstLine="632" w:firstLineChars="200"/>
        <w:jc w:val="both"/>
        <w:rPr>
          <w:rFonts w:ascii="仿宋_GB2312" w:hAnsi="仿宋"/>
          <w:sz w:val="32"/>
          <w:szCs w:val="32"/>
        </w:rPr>
      </w:pPr>
    </w:p>
    <w:p w14:paraId="61BD42AA">
      <w:pPr>
        <w:pStyle w:val="11"/>
        <w:widowControl w:val="0"/>
        <w:spacing w:before="0" w:beforeAutospacing="0" w:after="0" w:afterAutospacing="0" w:line="560" w:lineRule="exact"/>
        <w:ind w:firstLine="632" w:firstLineChars="200"/>
        <w:jc w:val="both"/>
        <w:rPr>
          <w:rFonts w:ascii="仿宋_GB2312" w:hAnsi="仿宋"/>
          <w:sz w:val="32"/>
          <w:szCs w:val="32"/>
        </w:rPr>
      </w:pPr>
    </w:p>
    <w:p w14:paraId="1094F560">
      <w:pPr>
        <w:pStyle w:val="11"/>
        <w:widowControl w:val="0"/>
        <w:spacing w:before="0" w:beforeAutospacing="0" w:after="0" w:afterAutospacing="0" w:line="560" w:lineRule="exact"/>
        <w:ind w:firstLine="632" w:firstLineChars="200"/>
        <w:jc w:val="both"/>
        <w:rPr>
          <w:rFonts w:ascii="仿宋_GB2312" w:hAnsi="仿宋"/>
          <w:sz w:val="32"/>
          <w:szCs w:val="32"/>
        </w:rPr>
      </w:pPr>
    </w:p>
    <w:p w14:paraId="09D864A5">
      <w:pPr>
        <w:pStyle w:val="11"/>
        <w:widowControl w:val="0"/>
        <w:spacing w:before="0" w:beforeAutospacing="0" w:after="0" w:afterAutospacing="0" w:line="560" w:lineRule="exact"/>
        <w:ind w:firstLine="632" w:firstLineChars="200"/>
        <w:jc w:val="both"/>
        <w:rPr>
          <w:rFonts w:ascii="仿宋_GB2312" w:hAnsi="仿宋"/>
          <w:sz w:val="32"/>
          <w:szCs w:val="32"/>
        </w:rPr>
      </w:pPr>
    </w:p>
    <w:p w14:paraId="6C5ED671">
      <w:pPr>
        <w:pStyle w:val="11"/>
        <w:widowControl w:val="0"/>
        <w:spacing w:before="0" w:beforeAutospacing="0" w:after="0" w:afterAutospacing="0" w:line="560" w:lineRule="exact"/>
        <w:ind w:firstLine="632" w:firstLineChars="200"/>
        <w:jc w:val="both"/>
        <w:rPr>
          <w:rFonts w:ascii="仿宋_GB2312" w:hAnsi="仿宋"/>
          <w:sz w:val="32"/>
          <w:szCs w:val="32"/>
        </w:rPr>
      </w:pPr>
    </w:p>
    <w:p w14:paraId="5C8906D3">
      <w:pPr>
        <w:pStyle w:val="11"/>
        <w:widowControl w:val="0"/>
        <w:spacing w:before="0" w:beforeAutospacing="0" w:after="0" w:afterAutospacing="0" w:line="560" w:lineRule="exact"/>
        <w:ind w:firstLine="632" w:firstLineChars="200"/>
        <w:jc w:val="both"/>
        <w:rPr>
          <w:rFonts w:ascii="仿宋_GB2312" w:hAnsi="仿宋"/>
          <w:sz w:val="32"/>
          <w:szCs w:val="32"/>
        </w:rPr>
      </w:pPr>
    </w:p>
    <w:p w14:paraId="4D4AB704">
      <w:pPr>
        <w:pStyle w:val="11"/>
        <w:widowControl w:val="0"/>
        <w:spacing w:before="0" w:beforeAutospacing="0" w:after="0" w:afterAutospacing="0" w:line="560" w:lineRule="exact"/>
        <w:ind w:firstLine="632" w:firstLineChars="200"/>
        <w:jc w:val="both"/>
        <w:rPr>
          <w:rFonts w:ascii="仿宋_GB2312" w:hAnsi="仿宋"/>
          <w:sz w:val="32"/>
          <w:szCs w:val="32"/>
        </w:rPr>
      </w:pPr>
    </w:p>
    <w:p w14:paraId="43D2EB25">
      <w:pPr>
        <w:pStyle w:val="11"/>
        <w:widowControl w:val="0"/>
        <w:spacing w:before="0" w:beforeAutospacing="0" w:after="0" w:afterAutospacing="0" w:line="560" w:lineRule="exact"/>
        <w:ind w:firstLine="632" w:firstLineChars="200"/>
        <w:jc w:val="both"/>
        <w:rPr>
          <w:rFonts w:ascii="仿宋_GB2312" w:hAnsi="仿宋"/>
          <w:sz w:val="32"/>
          <w:szCs w:val="32"/>
        </w:rPr>
      </w:pPr>
    </w:p>
    <w:p w14:paraId="3919BBEA">
      <w:pPr>
        <w:pStyle w:val="11"/>
        <w:widowControl w:val="0"/>
        <w:spacing w:before="0" w:beforeAutospacing="0" w:after="0" w:afterAutospacing="0" w:line="560" w:lineRule="exact"/>
        <w:ind w:firstLine="632" w:firstLineChars="200"/>
        <w:jc w:val="both"/>
        <w:rPr>
          <w:rFonts w:ascii="仿宋_GB2312" w:hAnsi="仿宋"/>
          <w:sz w:val="32"/>
          <w:szCs w:val="32"/>
        </w:rPr>
      </w:pPr>
    </w:p>
    <w:p w14:paraId="318CC223">
      <w:pPr>
        <w:pStyle w:val="11"/>
        <w:widowControl w:val="0"/>
        <w:spacing w:before="0" w:beforeAutospacing="0" w:after="0" w:afterAutospacing="0" w:line="560" w:lineRule="exact"/>
        <w:ind w:firstLine="632" w:firstLineChars="200"/>
        <w:jc w:val="both"/>
        <w:rPr>
          <w:rFonts w:ascii="仿宋_GB2312" w:hAnsi="仿宋"/>
          <w:sz w:val="32"/>
          <w:szCs w:val="32"/>
        </w:rPr>
      </w:pPr>
    </w:p>
    <w:p w14:paraId="1AEF13F7">
      <w:pPr>
        <w:pStyle w:val="11"/>
        <w:widowControl w:val="0"/>
        <w:spacing w:before="0" w:beforeAutospacing="0" w:after="0" w:afterAutospacing="0" w:line="560" w:lineRule="exact"/>
        <w:ind w:firstLine="632" w:firstLineChars="200"/>
        <w:jc w:val="both"/>
        <w:rPr>
          <w:rFonts w:ascii="仿宋_GB2312" w:hAnsi="仿宋"/>
          <w:sz w:val="32"/>
          <w:szCs w:val="32"/>
        </w:rPr>
      </w:pPr>
    </w:p>
    <w:p w14:paraId="13375694">
      <w:pPr>
        <w:pStyle w:val="11"/>
        <w:widowControl w:val="0"/>
        <w:spacing w:before="0" w:beforeAutospacing="0" w:after="0" w:afterAutospacing="0" w:line="560" w:lineRule="exact"/>
        <w:ind w:firstLine="632" w:firstLineChars="200"/>
        <w:jc w:val="both"/>
        <w:rPr>
          <w:rFonts w:ascii="仿宋_GB2312" w:hAnsi="仿宋"/>
          <w:sz w:val="32"/>
          <w:szCs w:val="32"/>
        </w:rPr>
      </w:pPr>
    </w:p>
    <w:p w14:paraId="4A9743EF">
      <w:pPr>
        <w:pStyle w:val="11"/>
        <w:widowControl w:val="0"/>
        <w:spacing w:before="0" w:beforeAutospacing="0" w:after="0" w:afterAutospacing="0" w:line="560" w:lineRule="exact"/>
        <w:ind w:firstLine="632" w:firstLineChars="200"/>
        <w:jc w:val="both"/>
        <w:rPr>
          <w:rFonts w:ascii="仿宋_GB2312" w:hAnsi="仿宋"/>
          <w:sz w:val="32"/>
          <w:szCs w:val="32"/>
        </w:rPr>
      </w:pPr>
    </w:p>
    <w:p w14:paraId="2A5BE58D">
      <w:pPr>
        <w:pStyle w:val="11"/>
        <w:widowControl w:val="0"/>
        <w:spacing w:before="0" w:beforeAutospacing="0" w:after="0" w:afterAutospacing="0" w:line="560" w:lineRule="exact"/>
        <w:ind w:firstLine="632" w:firstLineChars="200"/>
        <w:jc w:val="both"/>
        <w:rPr>
          <w:rFonts w:ascii="仿宋_GB2312" w:hAnsi="仿宋"/>
          <w:sz w:val="32"/>
          <w:szCs w:val="32"/>
        </w:rPr>
      </w:pPr>
    </w:p>
    <w:p w14:paraId="5D988FCB">
      <w:pPr>
        <w:pStyle w:val="11"/>
        <w:widowControl w:val="0"/>
        <w:spacing w:before="0" w:beforeAutospacing="0" w:after="0" w:afterAutospacing="0" w:line="560" w:lineRule="exact"/>
        <w:ind w:firstLine="632" w:firstLineChars="200"/>
        <w:jc w:val="both"/>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14:paraId="4D283DCF">
      <w:pPr>
        <w:pStyle w:val="11"/>
        <w:widowControl w:val="0"/>
        <w:spacing w:before="0" w:beforeAutospacing="0" w:after="0" w:afterAutospacing="0" w:line="560" w:lineRule="exact"/>
        <w:ind w:firstLine="632" w:firstLineChars="200"/>
        <w:jc w:val="both"/>
        <w:rPr>
          <w:rFonts w:ascii="仿宋" w:hAnsi="仿宋" w:eastAsia="仿宋"/>
          <w:sz w:val="32"/>
          <w:szCs w:val="32"/>
        </w:rPr>
      </w:pPr>
    </w:p>
    <w:p w14:paraId="39B5CA48">
      <w:pPr>
        <w:pStyle w:val="11"/>
        <w:widowControl w:val="0"/>
        <w:spacing w:before="0" w:beforeAutospacing="0" w:after="0" w:afterAutospacing="0" w:line="7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高新区大面积停电事件应急</w:t>
      </w:r>
    </w:p>
    <w:p w14:paraId="7F390781">
      <w:pPr>
        <w:pStyle w:val="11"/>
        <w:widowControl w:val="0"/>
        <w:spacing w:before="0" w:beforeAutospacing="0" w:after="0" w:afterAutospacing="0" w:line="7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领导小组组成及职责</w:t>
      </w:r>
    </w:p>
    <w:p w14:paraId="76A673B3">
      <w:pPr>
        <w:pStyle w:val="11"/>
        <w:widowControl w:val="0"/>
        <w:spacing w:before="0" w:beforeAutospacing="0" w:after="0" w:afterAutospacing="0" w:line="560" w:lineRule="exact"/>
        <w:ind w:firstLine="872" w:firstLineChars="200"/>
        <w:jc w:val="both"/>
        <w:rPr>
          <w:rFonts w:ascii="方正小标宋简体" w:hAnsi="仿宋" w:eastAsia="方正小标宋简体"/>
          <w:sz w:val="44"/>
          <w:szCs w:val="44"/>
        </w:rPr>
      </w:pPr>
    </w:p>
    <w:p w14:paraId="23198BEB">
      <w:pPr>
        <w:pStyle w:val="11"/>
        <w:widowControl w:val="0"/>
        <w:spacing w:before="0" w:beforeAutospacing="0" w:after="0" w:afterAutospacing="0" w:line="560" w:lineRule="exact"/>
        <w:ind w:firstLine="632" w:firstLineChars="200"/>
        <w:jc w:val="both"/>
        <w:rPr>
          <w:rFonts w:ascii="楷体_GB2312" w:hAnsi="黑体" w:eastAsia="楷体_GB2312"/>
          <w:sz w:val="32"/>
          <w:szCs w:val="32"/>
        </w:rPr>
      </w:pPr>
      <w:r>
        <w:rPr>
          <w:rFonts w:hint="eastAsia" w:ascii="楷体_GB2312" w:hAnsi="黑体" w:eastAsia="楷体_GB2312"/>
          <w:sz w:val="32"/>
          <w:szCs w:val="32"/>
        </w:rPr>
        <w:t>1.区应急领导小组及职责</w:t>
      </w:r>
    </w:p>
    <w:p w14:paraId="46783EDF">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应急领导小组组长由区管委分管同志担任，副组长由区经济发展部主要负责同志担任，成员单位包括马山街道办事处、金山湾管理处、区综合管理部、卫生健康管理办公室、区财政金融部、区经济发展部、区规划国土建设部、区综合行政执法局、区法制中心、区应急管理局、区公安分局、交警五大队、国网山东省电力公司烟台供电公司莱山客户服务分中心。</w:t>
      </w:r>
    </w:p>
    <w:p w14:paraId="5DB7FBA4">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区应急领导小组的主要职责：</w:t>
      </w:r>
    </w:p>
    <w:p w14:paraId="231C5FA8">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(1)负责全区大面积停电事件应急处置的指挥协调，组织有关部门和单位进行会商、研判和综合评估，研究保证高新区电力系统安全稳定运行、电力可靠有序供应等重要事项，研究重大应急决策，部署应对工作；</w:t>
      </w:r>
    </w:p>
    <w:p w14:paraId="79AC3420">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统一指挥、协调各应急指挥机构相关部门、相关区人民政府做好大面积停电事件电网抢修恢复、防范次生衍生事故、保障群众基本生活、维护社会安全稳定等各项应急处置工作，协调指挥其他社会应急救援工作；</w:t>
      </w:r>
    </w:p>
    <w:p w14:paraId="2ADF3053">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(3)宣布进入和解除电网停电应急状态，发布应急指令；</w:t>
      </w:r>
    </w:p>
    <w:p w14:paraId="398C87B0">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(4)视情况派出工作组赴现场指导协调开展应对工作，组织事件调查；</w:t>
      </w:r>
    </w:p>
    <w:p w14:paraId="648FB444">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(5)统一组织信息发布和舆论引导工作；</w:t>
      </w:r>
    </w:p>
    <w:p w14:paraId="176D76FC">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(6)及时向市应急领导小组、国家能源局山东监管办公室报告相关情况，视情况提出支援请求。</w:t>
      </w:r>
    </w:p>
    <w:p w14:paraId="0929A82F">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2.区应急领导小组办公室及职责</w:t>
      </w:r>
    </w:p>
    <w:p w14:paraId="4F286143">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区应急领导小组办公室设在区经济发展部，负责区应急领导小组日常工作。</w:t>
      </w:r>
    </w:p>
    <w:p w14:paraId="39617B16">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14:paraId="65F92B66">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(1)督促落实区应急领导小组部署的各项任务和下达的各项指令；</w:t>
      </w:r>
    </w:p>
    <w:p w14:paraId="5A9C545C">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(2)密切跟踪事态，及时掌握并报告应急处置和供电恢复情况；</w:t>
      </w:r>
    </w:p>
    <w:p w14:paraId="10404015">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(3)协调各应急联动机制成员部门和单位开展应对处置工作；</w:t>
      </w:r>
    </w:p>
    <w:p w14:paraId="482EA2F5">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(4)按照授权协助做好信息发布、舆论引导和舆情分析应对工作；</w:t>
      </w:r>
    </w:p>
    <w:p w14:paraId="6ED8ACF7">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(5)建立电力生产应急救援专家库，根据应急救援工作需要随时抽调有关专家，对应急救援工作进行技术指导。</w:t>
      </w:r>
    </w:p>
    <w:p w14:paraId="5260DC5E">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3.区应急领导小组现场工作组主要职责</w:t>
      </w:r>
    </w:p>
    <w:p w14:paraId="2D9F12B1">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发生重大或特别重大大面积停电事件时，区应急领导小组根据情况派出现场工作组，主要开展以下工作：</w:t>
      </w:r>
    </w:p>
    <w:p w14:paraId="5522AE95">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(1)传达上级政府指示批示精神，督促各区人民政府、有关部门和电力企业贯彻落实；</w:t>
      </w:r>
    </w:p>
    <w:p w14:paraId="6710CC3A">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(2)迅速掌握大面积停电事件基本情况、造成的损失和影响、应对进展及当地需求等，根据相关部门请求， 协调有关方面派出应急队伍、调运应急物资和装备、安排专家和技术人员等，为应对提供支援和技术支持；</w:t>
      </w:r>
    </w:p>
    <w:p w14:paraId="4BD4EDA3">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(3)赶赴现场指导开展事件应对工作；</w:t>
      </w:r>
    </w:p>
    <w:p w14:paraId="5A09031D">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(4)指导开展事件处置评估；</w:t>
      </w:r>
    </w:p>
    <w:p w14:paraId="12BE7D1B">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(5)协调指导大面积停电事件宣传报道工作；</w:t>
      </w:r>
    </w:p>
    <w:p w14:paraId="6D63A51C">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(6)及时向区应急领导小组报告相关情况。</w:t>
      </w:r>
    </w:p>
    <w:p w14:paraId="58D6E39F">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4.区应急领导小组工作组分组和单位职责</w:t>
      </w:r>
    </w:p>
    <w:p w14:paraId="5C07ABAD">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4.1 区应急领导小组工作组和职责分工</w:t>
      </w:r>
    </w:p>
    <w:p w14:paraId="56CF956D">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区应急领导小组设立相应工作组，各组组成及职责分工如下：</w:t>
      </w:r>
    </w:p>
    <w:p w14:paraId="734F8F59">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(1)电力恢复组：由经济发展部牵头，区规划国土建设部、区应急管理局、国网山东省电力公司烟台供电公司莱山客户服务分中心等参加。</w:t>
      </w:r>
    </w:p>
    <w:p w14:paraId="4A159F77">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主要职责：组织进行技术研判，开展事态分析；协调电力抢修恢复工作，尽快恢复受影响区域供电工作；负责重要用户、重点区域的临时供电保障。</w:t>
      </w:r>
    </w:p>
    <w:p w14:paraId="23C0A985">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(2)新闻宣传组：由综合管理部牵头，国网山东省电力公司烟台供电公司莱山客户服务分中心参加。</w:t>
      </w:r>
    </w:p>
    <w:p w14:paraId="2B577557">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主要职责：组织开展事件进展、应急工作情况等权威信息发布，加强新闻宣传报道；收集分析国内外舆情和社会公众动态，加强媒体、电信和互联网管理，正确引导舆论；及时澄清不实信息，回应社会关切。</w:t>
      </w:r>
    </w:p>
    <w:p w14:paraId="44EF6438">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(3)综合保障组：由经济发展部牵头，区应急管理局、区公安分局、交警五大队、区财政金融部、区规划国土建设部、综合行政执法局、国网山东省电力公司烟台供电公司莱山客户服务分中心等参加。</w:t>
      </w:r>
    </w:p>
    <w:p w14:paraId="256C87F6">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对大面积停电事件受灾情况进行核实，组织做好应急救援物资及生产生活物资的紧急生产、储备调拨和紧急配送工作；及时组织调运重要生活必需品，保障群众基本生活和区场供应；维护供水、供气、供热、通信、广播电视等设施正常运行；维护铁路、道路等基本交通运行；组织开展事件处置评估。</w:t>
      </w:r>
    </w:p>
    <w:p w14:paraId="3CAA60CC">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(4)社会稳定组：由区公安分局牵头，区经济发展部、交警五大队、区法制中心等参加。</w:t>
      </w:r>
    </w:p>
    <w:p w14:paraId="6A133AF3">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加强受影响地区社会治安管理，严厉打击借机传播谣言制造社会恐慌，以及趁机盗窃、抢劫、哄抢等违法犯罪行为；加强转移人员安置点、救灾物资存放点等重点地区治安管控；加强对重要生活必需品等商品的区场监管和调控，打击囤积居奇行为；加强对重点区域、重点单位的警戒，切实维护社会稳定。</w:t>
      </w:r>
    </w:p>
    <w:p w14:paraId="71C866E8">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4.2 各单位职责</w:t>
      </w:r>
    </w:p>
    <w:p w14:paraId="1F7CB428">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区经济发展部：负责组织、召集区应急领导小组成员、办公室成员会议；迅速掌握大面积停电情况，向区应急领导小组提出处置建议；组织研判事件态势，按程序向社会公众发布预警，并通报其他相关部门和单位；负责组织协调全区电力资源的紧急调配，协调电力企业开展电力抢修恢复及统调发电企业重点电煤供应的综合协调工作；协调其它部门、区管委和重要电力客户开展应对处置工作；为指定的新闻部门提供事故发布信息；派员参加工作组赴现场指导协调事件应对工作；负责协调综合保障，协调电力企业设备设施修复项目计划安排，为应急抢险救援、恢复重建提供资金保障。</w:t>
      </w:r>
    </w:p>
    <w:p w14:paraId="1E7E6BD9">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区综合管理部：根据区应急领导小组的安排，协助有关部门统一宣传口径，组织媒体播发相关新闻；根据事件的严重程度或其他需要组织现场新闻发布会；加强对新闻单位、媒体宣传报道的指导和管理；正确引导舆论，及时对外发布信息；</w:t>
      </w:r>
    </w:p>
    <w:p w14:paraId="071F0468">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(3)区卫生健康管理办公室：负责组织协调医疗卫生应急救援工作，重点指导当地医疗机构启动自备应急电源和停电应急预案。</w:t>
      </w:r>
    </w:p>
    <w:p w14:paraId="747E868A">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(4)区公安分局：负责协助区应急领导小组做好事故的救援工作，及时妥善处理由大面积停电引发的治安事件，加强治安巡逻，维护社会治安秩序，保障救援工作及时有效地进行。</w:t>
      </w:r>
    </w:p>
    <w:p w14:paraId="45842DFF">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(5)交警五大队：加强停电地区道路交通指挥和疏导，维护道路交通秩序，优先保障应急救援车辆通行。</w:t>
      </w:r>
    </w:p>
    <w:p w14:paraId="712B668C">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(6)区财政金融部：负责保障电力应急抢修救援工作所需经费。</w:t>
      </w:r>
    </w:p>
    <w:p w14:paraId="4407359E">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(7)区规划国土建设部：负责对地质灾害进行监测和预报，为恢复重建提供用地支持。</w:t>
      </w:r>
    </w:p>
    <w:p w14:paraId="13B64D98">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(8)区综合行政执法局：负责水情、汛情、旱情的监测，提供相关信息,负责协调维持和恢复城区供气、供热、市政照明、排水等公用设施运行，保障居民基本生活需要。</w:t>
      </w:r>
    </w:p>
    <w:p w14:paraId="27ED8F0E">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(9)区应急管理局：协调有关部门做好安全生产事故应急救援工作。</w:t>
      </w:r>
    </w:p>
    <w:p w14:paraId="21764A7B">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(10)马山街道办事处、金山湾管理处：启动本级应急预案，配合指挥部处置事故现场事件。</w:t>
      </w:r>
    </w:p>
    <w:p w14:paraId="411FFAE8">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(11)国网山东省电力公司烟台供电公司莱山客户服务分中心：在区应急领导小组、国网烟台供电公司的领导下，具体实施在电网大面积停电应急处置和救援中对所属企业的指挥。</w:t>
      </w:r>
    </w:p>
    <w:p w14:paraId="714068A4">
      <w:pPr>
        <w:pStyle w:val="11"/>
        <w:widowControl w:val="0"/>
        <w:spacing w:before="0" w:beforeAutospacing="0" w:after="0" w:afterAutospacing="0" w:line="560" w:lineRule="exact"/>
        <w:ind w:firstLine="632" w:firstLineChars="200"/>
        <w:jc w:val="both"/>
        <w:rPr>
          <w:rFonts w:ascii="仿宋_GB2312" w:hAnsi="仿宋_GB2312" w:eastAsia="仿宋_GB2312" w:cs="仿宋_GB2312"/>
          <w:sz w:val="32"/>
          <w:szCs w:val="32"/>
        </w:rPr>
      </w:pPr>
    </w:p>
    <w:p w14:paraId="1F7C61A4">
      <w:pPr>
        <w:autoSpaceDE w:val="0"/>
        <w:autoSpaceDN w:val="0"/>
        <w:adjustRightInd w:val="0"/>
        <w:spacing w:line="516" w:lineRule="exact"/>
        <w:ind w:firstLine="463" w:firstLineChars="225"/>
        <w:jc w:val="left"/>
        <w:rPr>
          <w:rFonts w:ascii="仿宋_GB2312" w:hAnsi="仿宋"/>
          <w:szCs w:val="32"/>
        </w:rPr>
      </w:pPr>
    </w:p>
    <w:p w14:paraId="0DB3CB78">
      <w:pPr>
        <w:autoSpaceDE w:val="0"/>
        <w:autoSpaceDN w:val="0"/>
        <w:adjustRightInd w:val="0"/>
        <w:spacing w:line="516" w:lineRule="exact"/>
        <w:ind w:firstLine="463" w:firstLineChars="225"/>
        <w:jc w:val="left"/>
        <w:rPr>
          <w:rFonts w:ascii="仿宋_GB2312" w:hAnsi="仿宋"/>
          <w:szCs w:val="32"/>
        </w:rPr>
      </w:pPr>
    </w:p>
    <w:p w14:paraId="308C449C">
      <w:pPr>
        <w:autoSpaceDE w:val="0"/>
        <w:autoSpaceDN w:val="0"/>
        <w:adjustRightInd w:val="0"/>
        <w:spacing w:line="516" w:lineRule="exact"/>
        <w:ind w:firstLine="463" w:firstLineChars="225"/>
        <w:jc w:val="left"/>
        <w:rPr>
          <w:rFonts w:ascii="仿宋_GB2312" w:hAnsi="仿宋"/>
          <w:szCs w:val="32"/>
        </w:rPr>
      </w:pPr>
    </w:p>
    <w:p w14:paraId="5D27C137">
      <w:pPr>
        <w:autoSpaceDE w:val="0"/>
        <w:autoSpaceDN w:val="0"/>
        <w:adjustRightInd w:val="0"/>
        <w:spacing w:line="516" w:lineRule="exact"/>
        <w:ind w:firstLine="463" w:firstLineChars="225"/>
        <w:jc w:val="left"/>
        <w:rPr>
          <w:rFonts w:ascii="仿宋_GB2312" w:hAnsi="仿宋"/>
          <w:szCs w:val="32"/>
        </w:rPr>
      </w:pPr>
    </w:p>
    <w:p w14:paraId="00789ACD">
      <w:pPr>
        <w:autoSpaceDE w:val="0"/>
        <w:autoSpaceDN w:val="0"/>
        <w:adjustRightInd w:val="0"/>
        <w:spacing w:line="516" w:lineRule="exact"/>
        <w:ind w:firstLine="463" w:firstLineChars="225"/>
        <w:jc w:val="left"/>
        <w:rPr>
          <w:rFonts w:ascii="仿宋_GB2312" w:hAnsi="仿宋"/>
          <w:szCs w:val="32"/>
        </w:rPr>
      </w:pPr>
    </w:p>
    <w:p w14:paraId="242397AA">
      <w:pPr>
        <w:autoSpaceDE w:val="0"/>
        <w:autoSpaceDN w:val="0"/>
        <w:adjustRightInd w:val="0"/>
        <w:spacing w:line="516" w:lineRule="exact"/>
        <w:ind w:firstLine="463" w:firstLineChars="225"/>
        <w:jc w:val="left"/>
        <w:rPr>
          <w:rFonts w:ascii="仿宋_GB2312" w:hAnsi="仿宋"/>
          <w:szCs w:val="32"/>
        </w:rPr>
      </w:pPr>
    </w:p>
    <w:p w14:paraId="74EE13D1">
      <w:pPr>
        <w:autoSpaceDE w:val="0"/>
        <w:autoSpaceDN w:val="0"/>
        <w:adjustRightInd w:val="0"/>
        <w:spacing w:line="516" w:lineRule="exact"/>
        <w:ind w:firstLine="463" w:firstLineChars="225"/>
        <w:jc w:val="left"/>
        <w:rPr>
          <w:rFonts w:ascii="仿宋_GB2312" w:hAnsi="仿宋"/>
          <w:szCs w:val="32"/>
        </w:rPr>
      </w:pPr>
    </w:p>
    <w:p w14:paraId="5945C15D">
      <w:pPr>
        <w:autoSpaceDE w:val="0"/>
        <w:autoSpaceDN w:val="0"/>
        <w:adjustRightInd w:val="0"/>
        <w:spacing w:line="516" w:lineRule="exact"/>
        <w:ind w:firstLine="463" w:firstLineChars="225"/>
        <w:jc w:val="left"/>
        <w:rPr>
          <w:rFonts w:ascii="仿宋_GB2312" w:hAnsi="仿宋"/>
          <w:szCs w:val="32"/>
        </w:rPr>
      </w:pPr>
    </w:p>
    <w:p w14:paraId="7BAA9959">
      <w:pPr>
        <w:autoSpaceDE w:val="0"/>
        <w:autoSpaceDN w:val="0"/>
        <w:adjustRightInd w:val="0"/>
        <w:spacing w:line="516" w:lineRule="exact"/>
        <w:ind w:firstLine="463" w:firstLineChars="225"/>
        <w:jc w:val="left"/>
        <w:rPr>
          <w:rFonts w:ascii="仿宋_GB2312" w:hAnsi="仿宋"/>
          <w:szCs w:val="32"/>
        </w:rPr>
      </w:pPr>
    </w:p>
    <w:p w14:paraId="1F250AAB">
      <w:pPr>
        <w:autoSpaceDE w:val="0"/>
        <w:autoSpaceDN w:val="0"/>
        <w:adjustRightInd w:val="0"/>
        <w:spacing w:line="516" w:lineRule="exact"/>
        <w:ind w:firstLine="463" w:firstLineChars="225"/>
        <w:jc w:val="left"/>
        <w:rPr>
          <w:rFonts w:ascii="仿宋_GB2312" w:hAnsi="仿宋"/>
          <w:szCs w:val="32"/>
        </w:rPr>
      </w:pPr>
    </w:p>
    <w:p w14:paraId="449B2B16">
      <w:pPr>
        <w:autoSpaceDE w:val="0"/>
        <w:autoSpaceDN w:val="0"/>
        <w:adjustRightInd w:val="0"/>
        <w:spacing w:line="516" w:lineRule="exact"/>
        <w:ind w:firstLine="463" w:firstLineChars="225"/>
        <w:jc w:val="left"/>
        <w:rPr>
          <w:rFonts w:ascii="仿宋_GB2312" w:hAnsi="仿宋"/>
          <w:szCs w:val="32"/>
        </w:rPr>
      </w:pPr>
    </w:p>
    <w:p w14:paraId="20AC271C">
      <w:pPr>
        <w:autoSpaceDE w:val="0"/>
        <w:autoSpaceDN w:val="0"/>
        <w:adjustRightInd w:val="0"/>
        <w:spacing w:line="516" w:lineRule="exact"/>
        <w:ind w:firstLine="463" w:firstLineChars="225"/>
        <w:jc w:val="left"/>
        <w:rPr>
          <w:rFonts w:ascii="仿宋_GB2312" w:hAnsi="仿宋"/>
          <w:szCs w:val="32"/>
        </w:rPr>
      </w:pPr>
    </w:p>
    <w:p w14:paraId="556353AE">
      <w:pPr>
        <w:autoSpaceDN w:val="0"/>
        <w:spacing w:line="0" w:lineRule="atLeast"/>
        <w:jc w:val="center"/>
        <w:rPr>
          <w:rFonts w:ascii="方正小标宋简体" w:eastAsia="方正小标宋简体"/>
          <w:bCs/>
          <w:kern w:val="0"/>
          <w:sz w:val="44"/>
          <w:szCs w:val="44"/>
        </w:rPr>
      </w:pPr>
      <w:r>
        <w:rPr>
          <w:rFonts w:hint="eastAsia" w:ascii="方正小标宋简体" w:eastAsia="方正小标宋简体"/>
          <w:bCs/>
          <w:kern w:val="0"/>
          <w:sz w:val="44"/>
          <w:szCs w:val="44"/>
        </w:rPr>
        <w:t>烟台高新区大面积停电事件应急领导小组成员名单及联系方式</w:t>
      </w:r>
    </w:p>
    <w:tbl>
      <w:tblPr>
        <w:tblStyle w:val="12"/>
        <w:tblW w:w="10144" w:type="dxa"/>
        <w:tblInd w:w="-641" w:type="dxa"/>
        <w:tblLayout w:type="fixed"/>
        <w:tblCellMar>
          <w:top w:w="0" w:type="dxa"/>
          <w:left w:w="108" w:type="dxa"/>
          <w:bottom w:w="0" w:type="dxa"/>
          <w:right w:w="108" w:type="dxa"/>
        </w:tblCellMar>
      </w:tblPr>
      <w:tblGrid>
        <w:gridCol w:w="1109"/>
        <w:gridCol w:w="1097"/>
        <w:gridCol w:w="2551"/>
        <w:gridCol w:w="2127"/>
        <w:gridCol w:w="1417"/>
        <w:gridCol w:w="1843"/>
      </w:tblGrid>
      <w:tr w14:paraId="2A9032DA">
        <w:tblPrEx>
          <w:tblCellMar>
            <w:top w:w="0" w:type="dxa"/>
            <w:left w:w="108" w:type="dxa"/>
            <w:bottom w:w="0" w:type="dxa"/>
            <w:right w:w="108" w:type="dxa"/>
          </w:tblCellMar>
        </w:tblPrEx>
        <w:tc>
          <w:tcPr>
            <w:tcW w:w="1109" w:type="dxa"/>
            <w:tcBorders>
              <w:top w:val="single" w:color="000000" w:sz="4" w:space="0"/>
              <w:left w:val="single" w:color="000000" w:sz="4" w:space="0"/>
              <w:bottom w:val="single" w:color="000000" w:sz="4" w:space="0"/>
              <w:right w:val="single" w:color="000000" w:sz="4" w:space="0"/>
            </w:tcBorders>
          </w:tcPr>
          <w:p w14:paraId="0DE21E17">
            <w:pPr>
              <w:spacing w:before="100" w:after="100" w:line="0" w:lineRule="atLeast"/>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职务</w:t>
            </w:r>
          </w:p>
        </w:tc>
        <w:tc>
          <w:tcPr>
            <w:tcW w:w="1097" w:type="dxa"/>
            <w:tcBorders>
              <w:top w:val="single" w:color="000000" w:sz="4" w:space="0"/>
              <w:left w:val="nil"/>
              <w:bottom w:val="single" w:color="000000" w:sz="4" w:space="0"/>
              <w:right w:val="single" w:color="000000" w:sz="4" w:space="0"/>
            </w:tcBorders>
          </w:tcPr>
          <w:p w14:paraId="26FF978F">
            <w:pPr>
              <w:spacing w:before="100" w:after="100" w:line="0" w:lineRule="atLeast"/>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姓名</w:t>
            </w:r>
          </w:p>
        </w:tc>
        <w:tc>
          <w:tcPr>
            <w:tcW w:w="2551" w:type="dxa"/>
            <w:tcBorders>
              <w:top w:val="single" w:color="000000" w:sz="4" w:space="0"/>
              <w:left w:val="nil"/>
              <w:bottom w:val="single" w:color="000000" w:sz="4" w:space="0"/>
              <w:right w:val="single" w:color="000000" w:sz="4" w:space="0"/>
            </w:tcBorders>
          </w:tcPr>
          <w:p w14:paraId="25245E07">
            <w:pPr>
              <w:spacing w:before="100" w:after="100" w:line="0" w:lineRule="atLeast"/>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单位</w:t>
            </w:r>
          </w:p>
        </w:tc>
        <w:tc>
          <w:tcPr>
            <w:tcW w:w="2127" w:type="dxa"/>
            <w:tcBorders>
              <w:top w:val="single" w:color="000000" w:sz="4" w:space="0"/>
              <w:left w:val="nil"/>
              <w:bottom w:val="single" w:color="000000" w:sz="4" w:space="0"/>
              <w:right w:val="single" w:color="000000" w:sz="4" w:space="0"/>
            </w:tcBorders>
          </w:tcPr>
          <w:p w14:paraId="2BCE69F3">
            <w:pPr>
              <w:spacing w:before="100" w:after="100" w:line="0" w:lineRule="atLeast"/>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职务</w:t>
            </w:r>
          </w:p>
        </w:tc>
        <w:tc>
          <w:tcPr>
            <w:tcW w:w="1417" w:type="dxa"/>
            <w:tcBorders>
              <w:top w:val="single" w:color="000000" w:sz="4" w:space="0"/>
              <w:left w:val="nil"/>
              <w:bottom w:val="single" w:color="000000" w:sz="4" w:space="0"/>
              <w:right w:val="single" w:color="000000" w:sz="4" w:space="0"/>
            </w:tcBorders>
          </w:tcPr>
          <w:p w14:paraId="5750A443">
            <w:pPr>
              <w:spacing w:before="100" w:after="100" w:line="0" w:lineRule="atLeast"/>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办公电话</w:t>
            </w:r>
          </w:p>
        </w:tc>
        <w:tc>
          <w:tcPr>
            <w:tcW w:w="1843" w:type="dxa"/>
            <w:tcBorders>
              <w:top w:val="single" w:color="000000" w:sz="4" w:space="0"/>
              <w:left w:val="nil"/>
              <w:bottom w:val="single" w:color="000000" w:sz="4" w:space="0"/>
              <w:right w:val="single" w:color="000000" w:sz="4" w:space="0"/>
            </w:tcBorders>
          </w:tcPr>
          <w:p w14:paraId="3E9667BB">
            <w:pPr>
              <w:spacing w:before="100" w:after="100" w:line="0" w:lineRule="atLeast"/>
              <w:jc w:val="center"/>
              <w:rPr>
                <w:rFonts w:ascii="楷体_GB2312" w:hAnsi="楷体_GB2312" w:eastAsia="楷体_GB2312" w:cs="楷体_GB2312"/>
                <w:kern w:val="0"/>
                <w:sz w:val="24"/>
              </w:rPr>
            </w:pPr>
            <w:r>
              <w:rPr>
                <w:rFonts w:hint="eastAsia" w:ascii="楷体_GB2312" w:hAnsi="楷体_GB2312" w:eastAsia="楷体_GB2312" w:cs="楷体_GB2312"/>
                <w:kern w:val="0"/>
                <w:sz w:val="24"/>
              </w:rPr>
              <w:t>移动电话</w:t>
            </w:r>
          </w:p>
        </w:tc>
      </w:tr>
      <w:tr w14:paraId="55848F59">
        <w:tblPrEx>
          <w:tblCellMar>
            <w:top w:w="0" w:type="dxa"/>
            <w:left w:w="108" w:type="dxa"/>
            <w:bottom w:w="0" w:type="dxa"/>
            <w:right w:w="108" w:type="dxa"/>
          </w:tblCellMar>
        </w:tblPrEx>
        <w:trPr>
          <w:trHeight w:val="526" w:hRule="atLeast"/>
        </w:trPr>
        <w:tc>
          <w:tcPr>
            <w:tcW w:w="1109" w:type="dxa"/>
            <w:tcBorders>
              <w:top w:val="single" w:color="000000" w:sz="4" w:space="0"/>
              <w:left w:val="single" w:color="000000" w:sz="4" w:space="0"/>
              <w:bottom w:val="single" w:color="000000" w:sz="4" w:space="0"/>
              <w:right w:val="single" w:color="000000" w:sz="4" w:space="0"/>
            </w:tcBorders>
            <w:vAlign w:val="center"/>
          </w:tcPr>
          <w:p w14:paraId="5A96338C">
            <w:pPr>
              <w:spacing w:before="100" w:after="100" w:line="0" w:lineRule="atLeast"/>
              <w:jc w:val="center"/>
              <w:rPr>
                <w:rFonts w:ascii="仿宋_GB2312" w:hAnsi="仿宋"/>
                <w:kern w:val="0"/>
                <w:sz w:val="24"/>
              </w:rPr>
            </w:pPr>
            <w:r>
              <w:rPr>
                <w:rFonts w:hint="eastAsia" w:ascii="仿宋_GB2312" w:hAnsi="仿宋"/>
                <w:kern w:val="0"/>
                <w:sz w:val="24"/>
              </w:rPr>
              <w:t>组 长</w:t>
            </w:r>
          </w:p>
        </w:tc>
        <w:tc>
          <w:tcPr>
            <w:tcW w:w="1097" w:type="dxa"/>
            <w:tcBorders>
              <w:top w:val="single" w:color="000000" w:sz="4" w:space="0"/>
              <w:left w:val="nil"/>
              <w:bottom w:val="single" w:color="000000" w:sz="4" w:space="0"/>
              <w:right w:val="single" w:color="000000" w:sz="4" w:space="0"/>
            </w:tcBorders>
            <w:vAlign w:val="center"/>
          </w:tcPr>
          <w:p w14:paraId="5224094A">
            <w:pPr>
              <w:spacing w:before="100" w:after="100" w:line="0" w:lineRule="atLeast"/>
              <w:jc w:val="center"/>
              <w:rPr>
                <w:rFonts w:ascii="仿宋_GB2312" w:hAnsi="仿宋" w:eastAsia="仿宋_GB2312"/>
                <w:kern w:val="0"/>
                <w:sz w:val="24"/>
              </w:rPr>
            </w:pPr>
            <w:r>
              <w:rPr>
                <w:rFonts w:hint="eastAsia" w:ascii="仿宋_GB2312" w:hAnsi="仿宋"/>
                <w:kern w:val="0"/>
                <w:sz w:val="24"/>
              </w:rPr>
              <w:t>荆永杰</w:t>
            </w:r>
          </w:p>
        </w:tc>
        <w:tc>
          <w:tcPr>
            <w:tcW w:w="2551" w:type="dxa"/>
            <w:tcBorders>
              <w:top w:val="single" w:color="000000" w:sz="4" w:space="0"/>
              <w:left w:val="nil"/>
              <w:bottom w:val="single" w:color="000000" w:sz="4" w:space="0"/>
              <w:right w:val="single" w:color="000000" w:sz="4" w:space="0"/>
            </w:tcBorders>
            <w:vAlign w:val="center"/>
          </w:tcPr>
          <w:p w14:paraId="4E9F157C">
            <w:pPr>
              <w:spacing w:before="100" w:after="100" w:line="0" w:lineRule="atLeast"/>
              <w:jc w:val="center"/>
              <w:rPr>
                <w:rFonts w:ascii="仿宋_GB2312" w:hAnsi="仿宋" w:eastAsia="仿宋_GB2312"/>
                <w:kern w:val="0"/>
                <w:sz w:val="24"/>
              </w:rPr>
            </w:pPr>
            <w:r>
              <w:rPr>
                <w:rFonts w:hint="eastAsia" w:ascii="仿宋_GB2312" w:hAnsi="仿宋"/>
                <w:kern w:val="0"/>
                <w:sz w:val="24"/>
              </w:rPr>
              <w:t>高新区工委管委</w:t>
            </w:r>
          </w:p>
        </w:tc>
        <w:tc>
          <w:tcPr>
            <w:tcW w:w="2127" w:type="dxa"/>
            <w:tcBorders>
              <w:top w:val="single" w:color="000000" w:sz="4" w:space="0"/>
              <w:left w:val="nil"/>
              <w:bottom w:val="single" w:color="000000" w:sz="4" w:space="0"/>
              <w:right w:val="single" w:color="000000" w:sz="4" w:space="0"/>
            </w:tcBorders>
            <w:vAlign w:val="center"/>
          </w:tcPr>
          <w:p w14:paraId="31007F7B">
            <w:pPr>
              <w:spacing w:before="100" w:after="100" w:line="0" w:lineRule="atLeast"/>
              <w:jc w:val="center"/>
              <w:rPr>
                <w:rFonts w:ascii="仿宋" w:hAnsi="仿宋" w:eastAsia="仿宋_GB2312"/>
                <w:kern w:val="0"/>
                <w:sz w:val="24"/>
              </w:rPr>
            </w:pPr>
            <w:r>
              <w:rPr>
                <w:rFonts w:hint="eastAsia" w:ascii="仿宋" w:hAnsi="仿宋"/>
                <w:kern w:val="0"/>
                <w:sz w:val="24"/>
              </w:rPr>
              <w:t>工委委员、管委副主任</w:t>
            </w:r>
          </w:p>
        </w:tc>
        <w:tc>
          <w:tcPr>
            <w:tcW w:w="1417" w:type="dxa"/>
            <w:tcBorders>
              <w:top w:val="single" w:color="000000" w:sz="4" w:space="0"/>
              <w:left w:val="nil"/>
              <w:bottom w:val="single" w:color="000000" w:sz="4" w:space="0"/>
              <w:right w:val="single" w:color="000000" w:sz="4" w:space="0"/>
            </w:tcBorders>
            <w:vAlign w:val="center"/>
          </w:tcPr>
          <w:p w14:paraId="5CFB7283">
            <w:pPr>
              <w:spacing w:before="100" w:after="100" w:line="0" w:lineRule="atLeast"/>
              <w:jc w:val="center"/>
              <w:rPr>
                <w:rFonts w:ascii="仿宋_GB2312" w:hAnsi="仿宋"/>
                <w:kern w:val="0"/>
                <w:sz w:val="24"/>
              </w:rPr>
            </w:pPr>
          </w:p>
        </w:tc>
        <w:tc>
          <w:tcPr>
            <w:tcW w:w="1843" w:type="dxa"/>
            <w:tcBorders>
              <w:top w:val="single" w:color="000000" w:sz="4" w:space="0"/>
              <w:left w:val="nil"/>
              <w:bottom w:val="single" w:color="000000" w:sz="4" w:space="0"/>
              <w:right w:val="single" w:color="000000" w:sz="4" w:space="0"/>
            </w:tcBorders>
            <w:vAlign w:val="center"/>
          </w:tcPr>
          <w:p w14:paraId="0AAFAFC6">
            <w:pPr>
              <w:spacing w:before="100" w:after="100" w:line="0" w:lineRule="atLeast"/>
              <w:jc w:val="center"/>
              <w:rPr>
                <w:rFonts w:ascii="仿宋_GB2312" w:hAnsi="仿宋"/>
                <w:kern w:val="0"/>
                <w:sz w:val="24"/>
              </w:rPr>
            </w:pPr>
          </w:p>
        </w:tc>
      </w:tr>
      <w:tr w14:paraId="1F7766C4">
        <w:tblPrEx>
          <w:tblCellMar>
            <w:top w:w="0" w:type="dxa"/>
            <w:left w:w="108" w:type="dxa"/>
            <w:bottom w:w="0" w:type="dxa"/>
            <w:right w:w="108" w:type="dxa"/>
          </w:tblCellMar>
        </w:tblPrEx>
        <w:trPr>
          <w:trHeight w:val="586" w:hRule="atLeast"/>
        </w:trPr>
        <w:tc>
          <w:tcPr>
            <w:tcW w:w="1109" w:type="dxa"/>
            <w:tcBorders>
              <w:top w:val="single" w:color="000000" w:sz="4" w:space="0"/>
              <w:left w:val="single" w:color="000000" w:sz="4" w:space="0"/>
              <w:bottom w:val="single" w:color="000000" w:sz="4" w:space="0"/>
              <w:right w:val="single" w:color="000000" w:sz="4" w:space="0"/>
            </w:tcBorders>
            <w:vAlign w:val="center"/>
          </w:tcPr>
          <w:p w14:paraId="5ED2B9ED">
            <w:pPr>
              <w:spacing w:before="100" w:after="100" w:line="0" w:lineRule="atLeast"/>
              <w:jc w:val="center"/>
              <w:rPr>
                <w:rFonts w:ascii="仿宋_GB2312" w:hAnsi="仿宋" w:eastAsia="仿宋_GB2312"/>
                <w:kern w:val="0"/>
                <w:sz w:val="24"/>
              </w:rPr>
            </w:pPr>
            <w:r>
              <w:rPr>
                <w:rFonts w:hint="eastAsia" w:ascii="仿宋_GB2312" w:hAnsi="仿宋"/>
                <w:kern w:val="0"/>
                <w:sz w:val="24"/>
              </w:rPr>
              <w:t>副组长</w:t>
            </w:r>
          </w:p>
        </w:tc>
        <w:tc>
          <w:tcPr>
            <w:tcW w:w="1097" w:type="dxa"/>
            <w:tcBorders>
              <w:top w:val="single" w:color="000000" w:sz="4" w:space="0"/>
              <w:left w:val="nil"/>
              <w:bottom w:val="single" w:color="000000" w:sz="4" w:space="0"/>
              <w:right w:val="single" w:color="000000" w:sz="4" w:space="0"/>
            </w:tcBorders>
            <w:vAlign w:val="center"/>
          </w:tcPr>
          <w:p w14:paraId="4B448E81">
            <w:pPr>
              <w:spacing w:before="100" w:after="100" w:line="0" w:lineRule="atLeast"/>
              <w:jc w:val="center"/>
              <w:rPr>
                <w:rFonts w:ascii="仿宋_GB2312" w:hAnsi="仿宋" w:eastAsia="仿宋_GB2312"/>
                <w:kern w:val="0"/>
                <w:sz w:val="24"/>
              </w:rPr>
            </w:pPr>
            <w:r>
              <w:rPr>
                <w:rFonts w:hint="eastAsia" w:ascii="仿宋_GB2312"/>
                <w:kern w:val="0"/>
                <w:sz w:val="24"/>
              </w:rPr>
              <w:t>姜  洋</w:t>
            </w:r>
          </w:p>
        </w:tc>
        <w:tc>
          <w:tcPr>
            <w:tcW w:w="2551" w:type="dxa"/>
            <w:tcBorders>
              <w:top w:val="single" w:color="000000" w:sz="4" w:space="0"/>
              <w:left w:val="nil"/>
              <w:bottom w:val="single" w:color="000000" w:sz="4" w:space="0"/>
              <w:right w:val="single" w:color="000000" w:sz="4" w:space="0"/>
            </w:tcBorders>
            <w:vAlign w:val="center"/>
          </w:tcPr>
          <w:p w14:paraId="4E5B8EC0">
            <w:pPr>
              <w:spacing w:before="100" w:after="100" w:line="0" w:lineRule="atLeast"/>
              <w:jc w:val="center"/>
              <w:rPr>
                <w:rFonts w:ascii="仿宋_GB2312" w:hAnsi="仿宋" w:eastAsia="仿宋_GB2312"/>
                <w:kern w:val="0"/>
                <w:sz w:val="24"/>
              </w:rPr>
            </w:pPr>
            <w:r>
              <w:rPr>
                <w:rFonts w:hint="eastAsia" w:ascii="仿宋_GB2312"/>
                <w:kern w:val="0"/>
                <w:sz w:val="24"/>
              </w:rPr>
              <w:t>经济发展部</w:t>
            </w:r>
          </w:p>
        </w:tc>
        <w:tc>
          <w:tcPr>
            <w:tcW w:w="2127" w:type="dxa"/>
            <w:tcBorders>
              <w:top w:val="single" w:color="000000" w:sz="4" w:space="0"/>
              <w:left w:val="nil"/>
              <w:bottom w:val="single" w:color="000000" w:sz="4" w:space="0"/>
              <w:right w:val="single" w:color="000000" w:sz="4" w:space="0"/>
            </w:tcBorders>
            <w:vAlign w:val="center"/>
          </w:tcPr>
          <w:p w14:paraId="3D620FE7">
            <w:pPr>
              <w:spacing w:before="100" w:after="100" w:line="0" w:lineRule="atLeast"/>
              <w:jc w:val="center"/>
              <w:rPr>
                <w:rFonts w:ascii="仿宋" w:hAnsi="仿宋" w:eastAsia="仿宋_GB2312"/>
                <w:kern w:val="0"/>
                <w:sz w:val="24"/>
              </w:rPr>
            </w:pPr>
            <w:r>
              <w:rPr>
                <w:rFonts w:hint="eastAsia" w:ascii="仿宋_GB2312"/>
                <w:kern w:val="0"/>
                <w:sz w:val="24"/>
              </w:rPr>
              <w:t>部长</w:t>
            </w:r>
          </w:p>
        </w:tc>
        <w:tc>
          <w:tcPr>
            <w:tcW w:w="1417" w:type="dxa"/>
            <w:tcBorders>
              <w:top w:val="single" w:color="000000" w:sz="4" w:space="0"/>
              <w:left w:val="nil"/>
              <w:bottom w:val="single" w:color="000000" w:sz="4" w:space="0"/>
              <w:right w:val="single" w:color="000000" w:sz="4" w:space="0"/>
            </w:tcBorders>
            <w:vAlign w:val="center"/>
          </w:tcPr>
          <w:p w14:paraId="3EE04BA0">
            <w:pPr>
              <w:spacing w:before="100" w:after="100" w:line="0" w:lineRule="atLeast"/>
              <w:jc w:val="center"/>
              <w:rPr>
                <w:rFonts w:ascii="仿宋_GB2312" w:hAnsi="仿宋" w:eastAsia="仿宋_GB2312"/>
                <w:kern w:val="0"/>
                <w:sz w:val="24"/>
              </w:rPr>
            </w:pPr>
            <w:r>
              <w:rPr>
                <w:rFonts w:hint="eastAsia" w:ascii="仿宋_GB2312"/>
                <w:kern w:val="0"/>
                <w:sz w:val="24"/>
              </w:rPr>
              <w:t>6922586</w:t>
            </w:r>
          </w:p>
        </w:tc>
        <w:tc>
          <w:tcPr>
            <w:tcW w:w="1843" w:type="dxa"/>
            <w:tcBorders>
              <w:top w:val="single" w:color="000000" w:sz="4" w:space="0"/>
              <w:left w:val="nil"/>
              <w:bottom w:val="single" w:color="000000" w:sz="4" w:space="0"/>
              <w:right w:val="single" w:color="000000" w:sz="4" w:space="0"/>
            </w:tcBorders>
            <w:vAlign w:val="center"/>
          </w:tcPr>
          <w:p w14:paraId="6F9583F8">
            <w:pPr>
              <w:spacing w:before="100" w:after="100" w:line="0" w:lineRule="atLeast"/>
              <w:jc w:val="center"/>
              <w:rPr>
                <w:rFonts w:ascii="仿宋_GB2312" w:hAnsi="仿宋" w:eastAsia="仿宋_GB2312"/>
                <w:kern w:val="0"/>
                <w:sz w:val="24"/>
              </w:rPr>
            </w:pPr>
            <w:r>
              <w:rPr>
                <w:rFonts w:hint="eastAsia" w:ascii="仿宋_GB2312" w:hAnsi="仿宋"/>
                <w:kern w:val="0"/>
                <w:sz w:val="24"/>
              </w:rPr>
              <w:t>13953553201</w:t>
            </w:r>
          </w:p>
        </w:tc>
      </w:tr>
      <w:tr w14:paraId="4C62B2D9">
        <w:tblPrEx>
          <w:tblCellMar>
            <w:top w:w="0" w:type="dxa"/>
            <w:left w:w="108" w:type="dxa"/>
            <w:bottom w:w="0" w:type="dxa"/>
            <w:right w:w="108" w:type="dxa"/>
          </w:tblCellMar>
        </w:tblPrEx>
        <w:trPr>
          <w:trHeight w:val="703" w:hRule="atLeast"/>
        </w:trPr>
        <w:tc>
          <w:tcPr>
            <w:tcW w:w="1109" w:type="dxa"/>
            <w:vMerge w:val="restart"/>
            <w:tcBorders>
              <w:top w:val="nil"/>
              <w:left w:val="single" w:color="000000" w:sz="4" w:space="0"/>
              <w:right w:val="single" w:color="000000" w:sz="4" w:space="0"/>
            </w:tcBorders>
            <w:vAlign w:val="center"/>
          </w:tcPr>
          <w:p w14:paraId="36E387F8">
            <w:pPr>
              <w:spacing w:before="100" w:after="100" w:line="0" w:lineRule="atLeast"/>
              <w:jc w:val="center"/>
              <w:rPr>
                <w:rFonts w:ascii="仿宋_GB2312"/>
                <w:kern w:val="0"/>
                <w:sz w:val="24"/>
              </w:rPr>
            </w:pPr>
            <w:r>
              <w:rPr>
                <w:rFonts w:hint="eastAsia" w:ascii="仿宋_GB2312"/>
                <w:kern w:val="0"/>
                <w:sz w:val="24"/>
              </w:rPr>
              <w:t>成 员</w:t>
            </w:r>
          </w:p>
        </w:tc>
        <w:tc>
          <w:tcPr>
            <w:tcW w:w="1097" w:type="dxa"/>
            <w:tcBorders>
              <w:top w:val="single" w:color="000000" w:sz="4" w:space="0"/>
              <w:left w:val="nil"/>
              <w:bottom w:val="single" w:color="000000" w:sz="4" w:space="0"/>
              <w:right w:val="single" w:color="000000" w:sz="4" w:space="0"/>
            </w:tcBorders>
            <w:vAlign w:val="center"/>
          </w:tcPr>
          <w:p w14:paraId="1979368E">
            <w:pPr>
              <w:spacing w:line="360" w:lineRule="exact"/>
              <w:jc w:val="center"/>
              <w:rPr>
                <w:rFonts w:ascii="仿宋_GB2312" w:eastAsia="仿宋_GB2312"/>
                <w:kern w:val="0"/>
                <w:sz w:val="24"/>
              </w:rPr>
            </w:pPr>
            <w:r>
              <w:rPr>
                <w:rFonts w:hint="eastAsia" w:ascii="仿宋_GB2312" w:hAnsi="宋体" w:cs="宋体"/>
                <w:sz w:val="24"/>
              </w:rPr>
              <w:t>刘旭升</w:t>
            </w:r>
          </w:p>
        </w:tc>
        <w:tc>
          <w:tcPr>
            <w:tcW w:w="2551" w:type="dxa"/>
            <w:tcBorders>
              <w:top w:val="single" w:color="000000" w:sz="4" w:space="0"/>
              <w:left w:val="nil"/>
              <w:bottom w:val="single" w:color="000000" w:sz="4" w:space="0"/>
              <w:right w:val="single" w:color="000000" w:sz="4" w:space="0"/>
            </w:tcBorders>
            <w:vAlign w:val="center"/>
          </w:tcPr>
          <w:p w14:paraId="3BA2C42E">
            <w:pPr>
              <w:spacing w:before="100" w:after="100" w:line="360" w:lineRule="exact"/>
              <w:jc w:val="center"/>
              <w:rPr>
                <w:rFonts w:ascii="仿宋_GB2312"/>
                <w:kern w:val="0"/>
                <w:sz w:val="24"/>
              </w:rPr>
            </w:pPr>
            <w:r>
              <w:rPr>
                <w:rFonts w:hint="eastAsia" w:ascii="仿宋_GB2312"/>
                <w:kern w:val="0"/>
                <w:sz w:val="24"/>
              </w:rPr>
              <w:t>马山街道办事处</w:t>
            </w:r>
          </w:p>
        </w:tc>
        <w:tc>
          <w:tcPr>
            <w:tcW w:w="2127" w:type="dxa"/>
            <w:tcBorders>
              <w:top w:val="single" w:color="000000" w:sz="4" w:space="0"/>
              <w:left w:val="nil"/>
              <w:bottom w:val="single" w:color="000000" w:sz="4" w:space="0"/>
              <w:right w:val="single" w:color="000000" w:sz="4" w:space="0"/>
            </w:tcBorders>
            <w:vAlign w:val="center"/>
          </w:tcPr>
          <w:p w14:paraId="3E82E616">
            <w:pPr>
              <w:spacing w:before="100" w:after="100" w:line="360" w:lineRule="exact"/>
              <w:jc w:val="center"/>
              <w:rPr>
                <w:rFonts w:ascii="仿宋_GB2312" w:eastAsia="仿宋_GB2312"/>
                <w:kern w:val="0"/>
                <w:sz w:val="24"/>
              </w:rPr>
            </w:pPr>
            <w:r>
              <w:rPr>
                <w:rFonts w:hint="eastAsia" w:ascii="仿宋_GB2312"/>
                <w:kern w:val="0"/>
                <w:sz w:val="24"/>
              </w:rPr>
              <w:t>党委委员、副主任兼任应急管理办公室主任</w:t>
            </w:r>
          </w:p>
        </w:tc>
        <w:tc>
          <w:tcPr>
            <w:tcW w:w="1417" w:type="dxa"/>
            <w:tcBorders>
              <w:top w:val="single" w:color="000000" w:sz="4" w:space="0"/>
              <w:left w:val="nil"/>
              <w:bottom w:val="single" w:color="000000" w:sz="4" w:space="0"/>
              <w:right w:val="single" w:color="000000" w:sz="4" w:space="0"/>
            </w:tcBorders>
            <w:vAlign w:val="center"/>
          </w:tcPr>
          <w:p w14:paraId="4F09DFF2">
            <w:pPr>
              <w:spacing w:before="100" w:after="100" w:line="360" w:lineRule="exact"/>
              <w:jc w:val="center"/>
              <w:rPr>
                <w:rFonts w:ascii="仿宋_GB2312" w:eastAsia="仿宋_GB2312"/>
                <w:kern w:val="0"/>
                <w:sz w:val="24"/>
              </w:rPr>
            </w:pPr>
            <w:r>
              <w:rPr>
                <w:rFonts w:hint="eastAsia" w:ascii="仿宋_GB2312"/>
                <w:kern w:val="0"/>
                <w:sz w:val="24"/>
              </w:rPr>
              <w:t>6922709</w:t>
            </w:r>
          </w:p>
        </w:tc>
        <w:tc>
          <w:tcPr>
            <w:tcW w:w="1843" w:type="dxa"/>
            <w:tcBorders>
              <w:top w:val="single" w:color="000000" w:sz="4" w:space="0"/>
              <w:left w:val="nil"/>
              <w:bottom w:val="single" w:color="000000" w:sz="4" w:space="0"/>
              <w:right w:val="single" w:color="000000" w:sz="4" w:space="0"/>
            </w:tcBorders>
            <w:vAlign w:val="center"/>
          </w:tcPr>
          <w:p w14:paraId="36DF971C">
            <w:pPr>
              <w:spacing w:before="100" w:after="100" w:line="360" w:lineRule="exact"/>
              <w:jc w:val="center"/>
              <w:rPr>
                <w:rFonts w:ascii="仿宋_GB2312" w:eastAsia="仿宋_GB2312"/>
                <w:kern w:val="0"/>
                <w:sz w:val="24"/>
              </w:rPr>
            </w:pPr>
            <w:r>
              <w:rPr>
                <w:rFonts w:hint="eastAsia" w:ascii="仿宋_GB2312"/>
                <w:kern w:val="0"/>
                <w:sz w:val="24"/>
              </w:rPr>
              <w:t>13553108760</w:t>
            </w:r>
          </w:p>
        </w:tc>
      </w:tr>
      <w:tr w14:paraId="02C8443B">
        <w:tblPrEx>
          <w:tblCellMar>
            <w:top w:w="0" w:type="dxa"/>
            <w:left w:w="108" w:type="dxa"/>
            <w:bottom w:w="0" w:type="dxa"/>
            <w:right w:w="108" w:type="dxa"/>
          </w:tblCellMar>
        </w:tblPrEx>
        <w:trPr>
          <w:trHeight w:val="703" w:hRule="atLeast"/>
        </w:trPr>
        <w:tc>
          <w:tcPr>
            <w:tcW w:w="1109" w:type="dxa"/>
            <w:vMerge w:val="continue"/>
            <w:tcBorders>
              <w:left w:val="single" w:color="000000" w:sz="4" w:space="0"/>
              <w:right w:val="single" w:color="000000" w:sz="4" w:space="0"/>
            </w:tcBorders>
            <w:vAlign w:val="center"/>
          </w:tcPr>
          <w:p w14:paraId="59F5595A">
            <w:pPr>
              <w:spacing w:before="100" w:after="100" w:line="0" w:lineRule="atLeast"/>
              <w:jc w:val="center"/>
              <w:rPr>
                <w:rFonts w:ascii="仿宋_GB2312" w:hAnsi="仿宋"/>
                <w:kern w:val="0"/>
                <w:sz w:val="24"/>
              </w:rPr>
            </w:pPr>
          </w:p>
        </w:tc>
        <w:tc>
          <w:tcPr>
            <w:tcW w:w="1097" w:type="dxa"/>
            <w:tcBorders>
              <w:top w:val="single" w:color="000000" w:sz="4" w:space="0"/>
              <w:left w:val="nil"/>
              <w:bottom w:val="single" w:color="000000" w:sz="4" w:space="0"/>
              <w:right w:val="single" w:color="000000" w:sz="4" w:space="0"/>
            </w:tcBorders>
            <w:vAlign w:val="center"/>
          </w:tcPr>
          <w:p w14:paraId="0D2EDB2B">
            <w:pPr>
              <w:spacing w:before="100" w:after="100" w:line="360" w:lineRule="exact"/>
              <w:jc w:val="center"/>
              <w:rPr>
                <w:rFonts w:ascii="仿宋_GB2312" w:hAnsi="仿宋"/>
                <w:sz w:val="24"/>
              </w:rPr>
            </w:pPr>
            <w:r>
              <w:rPr>
                <w:rFonts w:hint="eastAsia" w:ascii="仿宋_GB2312"/>
                <w:kern w:val="0"/>
                <w:sz w:val="24"/>
              </w:rPr>
              <w:t>于振宇</w:t>
            </w:r>
          </w:p>
        </w:tc>
        <w:tc>
          <w:tcPr>
            <w:tcW w:w="2551" w:type="dxa"/>
            <w:tcBorders>
              <w:top w:val="single" w:color="000000" w:sz="4" w:space="0"/>
              <w:left w:val="nil"/>
              <w:bottom w:val="single" w:color="000000" w:sz="4" w:space="0"/>
              <w:right w:val="single" w:color="000000" w:sz="4" w:space="0"/>
            </w:tcBorders>
            <w:vAlign w:val="center"/>
          </w:tcPr>
          <w:p w14:paraId="4E8ACA30">
            <w:pPr>
              <w:spacing w:before="100" w:after="100" w:line="360" w:lineRule="exact"/>
              <w:jc w:val="center"/>
              <w:rPr>
                <w:rFonts w:ascii="仿宋_GB2312" w:hAnsi="仿宋"/>
                <w:sz w:val="24"/>
              </w:rPr>
            </w:pPr>
            <w:r>
              <w:rPr>
                <w:rFonts w:hint="eastAsia" w:ascii="仿宋_GB2312"/>
                <w:kern w:val="0"/>
                <w:sz w:val="24"/>
              </w:rPr>
              <w:t>金山湾管理处</w:t>
            </w:r>
          </w:p>
        </w:tc>
        <w:tc>
          <w:tcPr>
            <w:tcW w:w="2127" w:type="dxa"/>
            <w:tcBorders>
              <w:top w:val="single" w:color="000000" w:sz="4" w:space="0"/>
              <w:left w:val="nil"/>
              <w:bottom w:val="single" w:color="000000" w:sz="4" w:space="0"/>
              <w:right w:val="single" w:color="000000" w:sz="4" w:space="0"/>
            </w:tcBorders>
            <w:vAlign w:val="center"/>
          </w:tcPr>
          <w:p w14:paraId="1F8A5611">
            <w:pPr>
              <w:spacing w:before="100" w:after="100" w:line="360" w:lineRule="exact"/>
              <w:jc w:val="center"/>
              <w:rPr>
                <w:rFonts w:ascii="仿宋" w:hAnsi="仿宋" w:eastAsia="仿宋"/>
                <w:sz w:val="24"/>
              </w:rPr>
            </w:pPr>
            <w:r>
              <w:rPr>
                <w:rFonts w:hint="eastAsia" w:ascii="仿宋_GB2312"/>
                <w:kern w:val="0"/>
                <w:sz w:val="24"/>
              </w:rPr>
              <w:t>党委委员、副主任</w:t>
            </w:r>
          </w:p>
        </w:tc>
        <w:tc>
          <w:tcPr>
            <w:tcW w:w="1417" w:type="dxa"/>
            <w:tcBorders>
              <w:top w:val="single" w:color="000000" w:sz="4" w:space="0"/>
              <w:left w:val="nil"/>
              <w:bottom w:val="single" w:color="000000" w:sz="4" w:space="0"/>
              <w:right w:val="single" w:color="000000" w:sz="4" w:space="0"/>
            </w:tcBorders>
            <w:vAlign w:val="center"/>
          </w:tcPr>
          <w:p w14:paraId="4FB8A96D">
            <w:pPr>
              <w:spacing w:before="100" w:after="100" w:line="360" w:lineRule="exact"/>
              <w:jc w:val="center"/>
              <w:rPr>
                <w:rFonts w:ascii="仿宋_GB2312" w:hAnsi="仿宋"/>
                <w:sz w:val="24"/>
              </w:rPr>
            </w:pPr>
            <w:r>
              <w:rPr>
                <w:rFonts w:hint="eastAsia" w:ascii="仿宋_GB2312"/>
                <w:kern w:val="0"/>
                <w:sz w:val="24"/>
              </w:rPr>
              <w:t>8209506</w:t>
            </w:r>
          </w:p>
        </w:tc>
        <w:tc>
          <w:tcPr>
            <w:tcW w:w="1843" w:type="dxa"/>
            <w:tcBorders>
              <w:top w:val="single" w:color="000000" w:sz="4" w:space="0"/>
              <w:left w:val="nil"/>
              <w:bottom w:val="single" w:color="000000" w:sz="4" w:space="0"/>
              <w:right w:val="single" w:color="000000" w:sz="4" w:space="0"/>
            </w:tcBorders>
            <w:vAlign w:val="center"/>
          </w:tcPr>
          <w:p w14:paraId="5F5D0904">
            <w:pPr>
              <w:spacing w:before="100" w:after="100" w:line="360" w:lineRule="exact"/>
              <w:jc w:val="center"/>
              <w:rPr>
                <w:rFonts w:ascii="仿宋_GB2312" w:hAnsi="仿宋"/>
                <w:sz w:val="24"/>
              </w:rPr>
            </w:pPr>
            <w:r>
              <w:rPr>
                <w:rFonts w:hint="eastAsia" w:ascii="仿宋_GB2312"/>
                <w:kern w:val="0"/>
                <w:sz w:val="24"/>
              </w:rPr>
              <w:t>13616455869</w:t>
            </w:r>
          </w:p>
        </w:tc>
      </w:tr>
      <w:tr w14:paraId="17886558">
        <w:tblPrEx>
          <w:tblCellMar>
            <w:top w:w="0" w:type="dxa"/>
            <w:left w:w="108" w:type="dxa"/>
            <w:bottom w:w="0" w:type="dxa"/>
            <w:right w:w="108" w:type="dxa"/>
          </w:tblCellMar>
        </w:tblPrEx>
        <w:trPr>
          <w:trHeight w:val="624" w:hRule="atLeast"/>
        </w:trPr>
        <w:tc>
          <w:tcPr>
            <w:tcW w:w="1109" w:type="dxa"/>
            <w:vMerge w:val="continue"/>
            <w:tcBorders>
              <w:left w:val="single" w:color="000000" w:sz="4" w:space="0"/>
              <w:right w:val="single" w:color="000000" w:sz="4" w:space="0"/>
            </w:tcBorders>
            <w:vAlign w:val="center"/>
          </w:tcPr>
          <w:p w14:paraId="4519D4CF">
            <w:pPr>
              <w:spacing w:line="0" w:lineRule="atLeast"/>
              <w:jc w:val="left"/>
              <w:rPr>
                <w:rFonts w:ascii="仿宋_GB2312" w:hAnsi="仿宋"/>
                <w:kern w:val="0"/>
                <w:sz w:val="24"/>
              </w:rPr>
            </w:pPr>
          </w:p>
        </w:tc>
        <w:tc>
          <w:tcPr>
            <w:tcW w:w="1097" w:type="dxa"/>
            <w:tcBorders>
              <w:top w:val="single" w:color="000000" w:sz="4" w:space="0"/>
              <w:left w:val="nil"/>
              <w:bottom w:val="single" w:color="000000" w:sz="4" w:space="0"/>
              <w:right w:val="single" w:color="000000" w:sz="4" w:space="0"/>
            </w:tcBorders>
            <w:vAlign w:val="center"/>
          </w:tcPr>
          <w:p w14:paraId="4FFAF178">
            <w:pPr>
              <w:spacing w:before="100" w:after="100" w:line="360" w:lineRule="exact"/>
              <w:jc w:val="center"/>
              <w:rPr>
                <w:rFonts w:ascii="仿宋_GB2312" w:hAnsi="仿宋"/>
                <w:sz w:val="24"/>
              </w:rPr>
            </w:pPr>
            <w:r>
              <w:rPr>
                <w:rFonts w:hint="eastAsia" w:ascii="仿宋_GB2312"/>
                <w:kern w:val="0"/>
                <w:sz w:val="24"/>
              </w:rPr>
              <w:t>齐照良</w:t>
            </w:r>
          </w:p>
        </w:tc>
        <w:tc>
          <w:tcPr>
            <w:tcW w:w="2551" w:type="dxa"/>
            <w:tcBorders>
              <w:top w:val="single" w:color="000000" w:sz="4" w:space="0"/>
              <w:left w:val="nil"/>
              <w:bottom w:val="single" w:color="000000" w:sz="4" w:space="0"/>
              <w:right w:val="single" w:color="000000" w:sz="4" w:space="0"/>
            </w:tcBorders>
            <w:vAlign w:val="center"/>
          </w:tcPr>
          <w:p w14:paraId="18F2AD88">
            <w:pPr>
              <w:spacing w:before="100" w:after="100" w:line="360" w:lineRule="exact"/>
              <w:jc w:val="center"/>
              <w:rPr>
                <w:rFonts w:ascii="仿宋_GB2312" w:hAnsi="仿宋"/>
                <w:kern w:val="0"/>
                <w:sz w:val="24"/>
              </w:rPr>
            </w:pPr>
            <w:r>
              <w:rPr>
                <w:rFonts w:hint="eastAsia" w:ascii="仿宋_GB2312"/>
                <w:kern w:val="0"/>
                <w:sz w:val="24"/>
              </w:rPr>
              <w:t>综合管理部</w:t>
            </w:r>
          </w:p>
        </w:tc>
        <w:tc>
          <w:tcPr>
            <w:tcW w:w="2127" w:type="dxa"/>
            <w:tcBorders>
              <w:top w:val="single" w:color="000000" w:sz="4" w:space="0"/>
              <w:left w:val="nil"/>
              <w:bottom w:val="single" w:color="000000" w:sz="4" w:space="0"/>
              <w:right w:val="single" w:color="000000" w:sz="4" w:space="0"/>
            </w:tcBorders>
            <w:vAlign w:val="center"/>
          </w:tcPr>
          <w:p w14:paraId="281BF9CC">
            <w:pPr>
              <w:spacing w:before="100" w:after="100" w:line="320" w:lineRule="exact"/>
              <w:jc w:val="center"/>
              <w:rPr>
                <w:rFonts w:ascii="仿宋" w:hAnsi="仿宋" w:eastAsia="仿宋"/>
                <w:kern w:val="0"/>
                <w:sz w:val="24"/>
              </w:rPr>
            </w:pPr>
            <w:r>
              <w:rPr>
                <w:rFonts w:hint="eastAsia" w:ascii="仿宋_GB2312"/>
                <w:kern w:val="0"/>
                <w:sz w:val="24"/>
              </w:rPr>
              <w:t>副部长、宣传中心主任</w:t>
            </w:r>
          </w:p>
        </w:tc>
        <w:tc>
          <w:tcPr>
            <w:tcW w:w="1417" w:type="dxa"/>
            <w:tcBorders>
              <w:top w:val="single" w:color="000000" w:sz="4" w:space="0"/>
              <w:left w:val="nil"/>
              <w:bottom w:val="single" w:color="000000" w:sz="4" w:space="0"/>
              <w:right w:val="single" w:color="000000" w:sz="4" w:space="0"/>
            </w:tcBorders>
            <w:vAlign w:val="center"/>
          </w:tcPr>
          <w:p w14:paraId="16DCC140">
            <w:pPr>
              <w:spacing w:before="100" w:after="100" w:line="360" w:lineRule="exact"/>
              <w:jc w:val="center"/>
              <w:rPr>
                <w:rFonts w:ascii="仿宋_GB2312" w:hAnsi="仿宋"/>
                <w:kern w:val="0"/>
                <w:sz w:val="24"/>
              </w:rPr>
            </w:pPr>
            <w:r>
              <w:rPr>
                <w:rFonts w:ascii="仿宋_GB2312"/>
                <w:kern w:val="0"/>
                <w:sz w:val="24"/>
              </w:rPr>
              <w:t>6922340</w:t>
            </w:r>
          </w:p>
        </w:tc>
        <w:tc>
          <w:tcPr>
            <w:tcW w:w="1843" w:type="dxa"/>
            <w:tcBorders>
              <w:top w:val="single" w:color="000000" w:sz="4" w:space="0"/>
              <w:left w:val="nil"/>
              <w:bottom w:val="single" w:color="000000" w:sz="4" w:space="0"/>
              <w:right w:val="single" w:color="000000" w:sz="4" w:space="0"/>
            </w:tcBorders>
            <w:vAlign w:val="center"/>
          </w:tcPr>
          <w:p w14:paraId="2B52B0F6">
            <w:pPr>
              <w:spacing w:before="100" w:after="100" w:line="360" w:lineRule="exact"/>
              <w:jc w:val="center"/>
              <w:rPr>
                <w:rFonts w:ascii="仿宋_GB2312" w:hAnsi="仿宋"/>
                <w:kern w:val="0"/>
                <w:sz w:val="24"/>
              </w:rPr>
            </w:pPr>
            <w:r>
              <w:rPr>
                <w:rFonts w:ascii="仿宋_GB2312"/>
                <w:kern w:val="0"/>
                <w:sz w:val="24"/>
              </w:rPr>
              <w:t>13723980143</w:t>
            </w:r>
          </w:p>
        </w:tc>
      </w:tr>
      <w:tr w14:paraId="41898865">
        <w:tblPrEx>
          <w:tblCellMar>
            <w:top w:w="0" w:type="dxa"/>
            <w:left w:w="108" w:type="dxa"/>
            <w:bottom w:w="0" w:type="dxa"/>
            <w:right w:w="108" w:type="dxa"/>
          </w:tblCellMar>
        </w:tblPrEx>
        <w:trPr>
          <w:trHeight w:val="624" w:hRule="atLeast"/>
        </w:trPr>
        <w:tc>
          <w:tcPr>
            <w:tcW w:w="1109" w:type="dxa"/>
            <w:vMerge w:val="continue"/>
            <w:tcBorders>
              <w:left w:val="single" w:color="000000" w:sz="4" w:space="0"/>
              <w:right w:val="single" w:color="000000" w:sz="4" w:space="0"/>
            </w:tcBorders>
            <w:vAlign w:val="center"/>
          </w:tcPr>
          <w:p w14:paraId="723B607A">
            <w:pPr>
              <w:spacing w:line="0" w:lineRule="atLeast"/>
              <w:jc w:val="left"/>
              <w:rPr>
                <w:rFonts w:ascii="仿宋_GB2312" w:hAnsi="仿宋"/>
                <w:kern w:val="0"/>
                <w:sz w:val="24"/>
              </w:rPr>
            </w:pPr>
          </w:p>
        </w:tc>
        <w:tc>
          <w:tcPr>
            <w:tcW w:w="1097" w:type="dxa"/>
            <w:tcBorders>
              <w:top w:val="single" w:color="000000" w:sz="4" w:space="0"/>
              <w:left w:val="nil"/>
              <w:bottom w:val="single" w:color="000000" w:sz="4" w:space="0"/>
              <w:right w:val="single" w:color="000000" w:sz="4" w:space="0"/>
            </w:tcBorders>
            <w:vAlign w:val="center"/>
          </w:tcPr>
          <w:p w14:paraId="5E1176CF">
            <w:pPr>
              <w:spacing w:before="100" w:after="100" w:line="360" w:lineRule="exact"/>
              <w:jc w:val="center"/>
              <w:rPr>
                <w:rFonts w:ascii="仿宋_GB2312" w:hAnsi="仿宋"/>
                <w:sz w:val="24"/>
              </w:rPr>
            </w:pPr>
            <w:r>
              <w:rPr>
                <w:rFonts w:hint="eastAsia" w:ascii="仿宋_GB2312"/>
                <w:kern w:val="0"/>
                <w:sz w:val="24"/>
              </w:rPr>
              <w:t>刘泽华</w:t>
            </w:r>
          </w:p>
        </w:tc>
        <w:tc>
          <w:tcPr>
            <w:tcW w:w="2551" w:type="dxa"/>
            <w:tcBorders>
              <w:top w:val="single" w:color="000000" w:sz="4" w:space="0"/>
              <w:left w:val="nil"/>
              <w:bottom w:val="single" w:color="000000" w:sz="4" w:space="0"/>
              <w:right w:val="single" w:color="000000" w:sz="4" w:space="0"/>
            </w:tcBorders>
            <w:vAlign w:val="center"/>
          </w:tcPr>
          <w:p w14:paraId="664B05B7">
            <w:pPr>
              <w:spacing w:before="100" w:after="100" w:line="360" w:lineRule="exact"/>
              <w:jc w:val="center"/>
              <w:rPr>
                <w:rFonts w:ascii="仿宋_GB2312"/>
                <w:kern w:val="0"/>
                <w:sz w:val="24"/>
              </w:rPr>
            </w:pPr>
            <w:r>
              <w:rPr>
                <w:rFonts w:hint="eastAsia" w:ascii="仿宋_GB2312"/>
                <w:kern w:val="0"/>
                <w:sz w:val="24"/>
              </w:rPr>
              <w:t>财政金融部</w:t>
            </w:r>
          </w:p>
        </w:tc>
        <w:tc>
          <w:tcPr>
            <w:tcW w:w="2127" w:type="dxa"/>
            <w:tcBorders>
              <w:top w:val="single" w:color="000000" w:sz="4" w:space="0"/>
              <w:left w:val="nil"/>
              <w:bottom w:val="single" w:color="000000" w:sz="4" w:space="0"/>
              <w:right w:val="single" w:color="000000" w:sz="4" w:space="0"/>
            </w:tcBorders>
            <w:vAlign w:val="center"/>
          </w:tcPr>
          <w:p w14:paraId="4ACB4718">
            <w:pPr>
              <w:spacing w:before="100" w:after="100" w:line="360" w:lineRule="exact"/>
              <w:jc w:val="center"/>
              <w:rPr>
                <w:rFonts w:ascii="仿宋" w:hAnsi="仿宋" w:eastAsia="仿宋"/>
                <w:kern w:val="0"/>
                <w:sz w:val="24"/>
              </w:rPr>
            </w:pPr>
            <w:r>
              <w:rPr>
                <w:rFonts w:hint="eastAsia" w:ascii="仿宋_GB2312"/>
                <w:kern w:val="0"/>
                <w:sz w:val="24"/>
              </w:rPr>
              <w:t>副部长</w:t>
            </w:r>
          </w:p>
        </w:tc>
        <w:tc>
          <w:tcPr>
            <w:tcW w:w="1417" w:type="dxa"/>
            <w:tcBorders>
              <w:top w:val="single" w:color="000000" w:sz="4" w:space="0"/>
              <w:left w:val="nil"/>
              <w:bottom w:val="single" w:color="000000" w:sz="4" w:space="0"/>
              <w:right w:val="single" w:color="000000" w:sz="4" w:space="0"/>
            </w:tcBorders>
            <w:vAlign w:val="center"/>
          </w:tcPr>
          <w:p w14:paraId="482B5271">
            <w:pPr>
              <w:spacing w:before="100" w:after="100" w:line="360" w:lineRule="exact"/>
              <w:jc w:val="center"/>
              <w:rPr>
                <w:rFonts w:ascii="仿宋_GB2312" w:hAnsi="仿宋"/>
                <w:kern w:val="0"/>
                <w:sz w:val="24"/>
              </w:rPr>
            </w:pPr>
            <w:r>
              <w:rPr>
                <w:rFonts w:hint="eastAsia" w:ascii="仿宋_GB2312"/>
                <w:kern w:val="0"/>
                <w:sz w:val="24"/>
              </w:rPr>
              <w:t>6922063</w:t>
            </w:r>
          </w:p>
        </w:tc>
        <w:tc>
          <w:tcPr>
            <w:tcW w:w="1843" w:type="dxa"/>
            <w:tcBorders>
              <w:top w:val="single" w:color="000000" w:sz="4" w:space="0"/>
              <w:left w:val="nil"/>
              <w:bottom w:val="single" w:color="000000" w:sz="4" w:space="0"/>
              <w:right w:val="single" w:color="000000" w:sz="4" w:space="0"/>
            </w:tcBorders>
            <w:vAlign w:val="center"/>
          </w:tcPr>
          <w:p w14:paraId="7DF72A43">
            <w:pPr>
              <w:spacing w:before="100" w:after="100" w:line="360" w:lineRule="exact"/>
              <w:jc w:val="center"/>
              <w:rPr>
                <w:rFonts w:ascii="仿宋_GB2312" w:hAnsi="仿宋"/>
                <w:kern w:val="0"/>
                <w:sz w:val="24"/>
              </w:rPr>
            </w:pPr>
            <w:r>
              <w:rPr>
                <w:rFonts w:hint="eastAsia" w:ascii="仿宋_GB2312"/>
                <w:kern w:val="0"/>
                <w:sz w:val="24"/>
              </w:rPr>
              <w:t>15666586868</w:t>
            </w:r>
          </w:p>
        </w:tc>
      </w:tr>
      <w:tr w14:paraId="43FF4106">
        <w:tblPrEx>
          <w:tblCellMar>
            <w:top w:w="0" w:type="dxa"/>
            <w:left w:w="108" w:type="dxa"/>
            <w:bottom w:w="0" w:type="dxa"/>
            <w:right w:w="108" w:type="dxa"/>
          </w:tblCellMar>
        </w:tblPrEx>
        <w:trPr>
          <w:trHeight w:val="624" w:hRule="atLeast"/>
        </w:trPr>
        <w:tc>
          <w:tcPr>
            <w:tcW w:w="1109" w:type="dxa"/>
            <w:vMerge w:val="continue"/>
            <w:tcBorders>
              <w:left w:val="single" w:color="000000" w:sz="4" w:space="0"/>
              <w:right w:val="single" w:color="000000" w:sz="4" w:space="0"/>
            </w:tcBorders>
            <w:vAlign w:val="center"/>
          </w:tcPr>
          <w:p w14:paraId="3BBA32E2">
            <w:pPr>
              <w:spacing w:line="0" w:lineRule="atLeast"/>
              <w:jc w:val="left"/>
              <w:rPr>
                <w:rFonts w:ascii="仿宋_GB2312" w:hAnsi="仿宋"/>
                <w:kern w:val="0"/>
                <w:sz w:val="24"/>
              </w:rPr>
            </w:pPr>
          </w:p>
        </w:tc>
        <w:tc>
          <w:tcPr>
            <w:tcW w:w="1097" w:type="dxa"/>
            <w:tcBorders>
              <w:top w:val="single" w:color="000000" w:sz="4" w:space="0"/>
              <w:left w:val="nil"/>
              <w:bottom w:val="single" w:color="000000" w:sz="4" w:space="0"/>
              <w:right w:val="single" w:color="000000" w:sz="4" w:space="0"/>
            </w:tcBorders>
            <w:vAlign w:val="center"/>
          </w:tcPr>
          <w:p w14:paraId="57E36558">
            <w:pPr>
              <w:spacing w:line="360" w:lineRule="exact"/>
              <w:jc w:val="center"/>
              <w:rPr>
                <w:rFonts w:ascii="仿宋_GB2312" w:hAnsi="仿宋"/>
                <w:sz w:val="24"/>
              </w:rPr>
            </w:pPr>
            <w:r>
              <w:rPr>
                <w:rFonts w:hint="eastAsia" w:ascii="仿宋_GB2312"/>
                <w:kern w:val="0"/>
                <w:sz w:val="24"/>
              </w:rPr>
              <w:t>刘梦萝</w:t>
            </w:r>
          </w:p>
        </w:tc>
        <w:tc>
          <w:tcPr>
            <w:tcW w:w="2551" w:type="dxa"/>
            <w:tcBorders>
              <w:top w:val="single" w:color="000000" w:sz="4" w:space="0"/>
              <w:left w:val="nil"/>
              <w:bottom w:val="single" w:color="000000" w:sz="4" w:space="0"/>
              <w:right w:val="single" w:color="000000" w:sz="4" w:space="0"/>
            </w:tcBorders>
            <w:vAlign w:val="center"/>
          </w:tcPr>
          <w:p w14:paraId="6A45F1C4">
            <w:pPr>
              <w:spacing w:before="100" w:after="100" w:line="360" w:lineRule="exact"/>
              <w:jc w:val="center"/>
              <w:rPr>
                <w:rFonts w:ascii="仿宋_GB2312" w:hAnsi="仿宋"/>
                <w:kern w:val="0"/>
                <w:sz w:val="24"/>
              </w:rPr>
            </w:pPr>
            <w:r>
              <w:rPr>
                <w:rFonts w:hint="eastAsia" w:ascii="仿宋_GB2312"/>
                <w:kern w:val="0"/>
                <w:sz w:val="24"/>
              </w:rPr>
              <w:t>规划国土建设部</w:t>
            </w:r>
          </w:p>
        </w:tc>
        <w:tc>
          <w:tcPr>
            <w:tcW w:w="2127" w:type="dxa"/>
            <w:tcBorders>
              <w:top w:val="single" w:color="000000" w:sz="4" w:space="0"/>
              <w:left w:val="nil"/>
              <w:bottom w:val="single" w:color="000000" w:sz="4" w:space="0"/>
              <w:right w:val="single" w:color="000000" w:sz="4" w:space="0"/>
            </w:tcBorders>
            <w:vAlign w:val="center"/>
          </w:tcPr>
          <w:p w14:paraId="775006A7">
            <w:pPr>
              <w:spacing w:before="100" w:after="100" w:line="360" w:lineRule="exact"/>
              <w:jc w:val="center"/>
              <w:rPr>
                <w:rFonts w:ascii="仿宋" w:hAnsi="仿宋" w:eastAsia="仿宋"/>
                <w:kern w:val="0"/>
                <w:sz w:val="24"/>
              </w:rPr>
            </w:pPr>
            <w:r>
              <w:rPr>
                <w:rFonts w:hint="eastAsia" w:ascii="仿宋_GB2312"/>
                <w:kern w:val="0"/>
                <w:sz w:val="24"/>
              </w:rPr>
              <w:t>副部长</w:t>
            </w:r>
          </w:p>
        </w:tc>
        <w:tc>
          <w:tcPr>
            <w:tcW w:w="1417" w:type="dxa"/>
            <w:tcBorders>
              <w:top w:val="single" w:color="000000" w:sz="4" w:space="0"/>
              <w:left w:val="nil"/>
              <w:bottom w:val="single" w:color="000000" w:sz="4" w:space="0"/>
              <w:right w:val="single" w:color="000000" w:sz="4" w:space="0"/>
            </w:tcBorders>
            <w:vAlign w:val="center"/>
          </w:tcPr>
          <w:p w14:paraId="0557BED8">
            <w:pPr>
              <w:spacing w:before="100" w:after="100" w:line="360" w:lineRule="exact"/>
              <w:jc w:val="center"/>
              <w:rPr>
                <w:rFonts w:ascii="仿宋_GB2312" w:hAnsi="仿宋"/>
                <w:kern w:val="0"/>
                <w:sz w:val="24"/>
              </w:rPr>
            </w:pPr>
            <w:r>
              <w:rPr>
                <w:rFonts w:ascii="仿宋_GB2312"/>
                <w:kern w:val="0"/>
                <w:sz w:val="24"/>
              </w:rPr>
              <w:t>6922482</w:t>
            </w:r>
          </w:p>
        </w:tc>
        <w:tc>
          <w:tcPr>
            <w:tcW w:w="1843" w:type="dxa"/>
            <w:tcBorders>
              <w:top w:val="single" w:color="000000" w:sz="4" w:space="0"/>
              <w:left w:val="nil"/>
              <w:bottom w:val="single" w:color="000000" w:sz="4" w:space="0"/>
              <w:right w:val="single" w:color="000000" w:sz="4" w:space="0"/>
            </w:tcBorders>
            <w:vAlign w:val="center"/>
          </w:tcPr>
          <w:p w14:paraId="3041B53E">
            <w:pPr>
              <w:spacing w:before="100" w:after="100" w:line="360" w:lineRule="exact"/>
              <w:jc w:val="center"/>
              <w:rPr>
                <w:rFonts w:ascii="仿宋_GB2312" w:hAnsi="仿宋"/>
                <w:kern w:val="0"/>
                <w:sz w:val="24"/>
              </w:rPr>
            </w:pPr>
            <w:r>
              <w:rPr>
                <w:rFonts w:ascii="仿宋_GB2312"/>
                <w:kern w:val="0"/>
                <w:sz w:val="24"/>
              </w:rPr>
              <w:t>15066765821</w:t>
            </w:r>
          </w:p>
        </w:tc>
      </w:tr>
      <w:tr w14:paraId="6703E9ED">
        <w:tblPrEx>
          <w:tblCellMar>
            <w:top w:w="0" w:type="dxa"/>
            <w:left w:w="108" w:type="dxa"/>
            <w:bottom w:w="0" w:type="dxa"/>
            <w:right w:w="108" w:type="dxa"/>
          </w:tblCellMar>
        </w:tblPrEx>
        <w:trPr>
          <w:trHeight w:val="624" w:hRule="atLeast"/>
        </w:trPr>
        <w:tc>
          <w:tcPr>
            <w:tcW w:w="1109" w:type="dxa"/>
            <w:vMerge w:val="continue"/>
            <w:tcBorders>
              <w:left w:val="single" w:color="000000" w:sz="4" w:space="0"/>
              <w:right w:val="single" w:color="000000" w:sz="4" w:space="0"/>
            </w:tcBorders>
            <w:vAlign w:val="center"/>
          </w:tcPr>
          <w:p w14:paraId="1EA084A0">
            <w:pPr>
              <w:spacing w:line="0" w:lineRule="atLeast"/>
              <w:jc w:val="left"/>
              <w:rPr>
                <w:rFonts w:ascii="仿宋_GB2312" w:hAnsi="仿宋"/>
                <w:kern w:val="0"/>
                <w:sz w:val="24"/>
              </w:rPr>
            </w:pPr>
          </w:p>
        </w:tc>
        <w:tc>
          <w:tcPr>
            <w:tcW w:w="1097" w:type="dxa"/>
            <w:tcBorders>
              <w:top w:val="single" w:color="000000" w:sz="4" w:space="0"/>
              <w:left w:val="nil"/>
              <w:bottom w:val="single" w:color="000000" w:sz="4" w:space="0"/>
              <w:right w:val="single" w:color="000000" w:sz="4" w:space="0"/>
            </w:tcBorders>
            <w:vAlign w:val="center"/>
          </w:tcPr>
          <w:p w14:paraId="6303F027">
            <w:pPr>
              <w:spacing w:before="100" w:after="100" w:line="360" w:lineRule="exact"/>
              <w:jc w:val="center"/>
              <w:rPr>
                <w:rFonts w:ascii="仿宋_GB2312" w:hAnsi="仿宋"/>
                <w:sz w:val="24"/>
              </w:rPr>
            </w:pPr>
            <w:r>
              <w:rPr>
                <w:rFonts w:hint="eastAsia" w:ascii="仿宋_GB2312"/>
                <w:kern w:val="0"/>
                <w:sz w:val="24"/>
              </w:rPr>
              <w:t>张  伟</w:t>
            </w:r>
          </w:p>
        </w:tc>
        <w:tc>
          <w:tcPr>
            <w:tcW w:w="2551" w:type="dxa"/>
            <w:tcBorders>
              <w:top w:val="single" w:color="000000" w:sz="4" w:space="0"/>
              <w:left w:val="nil"/>
              <w:bottom w:val="single" w:color="000000" w:sz="4" w:space="0"/>
              <w:right w:val="single" w:color="000000" w:sz="4" w:space="0"/>
            </w:tcBorders>
            <w:vAlign w:val="center"/>
          </w:tcPr>
          <w:p w14:paraId="1FFB7B8B">
            <w:pPr>
              <w:spacing w:before="100" w:after="100" w:line="360" w:lineRule="exact"/>
              <w:jc w:val="center"/>
              <w:rPr>
                <w:rFonts w:ascii="仿宋_GB2312" w:hAnsi="仿宋"/>
                <w:kern w:val="0"/>
                <w:sz w:val="24"/>
              </w:rPr>
            </w:pPr>
            <w:r>
              <w:rPr>
                <w:rFonts w:hint="eastAsia" w:ascii="仿宋_GB2312"/>
                <w:kern w:val="0"/>
                <w:sz w:val="24"/>
              </w:rPr>
              <w:t>综合行政执法局</w:t>
            </w:r>
          </w:p>
        </w:tc>
        <w:tc>
          <w:tcPr>
            <w:tcW w:w="2127" w:type="dxa"/>
            <w:tcBorders>
              <w:top w:val="single" w:color="000000" w:sz="4" w:space="0"/>
              <w:left w:val="nil"/>
              <w:bottom w:val="single" w:color="000000" w:sz="4" w:space="0"/>
              <w:right w:val="single" w:color="000000" w:sz="4" w:space="0"/>
            </w:tcBorders>
            <w:vAlign w:val="center"/>
          </w:tcPr>
          <w:p w14:paraId="6AD41BC0">
            <w:pPr>
              <w:spacing w:before="100" w:after="100" w:line="360" w:lineRule="exact"/>
              <w:jc w:val="center"/>
              <w:rPr>
                <w:rFonts w:ascii="仿宋" w:hAnsi="仿宋" w:eastAsia="仿宋"/>
                <w:kern w:val="0"/>
                <w:sz w:val="24"/>
              </w:rPr>
            </w:pPr>
            <w:r>
              <w:rPr>
                <w:rFonts w:hint="eastAsia" w:ascii="仿宋_GB2312"/>
                <w:kern w:val="0"/>
                <w:sz w:val="24"/>
              </w:rPr>
              <w:t>副局长</w:t>
            </w:r>
          </w:p>
        </w:tc>
        <w:tc>
          <w:tcPr>
            <w:tcW w:w="1417" w:type="dxa"/>
            <w:tcBorders>
              <w:top w:val="single" w:color="000000" w:sz="4" w:space="0"/>
              <w:left w:val="nil"/>
              <w:bottom w:val="single" w:color="000000" w:sz="4" w:space="0"/>
              <w:right w:val="single" w:color="000000" w:sz="4" w:space="0"/>
            </w:tcBorders>
            <w:vAlign w:val="center"/>
          </w:tcPr>
          <w:p w14:paraId="4CDEEC3F">
            <w:pPr>
              <w:spacing w:before="100" w:after="100" w:line="360" w:lineRule="exact"/>
              <w:jc w:val="center"/>
              <w:rPr>
                <w:rFonts w:ascii="仿宋_GB2312" w:hAnsi="仿宋"/>
                <w:kern w:val="0"/>
                <w:sz w:val="24"/>
              </w:rPr>
            </w:pPr>
            <w:r>
              <w:rPr>
                <w:rFonts w:hint="eastAsia" w:ascii="仿宋_GB2312"/>
                <w:kern w:val="0"/>
                <w:sz w:val="24"/>
              </w:rPr>
              <w:t>6922767</w:t>
            </w:r>
          </w:p>
        </w:tc>
        <w:tc>
          <w:tcPr>
            <w:tcW w:w="1843" w:type="dxa"/>
            <w:tcBorders>
              <w:top w:val="single" w:color="000000" w:sz="4" w:space="0"/>
              <w:left w:val="nil"/>
              <w:bottom w:val="single" w:color="000000" w:sz="4" w:space="0"/>
              <w:right w:val="single" w:color="000000" w:sz="4" w:space="0"/>
            </w:tcBorders>
            <w:vAlign w:val="center"/>
          </w:tcPr>
          <w:p w14:paraId="7CA3CD3C">
            <w:pPr>
              <w:spacing w:before="100" w:after="100" w:line="360" w:lineRule="exact"/>
              <w:jc w:val="center"/>
              <w:rPr>
                <w:rFonts w:ascii="仿宋_GB2312" w:hAnsi="仿宋"/>
                <w:kern w:val="0"/>
                <w:sz w:val="24"/>
              </w:rPr>
            </w:pPr>
            <w:r>
              <w:rPr>
                <w:rFonts w:hint="eastAsia" w:ascii="仿宋_GB2312"/>
                <w:kern w:val="0"/>
                <w:sz w:val="24"/>
              </w:rPr>
              <w:t>15005353181</w:t>
            </w:r>
          </w:p>
        </w:tc>
      </w:tr>
      <w:tr w14:paraId="603FFC18">
        <w:tblPrEx>
          <w:tblCellMar>
            <w:top w:w="0" w:type="dxa"/>
            <w:left w:w="108" w:type="dxa"/>
            <w:bottom w:w="0" w:type="dxa"/>
            <w:right w:w="108" w:type="dxa"/>
          </w:tblCellMar>
        </w:tblPrEx>
        <w:trPr>
          <w:trHeight w:val="624" w:hRule="atLeast"/>
        </w:trPr>
        <w:tc>
          <w:tcPr>
            <w:tcW w:w="1109" w:type="dxa"/>
            <w:vMerge w:val="continue"/>
            <w:tcBorders>
              <w:left w:val="single" w:color="000000" w:sz="4" w:space="0"/>
              <w:right w:val="single" w:color="000000" w:sz="4" w:space="0"/>
            </w:tcBorders>
            <w:vAlign w:val="center"/>
          </w:tcPr>
          <w:p w14:paraId="5A5CD90E">
            <w:pPr>
              <w:spacing w:line="0" w:lineRule="atLeast"/>
              <w:jc w:val="left"/>
              <w:rPr>
                <w:rFonts w:ascii="仿宋_GB2312" w:hAnsi="仿宋"/>
                <w:kern w:val="0"/>
                <w:sz w:val="24"/>
              </w:rPr>
            </w:pPr>
          </w:p>
        </w:tc>
        <w:tc>
          <w:tcPr>
            <w:tcW w:w="1097" w:type="dxa"/>
            <w:tcBorders>
              <w:top w:val="single" w:color="000000" w:sz="4" w:space="0"/>
              <w:left w:val="nil"/>
              <w:bottom w:val="single" w:color="000000" w:sz="4" w:space="0"/>
              <w:right w:val="single" w:color="000000" w:sz="4" w:space="0"/>
            </w:tcBorders>
            <w:vAlign w:val="center"/>
          </w:tcPr>
          <w:p w14:paraId="2BC96D37">
            <w:pPr>
              <w:spacing w:before="100" w:after="100" w:line="360" w:lineRule="exact"/>
              <w:jc w:val="center"/>
              <w:rPr>
                <w:rFonts w:ascii="仿宋_GB2312" w:hAnsi="仿宋"/>
                <w:sz w:val="24"/>
              </w:rPr>
            </w:pPr>
            <w:r>
              <w:rPr>
                <w:rFonts w:hint="eastAsia" w:ascii="仿宋_GB2312"/>
                <w:kern w:val="0"/>
                <w:sz w:val="24"/>
              </w:rPr>
              <w:t>曲文龙</w:t>
            </w:r>
          </w:p>
        </w:tc>
        <w:tc>
          <w:tcPr>
            <w:tcW w:w="2551" w:type="dxa"/>
            <w:tcBorders>
              <w:top w:val="single" w:color="000000" w:sz="4" w:space="0"/>
              <w:left w:val="nil"/>
              <w:bottom w:val="single" w:color="000000" w:sz="4" w:space="0"/>
              <w:right w:val="single" w:color="000000" w:sz="4" w:space="0"/>
            </w:tcBorders>
            <w:vAlign w:val="center"/>
          </w:tcPr>
          <w:p w14:paraId="7A27F4A8">
            <w:pPr>
              <w:spacing w:before="100" w:after="100" w:line="360" w:lineRule="exact"/>
              <w:jc w:val="center"/>
              <w:rPr>
                <w:rFonts w:ascii="仿宋_GB2312" w:hAnsi="仿宋"/>
                <w:kern w:val="0"/>
                <w:sz w:val="24"/>
              </w:rPr>
            </w:pPr>
            <w:r>
              <w:rPr>
                <w:rFonts w:hint="eastAsia" w:ascii="仿宋_GB2312"/>
                <w:kern w:val="0"/>
                <w:sz w:val="24"/>
              </w:rPr>
              <w:t>法制中心</w:t>
            </w:r>
          </w:p>
        </w:tc>
        <w:tc>
          <w:tcPr>
            <w:tcW w:w="2127" w:type="dxa"/>
            <w:tcBorders>
              <w:top w:val="single" w:color="000000" w:sz="4" w:space="0"/>
              <w:left w:val="nil"/>
              <w:bottom w:val="single" w:color="000000" w:sz="4" w:space="0"/>
              <w:right w:val="single" w:color="000000" w:sz="4" w:space="0"/>
            </w:tcBorders>
            <w:vAlign w:val="center"/>
          </w:tcPr>
          <w:p w14:paraId="788932C2">
            <w:pPr>
              <w:spacing w:before="100" w:after="100" w:line="360" w:lineRule="exact"/>
              <w:jc w:val="center"/>
              <w:rPr>
                <w:rFonts w:ascii="仿宋" w:hAnsi="仿宋" w:eastAsia="仿宋"/>
                <w:kern w:val="0"/>
                <w:sz w:val="24"/>
              </w:rPr>
            </w:pPr>
            <w:r>
              <w:rPr>
                <w:rFonts w:hint="eastAsia" w:ascii="仿宋_GB2312"/>
                <w:kern w:val="0"/>
                <w:sz w:val="24"/>
              </w:rPr>
              <w:t>副主任</w:t>
            </w:r>
          </w:p>
        </w:tc>
        <w:tc>
          <w:tcPr>
            <w:tcW w:w="1417" w:type="dxa"/>
            <w:tcBorders>
              <w:top w:val="single" w:color="000000" w:sz="4" w:space="0"/>
              <w:left w:val="nil"/>
              <w:bottom w:val="single" w:color="000000" w:sz="4" w:space="0"/>
              <w:right w:val="single" w:color="000000" w:sz="4" w:space="0"/>
            </w:tcBorders>
            <w:vAlign w:val="center"/>
          </w:tcPr>
          <w:p w14:paraId="2A88188B">
            <w:pPr>
              <w:spacing w:before="100" w:after="100" w:line="360" w:lineRule="exact"/>
              <w:jc w:val="center"/>
              <w:rPr>
                <w:rFonts w:ascii="仿宋_GB2312" w:hAnsi="仿宋"/>
                <w:kern w:val="0"/>
                <w:sz w:val="24"/>
              </w:rPr>
            </w:pPr>
            <w:r>
              <w:rPr>
                <w:rFonts w:hint="eastAsia" w:ascii="仿宋_GB2312"/>
                <w:kern w:val="0"/>
                <w:sz w:val="24"/>
              </w:rPr>
              <w:t>6922564</w:t>
            </w:r>
          </w:p>
        </w:tc>
        <w:tc>
          <w:tcPr>
            <w:tcW w:w="1843" w:type="dxa"/>
            <w:tcBorders>
              <w:top w:val="single" w:color="000000" w:sz="4" w:space="0"/>
              <w:left w:val="nil"/>
              <w:bottom w:val="single" w:color="000000" w:sz="4" w:space="0"/>
              <w:right w:val="single" w:color="000000" w:sz="4" w:space="0"/>
            </w:tcBorders>
            <w:vAlign w:val="center"/>
          </w:tcPr>
          <w:p w14:paraId="5C39360D">
            <w:pPr>
              <w:spacing w:before="100" w:after="100" w:line="360" w:lineRule="exact"/>
              <w:jc w:val="center"/>
              <w:rPr>
                <w:rFonts w:ascii="仿宋_GB2312" w:hAnsi="仿宋"/>
                <w:kern w:val="0"/>
                <w:sz w:val="24"/>
              </w:rPr>
            </w:pPr>
            <w:r>
              <w:rPr>
                <w:rFonts w:hint="eastAsia" w:ascii="仿宋_GB2312"/>
                <w:kern w:val="0"/>
                <w:sz w:val="24"/>
              </w:rPr>
              <w:t>18563852260</w:t>
            </w:r>
          </w:p>
        </w:tc>
      </w:tr>
      <w:tr w14:paraId="3852A9F5">
        <w:tblPrEx>
          <w:tblCellMar>
            <w:top w:w="0" w:type="dxa"/>
            <w:left w:w="108" w:type="dxa"/>
            <w:bottom w:w="0" w:type="dxa"/>
            <w:right w:w="108" w:type="dxa"/>
          </w:tblCellMar>
        </w:tblPrEx>
        <w:trPr>
          <w:trHeight w:val="624" w:hRule="atLeast"/>
        </w:trPr>
        <w:tc>
          <w:tcPr>
            <w:tcW w:w="1109" w:type="dxa"/>
            <w:vMerge w:val="continue"/>
            <w:tcBorders>
              <w:left w:val="single" w:color="000000" w:sz="4" w:space="0"/>
              <w:right w:val="single" w:color="000000" w:sz="4" w:space="0"/>
            </w:tcBorders>
            <w:vAlign w:val="center"/>
          </w:tcPr>
          <w:p w14:paraId="253D52E6">
            <w:pPr>
              <w:spacing w:line="0" w:lineRule="atLeast"/>
              <w:jc w:val="left"/>
              <w:rPr>
                <w:rFonts w:ascii="仿宋_GB2312" w:hAnsi="仿宋"/>
                <w:kern w:val="0"/>
                <w:sz w:val="24"/>
              </w:rPr>
            </w:pPr>
          </w:p>
        </w:tc>
        <w:tc>
          <w:tcPr>
            <w:tcW w:w="1097" w:type="dxa"/>
            <w:tcBorders>
              <w:top w:val="single" w:color="000000" w:sz="4" w:space="0"/>
              <w:left w:val="nil"/>
              <w:bottom w:val="single" w:color="000000" w:sz="4" w:space="0"/>
              <w:right w:val="single" w:color="000000" w:sz="4" w:space="0"/>
            </w:tcBorders>
            <w:vAlign w:val="center"/>
          </w:tcPr>
          <w:p w14:paraId="24AB338C">
            <w:pPr>
              <w:spacing w:before="100" w:after="100" w:line="360" w:lineRule="exact"/>
              <w:jc w:val="center"/>
              <w:rPr>
                <w:rFonts w:ascii="仿宋_GB2312" w:hAnsi="仿宋"/>
                <w:sz w:val="24"/>
              </w:rPr>
            </w:pPr>
            <w:r>
              <w:rPr>
                <w:rFonts w:hint="eastAsia" w:ascii="仿宋_GB2312"/>
                <w:kern w:val="0"/>
                <w:sz w:val="24"/>
              </w:rPr>
              <w:t>刘奎玉</w:t>
            </w:r>
          </w:p>
        </w:tc>
        <w:tc>
          <w:tcPr>
            <w:tcW w:w="2551" w:type="dxa"/>
            <w:tcBorders>
              <w:top w:val="single" w:color="000000" w:sz="4" w:space="0"/>
              <w:left w:val="nil"/>
              <w:bottom w:val="single" w:color="000000" w:sz="4" w:space="0"/>
              <w:right w:val="single" w:color="000000" w:sz="4" w:space="0"/>
            </w:tcBorders>
            <w:vAlign w:val="center"/>
          </w:tcPr>
          <w:p w14:paraId="4DD03C7F">
            <w:pPr>
              <w:spacing w:before="100" w:after="100" w:line="360" w:lineRule="exact"/>
              <w:jc w:val="center"/>
              <w:rPr>
                <w:rFonts w:ascii="仿宋_GB2312"/>
                <w:kern w:val="0"/>
                <w:sz w:val="24"/>
              </w:rPr>
            </w:pPr>
            <w:r>
              <w:rPr>
                <w:rFonts w:hint="eastAsia" w:ascii="仿宋_GB2312"/>
                <w:kern w:val="0"/>
                <w:sz w:val="24"/>
              </w:rPr>
              <w:t>公安分局</w:t>
            </w:r>
          </w:p>
        </w:tc>
        <w:tc>
          <w:tcPr>
            <w:tcW w:w="2127" w:type="dxa"/>
            <w:tcBorders>
              <w:top w:val="single" w:color="000000" w:sz="4" w:space="0"/>
              <w:left w:val="nil"/>
              <w:bottom w:val="single" w:color="000000" w:sz="4" w:space="0"/>
              <w:right w:val="single" w:color="000000" w:sz="4" w:space="0"/>
            </w:tcBorders>
            <w:vAlign w:val="center"/>
          </w:tcPr>
          <w:p w14:paraId="08C96ADB">
            <w:pPr>
              <w:spacing w:before="100" w:after="100" w:line="360" w:lineRule="exact"/>
              <w:jc w:val="center"/>
              <w:rPr>
                <w:rFonts w:ascii="仿宋" w:hAnsi="仿宋" w:eastAsia="仿宋"/>
                <w:kern w:val="0"/>
                <w:sz w:val="24"/>
              </w:rPr>
            </w:pPr>
            <w:r>
              <w:rPr>
                <w:rFonts w:hint="eastAsia" w:ascii="仿宋_GB2312"/>
                <w:kern w:val="0"/>
                <w:sz w:val="24"/>
              </w:rPr>
              <w:t>副局长</w:t>
            </w:r>
          </w:p>
        </w:tc>
        <w:tc>
          <w:tcPr>
            <w:tcW w:w="1417" w:type="dxa"/>
            <w:tcBorders>
              <w:top w:val="single" w:color="000000" w:sz="4" w:space="0"/>
              <w:left w:val="nil"/>
              <w:bottom w:val="single" w:color="000000" w:sz="4" w:space="0"/>
              <w:right w:val="single" w:color="000000" w:sz="4" w:space="0"/>
            </w:tcBorders>
            <w:vAlign w:val="center"/>
          </w:tcPr>
          <w:p w14:paraId="50EBCF42">
            <w:pPr>
              <w:spacing w:before="100" w:after="100" w:line="360" w:lineRule="exact"/>
              <w:jc w:val="center"/>
              <w:rPr>
                <w:rFonts w:ascii="仿宋_GB2312" w:hAnsi="仿宋"/>
                <w:kern w:val="0"/>
                <w:sz w:val="24"/>
              </w:rPr>
            </w:pPr>
            <w:r>
              <w:rPr>
                <w:rFonts w:hint="eastAsia" w:ascii="仿宋_GB2312"/>
                <w:kern w:val="0"/>
                <w:sz w:val="24"/>
              </w:rPr>
              <w:t>6922715</w:t>
            </w:r>
          </w:p>
        </w:tc>
        <w:tc>
          <w:tcPr>
            <w:tcW w:w="1843" w:type="dxa"/>
            <w:tcBorders>
              <w:top w:val="single" w:color="000000" w:sz="4" w:space="0"/>
              <w:left w:val="nil"/>
              <w:bottom w:val="single" w:color="000000" w:sz="4" w:space="0"/>
              <w:right w:val="single" w:color="000000" w:sz="4" w:space="0"/>
            </w:tcBorders>
            <w:vAlign w:val="center"/>
          </w:tcPr>
          <w:p w14:paraId="4B310D15">
            <w:pPr>
              <w:spacing w:before="100" w:after="100" w:line="360" w:lineRule="exact"/>
              <w:jc w:val="center"/>
              <w:rPr>
                <w:rFonts w:ascii="仿宋_GB2312" w:hAnsi="仿宋"/>
                <w:kern w:val="0"/>
                <w:sz w:val="24"/>
              </w:rPr>
            </w:pPr>
            <w:r>
              <w:rPr>
                <w:rFonts w:hint="eastAsia" w:ascii="仿宋_GB2312"/>
                <w:kern w:val="0"/>
                <w:sz w:val="24"/>
              </w:rPr>
              <w:t>18815351007</w:t>
            </w:r>
          </w:p>
        </w:tc>
      </w:tr>
      <w:tr w14:paraId="205D9BCE">
        <w:tblPrEx>
          <w:tblCellMar>
            <w:top w:w="0" w:type="dxa"/>
            <w:left w:w="108" w:type="dxa"/>
            <w:bottom w:w="0" w:type="dxa"/>
            <w:right w:w="108" w:type="dxa"/>
          </w:tblCellMar>
        </w:tblPrEx>
        <w:trPr>
          <w:trHeight w:val="624" w:hRule="atLeast"/>
        </w:trPr>
        <w:tc>
          <w:tcPr>
            <w:tcW w:w="1109" w:type="dxa"/>
            <w:vMerge w:val="continue"/>
            <w:tcBorders>
              <w:left w:val="single" w:color="000000" w:sz="4" w:space="0"/>
              <w:right w:val="single" w:color="000000" w:sz="4" w:space="0"/>
            </w:tcBorders>
            <w:vAlign w:val="center"/>
          </w:tcPr>
          <w:p w14:paraId="1024F865">
            <w:pPr>
              <w:spacing w:line="0" w:lineRule="atLeast"/>
              <w:jc w:val="left"/>
              <w:rPr>
                <w:rFonts w:ascii="仿宋_GB2312" w:hAnsi="仿宋"/>
                <w:kern w:val="0"/>
                <w:sz w:val="24"/>
              </w:rPr>
            </w:pPr>
          </w:p>
        </w:tc>
        <w:tc>
          <w:tcPr>
            <w:tcW w:w="1097" w:type="dxa"/>
            <w:tcBorders>
              <w:top w:val="single" w:color="000000" w:sz="4" w:space="0"/>
              <w:left w:val="nil"/>
              <w:bottom w:val="single" w:color="000000" w:sz="4" w:space="0"/>
              <w:right w:val="single" w:color="000000" w:sz="4" w:space="0"/>
            </w:tcBorders>
            <w:vAlign w:val="center"/>
          </w:tcPr>
          <w:p w14:paraId="29AA3F11">
            <w:pPr>
              <w:spacing w:line="360" w:lineRule="exact"/>
              <w:jc w:val="center"/>
              <w:rPr>
                <w:rFonts w:ascii="仿宋_GB2312" w:hAnsi="仿宋"/>
                <w:sz w:val="24"/>
              </w:rPr>
            </w:pPr>
            <w:r>
              <w:rPr>
                <w:rFonts w:hint="eastAsia" w:ascii="仿宋_GB2312"/>
                <w:kern w:val="0"/>
                <w:sz w:val="24"/>
              </w:rPr>
              <w:t>曲  飞</w:t>
            </w:r>
          </w:p>
        </w:tc>
        <w:tc>
          <w:tcPr>
            <w:tcW w:w="2551" w:type="dxa"/>
            <w:tcBorders>
              <w:top w:val="single" w:color="000000" w:sz="4" w:space="0"/>
              <w:left w:val="nil"/>
              <w:bottom w:val="single" w:color="000000" w:sz="4" w:space="0"/>
              <w:right w:val="single" w:color="000000" w:sz="4" w:space="0"/>
            </w:tcBorders>
            <w:vAlign w:val="center"/>
          </w:tcPr>
          <w:p w14:paraId="25F42DFA">
            <w:pPr>
              <w:spacing w:before="100" w:after="100" w:line="360" w:lineRule="exact"/>
              <w:jc w:val="center"/>
              <w:rPr>
                <w:rFonts w:ascii="仿宋_GB2312" w:hAnsi="仿宋"/>
                <w:kern w:val="0"/>
                <w:sz w:val="24"/>
              </w:rPr>
            </w:pPr>
            <w:r>
              <w:rPr>
                <w:rFonts w:hint="eastAsia" w:ascii="仿宋_GB2312"/>
                <w:kern w:val="0"/>
                <w:sz w:val="24"/>
              </w:rPr>
              <w:t>卫生健康管理办公室</w:t>
            </w:r>
          </w:p>
        </w:tc>
        <w:tc>
          <w:tcPr>
            <w:tcW w:w="2127" w:type="dxa"/>
            <w:tcBorders>
              <w:top w:val="single" w:color="000000" w:sz="4" w:space="0"/>
              <w:left w:val="nil"/>
              <w:bottom w:val="single" w:color="000000" w:sz="4" w:space="0"/>
              <w:right w:val="single" w:color="000000" w:sz="4" w:space="0"/>
            </w:tcBorders>
            <w:vAlign w:val="center"/>
          </w:tcPr>
          <w:p w14:paraId="6EE25442">
            <w:pPr>
              <w:spacing w:before="100" w:after="100" w:line="360" w:lineRule="exact"/>
              <w:jc w:val="center"/>
              <w:rPr>
                <w:rFonts w:ascii="仿宋" w:hAnsi="仿宋" w:eastAsia="仿宋"/>
                <w:kern w:val="0"/>
                <w:sz w:val="24"/>
              </w:rPr>
            </w:pPr>
            <w:r>
              <w:rPr>
                <w:rFonts w:hint="eastAsia" w:ascii="仿宋_GB2312"/>
                <w:kern w:val="0"/>
                <w:sz w:val="24"/>
              </w:rPr>
              <w:t>区疾控中心主任</w:t>
            </w:r>
          </w:p>
        </w:tc>
        <w:tc>
          <w:tcPr>
            <w:tcW w:w="1417" w:type="dxa"/>
            <w:tcBorders>
              <w:top w:val="single" w:color="000000" w:sz="4" w:space="0"/>
              <w:left w:val="nil"/>
              <w:bottom w:val="single" w:color="000000" w:sz="4" w:space="0"/>
              <w:right w:val="single" w:color="000000" w:sz="4" w:space="0"/>
            </w:tcBorders>
            <w:vAlign w:val="center"/>
          </w:tcPr>
          <w:p w14:paraId="2B370241">
            <w:pPr>
              <w:spacing w:before="100" w:after="100" w:line="360" w:lineRule="exact"/>
              <w:jc w:val="center"/>
              <w:rPr>
                <w:rFonts w:ascii="仿宋_GB2312" w:hAnsi="仿宋"/>
                <w:kern w:val="0"/>
                <w:sz w:val="24"/>
              </w:rPr>
            </w:pPr>
            <w:r>
              <w:rPr>
                <w:rFonts w:hint="eastAsia" w:ascii="仿宋_GB2312"/>
                <w:kern w:val="0"/>
                <w:sz w:val="24"/>
              </w:rPr>
              <w:t>6925269</w:t>
            </w:r>
          </w:p>
        </w:tc>
        <w:tc>
          <w:tcPr>
            <w:tcW w:w="1843" w:type="dxa"/>
            <w:tcBorders>
              <w:top w:val="single" w:color="000000" w:sz="4" w:space="0"/>
              <w:left w:val="nil"/>
              <w:bottom w:val="single" w:color="000000" w:sz="4" w:space="0"/>
              <w:right w:val="single" w:color="000000" w:sz="4" w:space="0"/>
            </w:tcBorders>
            <w:vAlign w:val="center"/>
          </w:tcPr>
          <w:p w14:paraId="27742805">
            <w:pPr>
              <w:spacing w:before="100" w:after="100" w:line="360" w:lineRule="exact"/>
              <w:jc w:val="center"/>
              <w:rPr>
                <w:rFonts w:ascii="仿宋_GB2312" w:hAnsi="仿宋"/>
                <w:kern w:val="0"/>
                <w:sz w:val="24"/>
              </w:rPr>
            </w:pPr>
            <w:r>
              <w:rPr>
                <w:rFonts w:hint="eastAsia" w:ascii="仿宋_GB2312"/>
                <w:kern w:val="0"/>
                <w:sz w:val="24"/>
              </w:rPr>
              <w:t>15192237979</w:t>
            </w:r>
          </w:p>
        </w:tc>
      </w:tr>
      <w:tr w14:paraId="740C9A85">
        <w:tblPrEx>
          <w:tblCellMar>
            <w:top w:w="0" w:type="dxa"/>
            <w:left w:w="108" w:type="dxa"/>
            <w:bottom w:w="0" w:type="dxa"/>
            <w:right w:w="108" w:type="dxa"/>
          </w:tblCellMar>
        </w:tblPrEx>
        <w:trPr>
          <w:trHeight w:val="624" w:hRule="atLeast"/>
        </w:trPr>
        <w:tc>
          <w:tcPr>
            <w:tcW w:w="1109" w:type="dxa"/>
            <w:vMerge w:val="continue"/>
            <w:tcBorders>
              <w:left w:val="single" w:color="000000" w:sz="4" w:space="0"/>
              <w:right w:val="single" w:color="000000" w:sz="4" w:space="0"/>
            </w:tcBorders>
            <w:vAlign w:val="center"/>
          </w:tcPr>
          <w:p w14:paraId="09C8DB8B">
            <w:pPr>
              <w:spacing w:line="0" w:lineRule="atLeast"/>
              <w:jc w:val="left"/>
              <w:rPr>
                <w:rFonts w:ascii="仿宋_GB2312" w:hAnsi="仿宋"/>
                <w:kern w:val="0"/>
                <w:sz w:val="24"/>
              </w:rPr>
            </w:pPr>
          </w:p>
        </w:tc>
        <w:tc>
          <w:tcPr>
            <w:tcW w:w="1097" w:type="dxa"/>
            <w:tcBorders>
              <w:top w:val="single" w:color="000000" w:sz="4" w:space="0"/>
              <w:left w:val="nil"/>
              <w:bottom w:val="single" w:color="000000" w:sz="4" w:space="0"/>
              <w:right w:val="single" w:color="000000" w:sz="4" w:space="0"/>
            </w:tcBorders>
            <w:vAlign w:val="center"/>
          </w:tcPr>
          <w:p w14:paraId="191A3335">
            <w:pPr>
              <w:spacing w:before="100" w:after="100" w:line="360" w:lineRule="exact"/>
              <w:jc w:val="center"/>
              <w:rPr>
                <w:rFonts w:ascii="仿宋_GB2312" w:hAnsi="仿宋"/>
                <w:kern w:val="0"/>
                <w:sz w:val="24"/>
              </w:rPr>
            </w:pPr>
            <w:r>
              <w:rPr>
                <w:rFonts w:hint="eastAsia" w:ascii="仿宋_GB2312"/>
                <w:kern w:val="0"/>
                <w:sz w:val="24"/>
              </w:rPr>
              <w:t>丛义明</w:t>
            </w:r>
          </w:p>
        </w:tc>
        <w:tc>
          <w:tcPr>
            <w:tcW w:w="2551" w:type="dxa"/>
            <w:tcBorders>
              <w:top w:val="single" w:color="000000" w:sz="4" w:space="0"/>
              <w:left w:val="nil"/>
              <w:bottom w:val="single" w:color="000000" w:sz="4" w:space="0"/>
              <w:right w:val="single" w:color="000000" w:sz="4" w:space="0"/>
            </w:tcBorders>
            <w:vAlign w:val="center"/>
          </w:tcPr>
          <w:p w14:paraId="73A964EE">
            <w:pPr>
              <w:spacing w:before="100" w:after="100" w:line="360" w:lineRule="exact"/>
              <w:jc w:val="center"/>
              <w:rPr>
                <w:rFonts w:ascii="仿宋_GB2312" w:hAnsi="仿宋"/>
                <w:kern w:val="0"/>
                <w:sz w:val="24"/>
              </w:rPr>
            </w:pPr>
            <w:r>
              <w:rPr>
                <w:rFonts w:hint="eastAsia" w:ascii="仿宋_GB2312"/>
                <w:kern w:val="0"/>
                <w:sz w:val="24"/>
              </w:rPr>
              <w:t>应急管理局</w:t>
            </w:r>
          </w:p>
        </w:tc>
        <w:tc>
          <w:tcPr>
            <w:tcW w:w="2127" w:type="dxa"/>
            <w:tcBorders>
              <w:top w:val="single" w:color="000000" w:sz="4" w:space="0"/>
              <w:left w:val="nil"/>
              <w:bottom w:val="single" w:color="000000" w:sz="4" w:space="0"/>
              <w:right w:val="single" w:color="000000" w:sz="4" w:space="0"/>
            </w:tcBorders>
            <w:vAlign w:val="center"/>
          </w:tcPr>
          <w:p w14:paraId="04C7323D">
            <w:pPr>
              <w:spacing w:before="100" w:after="100" w:line="360" w:lineRule="exact"/>
              <w:jc w:val="center"/>
              <w:rPr>
                <w:rFonts w:ascii="仿宋" w:hAnsi="仿宋" w:eastAsia="仿宋"/>
                <w:kern w:val="0"/>
                <w:sz w:val="24"/>
              </w:rPr>
            </w:pPr>
            <w:r>
              <w:rPr>
                <w:rFonts w:hint="eastAsia" w:ascii="仿宋_GB2312"/>
                <w:kern w:val="0"/>
                <w:sz w:val="24"/>
              </w:rPr>
              <w:t>副局长</w:t>
            </w:r>
          </w:p>
        </w:tc>
        <w:tc>
          <w:tcPr>
            <w:tcW w:w="1417" w:type="dxa"/>
            <w:tcBorders>
              <w:top w:val="single" w:color="000000" w:sz="4" w:space="0"/>
              <w:left w:val="nil"/>
              <w:bottom w:val="single" w:color="000000" w:sz="4" w:space="0"/>
              <w:right w:val="single" w:color="000000" w:sz="4" w:space="0"/>
            </w:tcBorders>
            <w:vAlign w:val="center"/>
          </w:tcPr>
          <w:p w14:paraId="5FAD7EDB">
            <w:pPr>
              <w:spacing w:before="100" w:after="100" w:line="360" w:lineRule="exact"/>
              <w:jc w:val="center"/>
              <w:rPr>
                <w:rFonts w:ascii="仿宋_GB2312" w:hAnsi="仿宋"/>
                <w:kern w:val="0"/>
                <w:sz w:val="24"/>
              </w:rPr>
            </w:pPr>
            <w:r>
              <w:rPr>
                <w:rFonts w:hint="eastAsia" w:ascii="仿宋_GB2312"/>
                <w:kern w:val="0"/>
                <w:sz w:val="24"/>
              </w:rPr>
              <w:t>6922119</w:t>
            </w:r>
          </w:p>
        </w:tc>
        <w:tc>
          <w:tcPr>
            <w:tcW w:w="1843" w:type="dxa"/>
            <w:tcBorders>
              <w:top w:val="single" w:color="000000" w:sz="4" w:space="0"/>
              <w:left w:val="nil"/>
              <w:bottom w:val="single" w:color="000000" w:sz="4" w:space="0"/>
              <w:right w:val="single" w:color="000000" w:sz="4" w:space="0"/>
            </w:tcBorders>
            <w:vAlign w:val="center"/>
          </w:tcPr>
          <w:p w14:paraId="3FCD395E">
            <w:pPr>
              <w:spacing w:before="100" w:after="100" w:line="360" w:lineRule="exact"/>
              <w:jc w:val="center"/>
              <w:rPr>
                <w:rFonts w:ascii="仿宋_GB2312" w:hAnsi="仿宋"/>
                <w:kern w:val="0"/>
                <w:sz w:val="24"/>
              </w:rPr>
            </w:pPr>
            <w:r>
              <w:rPr>
                <w:rFonts w:hint="eastAsia" w:ascii="仿宋_GB2312"/>
                <w:kern w:val="0"/>
                <w:sz w:val="24"/>
              </w:rPr>
              <w:t>15005353119</w:t>
            </w:r>
          </w:p>
        </w:tc>
      </w:tr>
      <w:tr w14:paraId="61AB95AB">
        <w:tblPrEx>
          <w:tblCellMar>
            <w:top w:w="0" w:type="dxa"/>
            <w:left w:w="108" w:type="dxa"/>
            <w:bottom w:w="0" w:type="dxa"/>
            <w:right w:w="108" w:type="dxa"/>
          </w:tblCellMar>
        </w:tblPrEx>
        <w:trPr>
          <w:trHeight w:val="624" w:hRule="atLeast"/>
        </w:trPr>
        <w:tc>
          <w:tcPr>
            <w:tcW w:w="1109" w:type="dxa"/>
            <w:tcBorders>
              <w:left w:val="single" w:color="000000" w:sz="4" w:space="0"/>
              <w:right w:val="single" w:color="000000" w:sz="4" w:space="0"/>
            </w:tcBorders>
            <w:vAlign w:val="center"/>
          </w:tcPr>
          <w:p w14:paraId="7DA15F5B">
            <w:pPr>
              <w:spacing w:line="0" w:lineRule="atLeast"/>
              <w:jc w:val="left"/>
              <w:rPr>
                <w:rFonts w:ascii="仿宋_GB2312"/>
                <w:kern w:val="0"/>
                <w:sz w:val="24"/>
              </w:rPr>
            </w:pPr>
          </w:p>
        </w:tc>
        <w:tc>
          <w:tcPr>
            <w:tcW w:w="1097" w:type="dxa"/>
            <w:tcBorders>
              <w:top w:val="single" w:color="000000" w:sz="4" w:space="0"/>
              <w:left w:val="nil"/>
              <w:bottom w:val="single" w:color="000000" w:sz="4" w:space="0"/>
              <w:right w:val="single" w:color="000000" w:sz="4" w:space="0"/>
            </w:tcBorders>
            <w:vAlign w:val="center"/>
          </w:tcPr>
          <w:p w14:paraId="66C00D19">
            <w:pPr>
              <w:spacing w:before="100" w:after="100" w:line="360" w:lineRule="exact"/>
              <w:jc w:val="center"/>
              <w:rPr>
                <w:rFonts w:ascii="仿宋_GB2312"/>
                <w:kern w:val="0"/>
                <w:sz w:val="24"/>
              </w:rPr>
            </w:pPr>
            <w:r>
              <w:rPr>
                <w:rFonts w:hint="eastAsia" w:ascii="仿宋_GB2312"/>
                <w:kern w:val="0"/>
                <w:sz w:val="24"/>
              </w:rPr>
              <w:t>毕明文</w:t>
            </w:r>
          </w:p>
        </w:tc>
        <w:tc>
          <w:tcPr>
            <w:tcW w:w="2551" w:type="dxa"/>
            <w:tcBorders>
              <w:top w:val="single" w:color="000000" w:sz="4" w:space="0"/>
              <w:left w:val="nil"/>
              <w:bottom w:val="single" w:color="000000" w:sz="4" w:space="0"/>
              <w:right w:val="single" w:color="000000" w:sz="4" w:space="0"/>
            </w:tcBorders>
            <w:vAlign w:val="center"/>
          </w:tcPr>
          <w:p w14:paraId="2FE7C430">
            <w:pPr>
              <w:spacing w:before="100" w:after="100" w:line="360" w:lineRule="exact"/>
              <w:jc w:val="center"/>
              <w:rPr>
                <w:rFonts w:ascii="仿宋_GB2312"/>
                <w:kern w:val="0"/>
                <w:sz w:val="24"/>
              </w:rPr>
            </w:pPr>
            <w:r>
              <w:rPr>
                <w:rFonts w:hint="eastAsia" w:ascii="仿宋_GB2312"/>
                <w:kern w:val="0"/>
                <w:sz w:val="24"/>
              </w:rPr>
              <w:t>交警五大队</w:t>
            </w:r>
          </w:p>
        </w:tc>
        <w:tc>
          <w:tcPr>
            <w:tcW w:w="2127" w:type="dxa"/>
            <w:tcBorders>
              <w:top w:val="single" w:color="000000" w:sz="4" w:space="0"/>
              <w:left w:val="nil"/>
              <w:bottom w:val="single" w:color="000000" w:sz="4" w:space="0"/>
              <w:right w:val="single" w:color="000000" w:sz="4" w:space="0"/>
            </w:tcBorders>
            <w:vAlign w:val="center"/>
          </w:tcPr>
          <w:p w14:paraId="53C149A6">
            <w:pPr>
              <w:spacing w:before="100" w:after="100" w:line="360" w:lineRule="exact"/>
              <w:jc w:val="center"/>
              <w:rPr>
                <w:rFonts w:ascii="仿宋_GB2312"/>
                <w:kern w:val="0"/>
                <w:sz w:val="24"/>
              </w:rPr>
            </w:pPr>
            <w:r>
              <w:rPr>
                <w:rFonts w:hint="eastAsia" w:ascii="仿宋_GB2312"/>
                <w:kern w:val="0"/>
                <w:sz w:val="24"/>
              </w:rPr>
              <w:t>勤务负责人</w:t>
            </w:r>
          </w:p>
        </w:tc>
        <w:tc>
          <w:tcPr>
            <w:tcW w:w="1417" w:type="dxa"/>
            <w:tcBorders>
              <w:top w:val="single" w:color="000000" w:sz="4" w:space="0"/>
              <w:left w:val="nil"/>
              <w:bottom w:val="single" w:color="000000" w:sz="4" w:space="0"/>
              <w:right w:val="single" w:color="000000" w:sz="4" w:space="0"/>
            </w:tcBorders>
            <w:vAlign w:val="center"/>
          </w:tcPr>
          <w:p w14:paraId="31934B08">
            <w:pPr>
              <w:spacing w:before="100" w:after="100" w:line="360" w:lineRule="exact"/>
              <w:jc w:val="center"/>
              <w:rPr>
                <w:rFonts w:ascii="仿宋_GB2312"/>
                <w:kern w:val="0"/>
                <w:sz w:val="24"/>
              </w:rPr>
            </w:pPr>
            <w:r>
              <w:rPr>
                <w:rFonts w:hint="eastAsia" w:ascii="仿宋_GB2312"/>
                <w:kern w:val="0"/>
                <w:sz w:val="24"/>
              </w:rPr>
              <w:t>3246485</w:t>
            </w:r>
          </w:p>
        </w:tc>
        <w:tc>
          <w:tcPr>
            <w:tcW w:w="1843" w:type="dxa"/>
            <w:tcBorders>
              <w:top w:val="single" w:color="000000" w:sz="4" w:space="0"/>
              <w:left w:val="nil"/>
              <w:bottom w:val="single" w:color="000000" w:sz="4" w:space="0"/>
              <w:right w:val="single" w:color="000000" w:sz="4" w:space="0"/>
            </w:tcBorders>
            <w:vAlign w:val="center"/>
          </w:tcPr>
          <w:p w14:paraId="4B26F270">
            <w:pPr>
              <w:spacing w:before="100" w:after="100" w:line="360" w:lineRule="exact"/>
              <w:jc w:val="center"/>
              <w:rPr>
                <w:rFonts w:ascii="仿宋_GB2312"/>
                <w:kern w:val="0"/>
                <w:sz w:val="24"/>
              </w:rPr>
            </w:pPr>
            <w:r>
              <w:rPr>
                <w:rFonts w:ascii="仿宋_GB2312"/>
                <w:kern w:val="0"/>
                <w:sz w:val="24"/>
              </w:rPr>
              <w:t>15166881555</w:t>
            </w:r>
          </w:p>
        </w:tc>
      </w:tr>
      <w:tr w14:paraId="32D6386F">
        <w:tblPrEx>
          <w:tblCellMar>
            <w:top w:w="0" w:type="dxa"/>
            <w:left w:w="108" w:type="dxa"/>
            <w:bottom w:w="0" w:type="dxa"/>
            <w:right w:w="108" w:type="dxa"/>
          </w:tblCellMar>
        </w:tblPrEx>
        <w:trPr>
          <w:trHeight w:val="416" w:hRule="atLeast"/>
        </w:trPr>
        <w:tc>
          <w:tcPr>
            <w:tcW w:w="1109" w:type="dxa"/>
            <w:tcBorders>
              <w:left w:val="single" w:color="000000" w:sz="4" w:space="0"/>
              <w:bottom w:val="single" w:color="000000" w:sz="4" w:space="0"/>
              <w:right w:val="single" w:color="000000" w:sz="4" w:space="0"/>
            </w:tcBorders>
            <w:vAlign w:val="center"/>
          </w:tcPr>
          <w:p w14:paraId="246B34D4">
            <w:pPr>
              <w:spacing w:line="0" w:lineRule="atLeast"/>
              <w:jc w:val="left"/>
              <w:rPr>
                <w:rFonts w:ascii="仿宋_GB2312"/>
                <w:kern w:val="0"/>
                <w:sz w:val="24"/>
              </w:rPr>
            </w:pPr>
          </w:p>
        </w:tc>
        <w:tc>
          <w:tcPr>
            <w:tcW w:w="1097" w:type="dxa"/>
            <w:tcBorders>
              <w:top w:val="single" w:color="000000" w:sz="4" w:space="0"/>
              <w:left w:val="nil"/>
              <w:bottom w:val="single" w:color="000000" w:sz="4" w:space="0"/>
              <w:right w:val="single" w:color="000000" w:sz="4" w:space="0"/>
            </w:tcBorders>
            <w:vAlign w:val="center"/>
          </w:tcPr>
          <w:p w14:paraId="04947E5E">
            <w:pPr>
              <w:spacing w:before="100" w:after="100" w:line="360" w:lineRule="exact"/>
              <w:jc w:val="center"/>
              <w:rPr>
                <w:rFonts w:ascii="仿宋_GB2312"/>
                <w:kern w:val="0"/>
                <w:sz w:val="24"/>
              </w:rPr>
            </w:pPr>
            <w:r>
              <w:rPr>
                <w:rFonts w:hint="eastAsia" w:ascii="仿宋_GB2312"/>
                <w:kern w:val="0"/>
                <w:sz w:val="24"/>
              </w:rPr>
              <w:t>吕卫民</w:t>
            </w:r>
          </w:p>
        </w:tc>
        <w:tc>
          <w:tcPr>
            <w:tcW w:w="2551" w:type="dxa"/>
            <w:tcBorders>
              <w:top w:val="single" w:color="000000" w:sz="4" w:space="0"/>
              <w:left w:val="nil"/>
              <w:bottom w:val="single" w:color="000000" w:sz="4" w:space="0"/>
              <w:right w:val="single" w:color="000000" w:sz="4" w:space="0"/>
            </w:tcBorders>
            <w:vAlign w:val="center"/>
          </w:tcPr>
          <w:p w14:paraId="48963E3A">
            <w:pPr>
              <w:spacing w:before="100" w:after="100" w:line="360" w:lineRule="exact"/>
              <w:jc w:val="center"/>
              <w:rPr>
                <w:rFonts w:ascii="仿宋_GB2312"/>
                <w:kern w:val="0"/>
                <w:sz w:val="24"/>
              </w:rPr>
            </w:pPr>
            <w:r>
              <w:rPr>
                <w:rFonts w:hint="eastAsia" w:ascii="仿宋_GB2312"/>
                <w:kern w:val="0"/>
                <w:sz w:val="24"/>
              </w:rPr>
              <w:t>国网山东省电力公司烟台供电公司莱山客户服务分中心</w:t>
            </w:r>
          </w:p>
        </w:tc>
        <w:tc>
          <w:tcPr>
            <w:tcW w:w="2127" w:type="dxa"/>
            <w:tcBorders>
              <w:top w:val="single" w:color="000000" w:sz="4" w:space="0"/>
              <w:left w:val="nil"/>
              <w:bottom w:val="single" w:color="000000" w:sz="4" w:space="0"/>
              <w:right w:val="single" w:color="000000" w:sz="4" w:space="0"/>
            </w:tcBorders>
            <w:vAlign w:val="center"/>
          </w:tcPr>
          <w:p w14:paraId="402FDF1E">
            <w:pPr>
              <w:spacing w:before="100" w:after="100" w:line="360" w:lineRule="exact"/>
              <w:jc w:val="center"/>
              <w:rPr>
                <w:rFonts w:ascii="仿宋_GB2312"/>
                <w:kern w:val="0"/>
                <w:sz w:val="24"/>
              </w:rPr>
            </w:pPr>
            <w:r>
              <w:rPr>
                <w:rFonts w:hint="eastAsia" w:ascii="仿宋_GB2312"/>
                <w:kern w:val="0"/>
                <w:sz w:val="24"/>
              </w:rPr>
              <w:t>副主任</w:t>
            </w:r>
          </w:p>
        </w:tc>
        <w:tc>
          <w:tcPr>
            <w:tcW w:w="1417" w:type="dxa"/>
            <w:tcBorders>
              <w:top w:val="single" w:color="000000" w:sz="4" w:space="0"/>
              <w:left w:val="nil"/>
              <w:bottom w:val="single" w:color="000000" w:sz="4" w:space="0"/>
              <w:right w:val="single" w:color="000000" w:sz="4" w:space="0"/>
            </w:tcBorders>
            <w:vAlign w:val="center"/>
          </w:tcPr>
          <w:p w14:paraId="36D472A2">
            <w:pPr>
              <w:spacing w:before="100" w:after="100" w:line="360" w:lineRule="exact"/>
              <w:jc w:val="center"/>
              <w:rPr>
                <w:rFonts w:ascii="仿宋_GB2312"/>
                <w:kern w:val="0"/>
                <w:sz w:val="24"/>
              </w:rPr>
            </w:pPr>
          </w:p>
        </w:tc>
        <w:tc>
          <w:tcPr>
            <w:tcW w:w="1843" w:type="dxa"/>
            <w:tcBorders>
              <w:top w:val="single" w:color="000000" w:sz="4" w:space="0"/>
              <w:left w:val="nil"/>
              <w:bottom w:val="single" w:color="000000" w:sz="4" w:space="0"/>
              <w:right w:val="single" w:color="000000" w:sz="4" w:space="0"/>
            </w:tcBorders>
            <w:vAlign w:val="center"/>
          </w:tcPr>
          <w:p w14:paraId="03098363">
            <w:pPr>
              <w:spacing w:before="100" w:after="100" w:line="360" w:lineRule="exact"/>
              <w:jc w:val="center"/>
              <w:rPr>
                <w:rFonts w:ascii="仿宋_GB2312"/>
                <w:kern w:val="0"/>
                <w:sz w:val="24"/>
              </w:rPr>
            </w:pPr>
            <w:r>
              <w:rPr>
                <w:rFonts w:hint="eastAsia" w:ascii="仿宋_GB2312"/>
                <w:kern w:val="0"/>
                <w:sz w:val="24"/>
              </w:rPr>
              <w:t>13793566813</w:t>
            </w:r>
          </w:p>
        </w:tc>
      </w:tr>
    </w:tbl>
    <w:p w14:paraId="7D153136">
      <w:pPr>
        <w:pStyle w:val="11"/>
        <w:spacing w:before="0" w:beforeAutospacing="0" w:after="0" w:afterAutospacing="0" w:line="520" w:lineRule="exact"/>
        <w:jc w:val="both"/>
        <w:rPr>
          <w:rFonts w:ascii="黑体" w:hAnsi="黑体" w:eastAsia="黑体"/>
          <w:sz w:val="32"/>
          <w:szCs w:val="32"/>
        </w:rPr>
      </w:pPr>
      <w:r>
        <w:rPr>
          <w:rFonts w:hint="eastAsia" w:ascii="黑体" w:hAnsi="黑体" w:eastAsia="黑体"/>
          <w:sz w:val="32"/>
          <w:szCs w:val="32"/>
        </w:rPr>
        <w:t>附件3</w:t>
      </w:r>
    </w:p>
    <w:p w14:paraId="558FA788">
      <w:pPr>
        <w:spacing w:line="700" w:lineRule="exact"/>
        <w:jc w:val="center"/>
        <w:rPr>
          <w:rFonts w:ascii="方正小标宋_GBK" w:hAnsi="方正小标宋_GBK" w:eastAsia="方正小标宋_GBK"/>
          <w:sz w:val="44"/>
        </w:rPr>
      </w:pPr>
      <w:r>
        <w:rPr>
          <w:rFonts w:hint="eastAsia" w:ascii="方正大标宋简体" w:hAnsi="方正大标宋简体" w:eastAsia="方正大标宋简体" w:cs="方正大标宋简体"/>
          <w:sz w:val="44"/>
        </w:rPr>
        <w:t>高新区大面积停电突发事件应急处置流程图</w:t>
      </w:r>
    </w:p>
    <w:p w14:paraId="265FDC20">
      <w:pPr>
        <w:spacing w:line="560" w:lineRule="exact"/>
        <w:jc w:val="center"/>
        <w:rPr>
          <w:rFonts w:ascii="方正小标宋_GBK" w:hAnsi="方正小标宋_GBK" w:eastAsia="方正小标宋_GBK"/>
          <w:sz w:val="44"/>
        </w:rPr>
      </w:pPr>
      <w:r>
        <w:pict>
          <v:rect id="_x0000_s2125" o:spid="_x0000_s2125" o:spt="1" style="position:absolute;left:0pt;margin-left:87.75pt;margin-top:25.55pt;height:34.5pt;width:139.5pt;z-index:251695104;mso-width-relative:page;mso-height-relative:page;" coordsize="21600,21600" o:gfxdata="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DXRUPX&#10;AAAACgEAAA8AAAAAAAAAAQAgAAAAIgAAAGRycy9kb3ducmV2LnhtbFBLAQIUABQAAAAIAIdO4kBw&#10;xjCj6AEAAN8DAAAOAAAAAAAAAAEAIAAAACYBAABkcnMvZTJvRG9jLnhtbFBLBQYAAAAABgAGAFkB&#10;AACABQAAAAA=&#10;">
            <v:path/>
            <v:fill focussize="0,0"/>
            <v:stroke/>
            <v:imagedata o:title=""/>
            <o:lock v:ext="edit"/>
            <v:textbox>
              <w:txbxContent>
                <w:p w14:paraId="0F603841">
                  <w:pPr>
                    <w:jc w:val="center"/>
                  </w:pPr>
                  <w:r>
                    <w:rPr>
                      <w:rFonts w:hint="eastAsia"/>
                    </w:rPr>
                    <w:t>供电企业</w:t>
                  </w:r>
                </w:p>
              </w:txbxContent>
            </v:textbox>
          </v:rect>
        </w:pict>
      </w:r>
    </w:p>
    <w:p w14:paraId="7F1781A7"/>
    <w:p w14:paraId="1F2FC791">
      <w:pPr>
        <w:jc w:val="center"/>
      </w:pPr>
      <w:r>
        <w:pict>
          <v:line id="_x0000_s2124" o:spid="_x0000_s2124" o:spt="20" style="position:absolute;left:0pt;margin-left:152.75pt;margin-top:4.1pt;height:24.75pt;width:0.05pt;z-index:251710464;mso-width-relative:page;mso-height-relative:page;" coordsize="21600,21600" o:gfxdata="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iS2E2AAAAAgB&#10;AAAPAAAAAAAAAAEAIAAAACIAAABkcnMvZG93bnJldi54bWxQSwECFAAUAAAACACHTuJA02m7jOIB&#10;AACfAwAADgAAAAAAAAABACAAAAAnAQAAZHJzL2Uyb0RvYy54bWxQSwUGAAAAAAYABgBZAQAAewUA&#10;AAAA&#10;">
            <v:path arrowok="t"/>
            <v:fill focussize="0,0"/>
            <v:stroke endarrow="block"/>
            <v:imagedata o:title=""/>
            <o:lock v:ext="edit"/>
          </v:line>
        </w:pict>
      </w:r>
    </w:p>
    <w:p w14:paraId="0DD27ED0">
      <w:r>
        <w:pict>
          <v:rect id="_x0000_s2123" o:spid="_x0000_s2123" o:spt="1" style="position:absolute;left:0pt;margin-left:82.5pt;margin-top:0.9pt;height:33.7pt;width:151.5pt;z-index:251696128;mso-width-relative:page;mso-height-relative:page;" coordsize="21600,21600" o:gfxdata="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pVP&#10;0NYAAAAIAQAADwAAAAAAAAABACAAAAAiAAAAZHJzL2Rvd25yZXYueG1sUEsBAhQAFAAAAAgAh07i&#10;QMQMokXrAQAA3wMAAA4AAAAAAAAAAQAgAAAAJQEAAGRycy9lMm9Eb2MueG1sUEsFBgAAAAAGAAYA&#10;WQEAAIIFAAAAAA==&#10;">
            <v:path/>
            <v:fill focussize="0,0"/>
            <v:stroke/>
            <v:imagedata o:title=""/>
            <o:lock v:ext="edit"/>
            <v:textbox>
              <w:txbxContent>
                <w:p w14:paraId="46476ED9">
                  <w:pPr>
                    <w:jc w:val="center"/>
                    <w:rPr>
                      <w:rFonts w:eastAsia="仿宋_GB2312"/>
                    </w:rPr>
                  </w:pPr>
                  <w:r>
                    <w:rPr>
                      <w:rFonts w:hint="eastAsia"/>
                    </w:rPr>
                    <w:t>管委、公安机关</w:t>
                  </w:r>
                </w:p>
              </w:txbxContent>
            </v:textbox>
          </v:rect>
        </w:pict>
      </w:r>
    </w:p>
    <w:p w14:paraId="01139ABA">
      <w:r>
        <w:pict>
          <v:rect id="_x0000_s2122" o:spid="_x0000_s2122" o:spt="1" style="position:absolute;left:0pt;margin-left:299.4pt;margin-top:15.6pt;height:33.7pt;width:164.95pt;z-index:251716608;mso-width-relative:page;mso-height-relative:page;" coordsize="21600,21600" o:gfxdata="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i9U9gAAAAJAQAADwAAAAAAAAABACAAAAAiAAAAZHJzL2Rvd25yZXYueG1sUEsBAhQAFAAAAAgA&#10;h07iQL/66vfsAQAA3wMAAA4AAAAAAAAAAQAgAAAAJwEAAGRycy9lMm9Eb2MueG1sUEsFBgAAAAAG&#10;AAYAWQEAAIUFAAAAAA==&#10;">
            <v:path/>
            <v:fill focussize="0,0"/>
            <v:stroke/>
            <v:imagedata o:title=""/>
            <o:lock v:ext="edit"/>
            <v:textbox>
              <w:txbxContent>
                <w:p w14:paraId="1908C3B7">
                  <w:pPr>
                    <w:jc w:val="center"/>
                    <w:rPr>
                      <w:rFonts w:eastAsia="仿宋_GB2312"/>
                    </w:rPr>
                  </w:pPr>
                  <w:r>
                    <w:rPr>
                      <w:rFonts w:hint="eastAsia"/>
                    </w:rPr>
                    <w:t>市发改委</w:t>
                  </w:r>
                </w:p>
              </w:txbxContent>
            </v:textbox>
          </v:rect>
        </w:pict>
      </w:r>
      <w:r>
        <w:pict>
          <v:rect id="_x0000_s2121" o:spid="_x0000_s2121" o:spt="1" style="position:absolute;left:0pt;margin-left:79.65pt;margin-top:27.6pt;height:33.7pt;width:154.45pt;z-index:251713536;mso-width-relative:page;mso-height-relative:page;" coordsize="21600,21600" o:gfxdata="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j&#10;yuO62AAAAAoBAAAPAAAAAAAAAAEAIAAAACIAAABkcnMvZG93bnJldi54bWxQSwECFAAUAAAACACH&#10;TuJAFZbMz+sBAADfAwAADgAAAAAAAAABACAAAAAnAQAAZHJzL2Uyb0RvYy54bWxQSwUGAAAAAAYA&#10;BgBZAQAAhAUAAAAA&#10;">
            <v:path/>
            <v:fill focussize="0,0"/>
            <v:stroke/>
            <v:imagedata o:title=""/>
            <o:lock v:ext="edit"/>
            <v:textbox>
              <w:txbxContent>
                <w:p w14:paraId="26C7EDB8">
                  <w:pPr>
                    <w:jc w:val="center"/>
                  </w:pPr>
                  <w:r>
                    <w:rPr>
                      <w:rFonts w:hint="eastAsia"/>
                    </w:rPr>
                    <w:t>经济发展部</w:t>
                  </w:r>
                </w:p>
              </w:txbxContent>
            </v:textbox>
          </v:rect>
        </w:pict>
      </w:r>
      <w:r>
        <w:pict>
          <v:line id="_x0000_s2120" o:spid="_x0000_s2120" o:spt="20" style="position:absolute;left:0pt;margin-left:154.3pt;margin-top:5.15pt;height:23.25pt;width:0.05pt;z-index:251703296;mso-width-relative:page;mso-height-relative:page;" coordsize="21600,21600" o:gfxdata="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VheGtkAAAAJ&#10;AQAADwAAAAAAAAABACAAAAAiAAAAZHJzL2Rvd25yZXYueG1sUEsBAhQAFAAAAAgAh07iQF3nUgni&#10;AQAAnwMAAA4AAAAAAAAAAQAgAAAAKAEAAGRycy9lMm9Eb2MueG1sUEsFBgAAAAAGAAYAWQEAAHwF&#10;AAAAAA==&#10;">
            <v:path arrowok="t"/>
            <v:fill focussize="0,0"/>
            <v:stroke endarrow="block"/>
            <v:imagedata o:title=""/>
            <o:lock v:ext="edit"/>
          </v:line>
        </w:pict>
      </w:r>
    </w:p>
    <w:p w14:paraId="07C76FA4">
      <w:r>
        <w:pict>
          <v:line id="_x0000_s2119" o:spid="_x0000_s2119" o:spt="20" style="position:absolute;left:0pt;margin-left:237.7pt;margin-top:11.9pt;height:0.05pt;width:55.5pt;z-index:251715584;mso-width-relative:page;mso-height-relative:page;" coordsize="21600,21600" o:gfxdata="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hv+XnZ&#10;AAAACQEAAA8AAAAAAAAAAQAgAAAAIgAAAGRycy9kb3ducmV2LnhtbFBLAQIUABQAAAAIAIdO4kCh&#10;2ckF5gEAAJ8DAAAOAAAAAAAAAAEAIAAAACgBAABkcnMvZTJvRG9jLnhtbFBLBQYAAAAABgAGAFkB&#10;AACABQAAAAA=&#10;">
            <v:path arrowok="t"/>
            <v:fill focussize="0,0"/>
            <v:stroke endarrow="block"/>
            <v:imagedata o:title=""/>
            <o:lock v:ext="edit"/>
          </v:line>
        </w:pict>
      </w:r>
      <w:r>
        <w:pict>
          <v:rect id="_x0000_s2118" o:spid="_x0000_s2118" o:spt="1" style="position:absolute;left:0pt;margin-left:299.2pt;margin-top:27.35pt;height:367.2pt;width:171pt;z-index:251700224;mso-width-relative:page;mso-height-relative:page;" coordsize="21600,21600" o:gfxdata="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CtRRV2AAAAAoBAAAPAAAAAAAAAAEAIAAAACIAAABkcnMvZG93bnJldi54bWxQSwECFAAUAAAA&#10;CACHTuJAvaTDru4BAADgAwAADgAAAAAAAAABACAAAAAnAQAAZHJzL2Uyb0RvYy54bWxQSwUGAAAA&#10;AAYABgBZAQAAhwUAAAAA&#10;">
            <v:path/>
            <v:fill focussize="0,0"/>
            <v:stroke/>
            <v:imagedata o:title=""/>
            <o:lock v:ext="edit"/>
            <v:textbox>
              <w:txbxContent>
                <w:p w14:paraId="3E9BA6CF">
                  <w:pPr>
                    <w:spacing w:line="480" w:lineRule="exact"/>
                    <w:jc w:val="center"/>
                    <w:rPr>
                      <w:sz w:val="28"/>
                    </w:rPr>
                  </w:pPr>
                  <w:r>
                    <w:rPr>
                      <w:rFonts w:hint="eastAsia"/>
                      <w:sz w:val="28"/>
                    </w:rPr>
                    <w:t>经济发展部</w:t>
                  </w:r>
                </w:p>
                <w:p w14:paraId="470B6440">
                  <w:pPr>
                    <w:spacing w:line="480" w:lineRule="exact"/>
                    <w:jc w:val="center"/>
                    <w:rPr>
                      <w:sz w:val="28"/>
                    </w:rPr>
                  </w:pPr>
                  <w:r>
                    <w:rPr>
                      <w:rFonts w:hint="eastAsia"/>
                      <w:sz w:val="28"/>
                    </w:rPr>
                    <w:t>马山街道办事处</w:t>
                  </w:r>
                </w:p>
                <w:p w14:paraId="630301B9">
                  <w:pPr>
                    <w:spacing w:line="480" w:lineRule="exact"/>
                    <w:jc w:val="center"/>
                    <w:rPr>
                      <w:sz w:val="28"/>
                    </w:rPr>
                  </w:pPr>
                  <w:r>
                    <w:rPr>
                      <w:rFonts w:hint="eastAsia"/>
                      <w:sz w:val="28"/>
                    </w:rPr>
                    <w:t>金山湾管理处</w:t>
                  </w:r>
                </w:p>
                <w:p w14:paraId="1C14EE21">
                  <w:pPr>
                    <w:spacing w:line="480" w:lineRule="exact"/>
                    <w:jc w:val="center"/>
                    <w:rPr>
                      <w:sz w:val="28"/>
                    </w:rPr>
                  </w:pPr>
                  <w:r>
                    <w:rPr>
                      <w:rFonts w:hint="eastAsia"/>
                      <w:sz w:val="28"/>
                    </w:rPr>
                    <w:t>综合管理部</w:t>
                  </w:r>
                </w:p>
                <w:p w14:paraId="0D3C7101">
                  <w:pPr>
                    <w:spacing w:line="480" w:lineRule="exact"/>
                    <w:jc w:val="center"/>
                    <w:rPr>
                      <w:sz w:val="28"/>
                    </w:rPr>
                  </w:pPr>
                  <w:r>
                    <w:rPr>
                      <w:rFonts w:hint="eastAsia"/>
                      <w:color w:val="000000"/>
                      <w:sz w:val="28"/>
                    </w:rPr>
                    <w:t>法制中心</w:t>
                  </w:r>
                </w:p>
                <w:p w14:paraId="21143669">
                  <w:pPr>
                    <w:spacing w:line="480" w:lineRule="exact"/>
                    <w:jc w:val="center"/>
                    <w:rPr>
                      <w:sz w:val="28"/>
                    </w:rPr>
                  </w:pPr>
                  <w:r>
                    <w:rPr>
                      <w:rFonts w:hint="eastAsia"/>
                      <w:sz w:val="28"/>
                    </w:rPr>
                    <w:t>财政金融部</w:t>
                  </w:r>
                </w:p>
                <w:p w14:paraId="7BD6099D">
                  <w:pPr>
                    <w:spacing w:line="480" w:lineRule="exact"/>
                    <w:jc w:val="center"/>
                    <w:rPr>
                      <w:sz w:val="28"/>
                    </w:rPr>
                  </w:pPr>
                  <w:r>
                    <w:rPr>
                      <w:rFonts w:hint="eastAsia"/>
                      <w:sz w:val="28"/>
                    </w:rPr>
                    <w:t>规划国土建设部</w:t>
                  </w:r>
                </w:p>
                <w:p w14:paraId="52184C56">
                  <w:pPr>
                    <w:spacing w:line="480" w:lineRule="exact"/>
                    <w:jc w:val="center"/>
                    <w:rPr>
                      <w:sz w:val="28"/>
                    </w:rPr>
                  </w:pPr>
                  <w:r>
                    <w:rPr>
                      <w:rFonts w:hint="eastAsia"/>
                      <w:sz w:val="28"/>
                    </w:rPr>
                    <w:t>综合行政执法局</w:t>
                  </w:r>
                </w:p>
                <w:p w14:paraId="471428BC">
                  <w:pPr>
                    <w:spacing w:line="480" w:lineRule="exact"/>
                    <w:jc w:val="center"/>
                    <w:rPr>
                      <w:sz w:val="28"/>
                    </w:rPr>
                  </w:pPr>
                  <w:r>
                    <w:rPr>
                      <w:rFonts w:hint="eastAsia"/>
                      <w:sz w:val="28"/>
                    </w:rPr>
                    <w:t>应急管理局</w:t>
                  </w:r>
                </w:p>
                <w:p w14:paraId="5A95982C">
                  <w:pPr>
                    <w:spacing w:line="480" w:lineRule="exact"/>
                    <w:jc w:val="center"/>
                    <w:rPr>
                      <w:sz w:val="28"/>
                    </w:rPr>
                  </w:pPr>
                  <w:r>
                    <w:rPr>
                      <w:rFonts w:hint="eastAsia"/>
                      <w:sz w:val="28"/>
                    </w:rPr>
                    <w:t>公安分局</w:t>
                  </w:r>
                </w:p>
                <w:p w14:paraId="71600518">
                  <w:pPr>
                    <w:spacing w:line="480" w:lineRule="exact"/>
                    <w:jc w:val="center"/>
                    <w:rPr>
                      <w:sz w:val="28"/>
                    </w:rPr>
                  </w:pPr>
                  <w:r>
                    <w:rPr>
                      <w:rFonts w:hint="eastAsia"/>
                      <w:sz w:val="28"/>
                    </w:rPr>
                    <w:t>卫生健康管理办公室</w:t>
                  </w:r>
                </w:p>
                <w:p w14:paraId="7E671AD5">
                  <w:pPr>
                    <w:spacing w:line="480" w:lineRule="exact"/>
                    <w:jc w:val="center"/>
                    <w:rPr>
                      <w:sz w:val="28"/>
                    </w:rPr>
                  </w:pPr>
                  <w:r>
                    <w:rPr>
                      <w:rFonts w:hint="eastAsia"/>
                      <w:sz w:val="28"/>
                    </w:rPr>
                    <w:t>交警五大队</w:t>
                  </w:r>
                </w:p>
                <w:p w14:paraId="44191468">
                  <w:pPr>
                    <w:spacing w:line="480" w:lineRule="exact"/>
                    <w:jc w:val="center"/>
                    <w:rPr>
                      <w:sz w:val="28"/>
                    </w:rPr>
                  </w:pPr>
                  <w:r>
                    <w:rPr>
                      <w:rFonts w:hint="eastAsia"/>
                      <w:sz w:val="28"/>
                    </w:rPr>
                    <w:t>国网山东省电力公司烟台供电公司莱山客户服务分中心</w:t>
                  </w:r>
                </w:p>
              </w:txbxContent>
            </v:textbox>
          </v:rect>
        </w:pict>
      </w:r>
    </w:p>
    <w:p w14:paraId="51210580">
      <w:r>
        <w:pict>
          <v:line id="_x0000_s2117" o:spid="_x0000_s2117" o:spt="20" style="position:absolute;left:0pt;margin-left:158pt;margin-top:9.3pt;height:24.75pt;width:0.05pt;z-index:251714560;mso-width-relative:page;mso-height-relative:page;" coordsize="21600,21600" o:gfxdata="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l54NgAAAAJ&#10;AQAADwAAAAAAAAABACAAAAAiAAAAZHJzL2Rvd25yZXYueG1sUEsBAhQAFAAAAAgAh07iQMSlxQPj&#10;AQAAnwMAAA4AAAAAAAAAAQAgAAAAJwEAAGRycy9lMm9Eb2MueG1sUEsFBgAAAAAGAAYAWQEAAHwF&#10;AAAAAA==&#10;">
            <v:path arrowok="t"/>
            <v:fill focussize="0,0"/>
            <v:stroke endarrow="block"/>
            <v:imagedata o:title=""/>
            <o:lock v:ext="edit"/>
          </v:line>
        </w:pict>
      </w:r>
    </w:p>
    <w:p w14:paraId="359F34E6">
      <w:r>
        <w:pict>
          <v:rect id="_x0000_s2116" o:spid="_x0000_s2116" o:spt="1" style="position:absolute;left:0pt;margin-left:90pt;margin-top:5.3pt;height:32.25pt;width:139.5pt;z-index:251697152;mso-width-relative:page;mso-height-relative:page;" coordsize="21600,21600" o:gfxdata="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cXMRH&#10;1wAAAAkBAAAPAAAAAAAAAAEAIAAAACIAAABkcnMvZG93bnJldi54bWxQSwECFAAUAAAACACHTuJA&#10;oluCxOkBAADfAwAADgAAAAAAAAABACAAAAAmAQAAZHJzL2Uyb0RvYy54bWxQSwUGAAAAAAYABgBZ&#10;AQAAgQUAAAAA&#10;">
            <v:path/>
            <v:fill focussize="0,0"/>
            <v:stroke/>
            <v:imagedata o:title=""/>
            <o:lock v:ext="edit"/>
            <v:textbox>
              <w:txbxContent>
                <w:p w14:paraId="197EAF2E">
                  <w:pPr>
                    <w:jc w:val="center"/>
                  </w:pPr>
                  <w:r>
                    <w:rPr>
                      <w:rFonts w:hint="eastAsia"/>
                    </w:rPr>
                    <w:t>综合管理部</w:t>
                  </w:r>
                </w:p>
              </w:txbxContent>
            </v:textbox>
          </v:rect>
        </w:pict>
      </w:r>
    </w:p>
    <w:p w14:paraId="33CE8F11">
      <w:r>
        <w:pict>
          <v:line id="_x0000_s2115" o:spid="_x0000_s2115" o:spt="20" style="position:absolute;left:0pt;margin-left:156.4pt;margin-top:9.6pt;height:23.25pt;width:0.05pt;z-index:251712512;mso-width-relative:page;mso-height-relative:page;" coordsize="21600,21600" o:gfxdata="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B5/re2QAAAAkB&#10;AAAPAAAAAAAAAAEAIAAAACIAAABkcnMvZG93bnJldi54bWxQSwECFAAUAAAACACHTuJAlxvJ0eEB&#10;AACfAwAADgAAAAAAAAABACAAAAAoAQAAZHJzL2Uyb0RvYy54bWxQSwUGAAAAAAYABgBZAQAAewUA&#10;AAAA&#10;">
            <v:path arrowok="t"/>
            <v:fill focussize="0,0"/>
            <v:stroke endarrow="block"/>
            <v:imagedata o:title=""/>
            <o:lock v:ext="edit"/>
          </v:line>
        </w:pict>
      </w:r>
    </w:p>
    <w:p w14:paraId="7815E41D">
      <w:r>
        <w:pict>
          <v:rect id="_x0000_s2114" o:spid="_x0000_s2114" o:spt="1" style="position:absolute;left:0pt;margin-left:71.15pt;margin-top:5.3pt;height:47.5pt;width:171.85pt;z-index:251708416;mso-width-relative:page;mso-height-relative:page;" coordsize="21600,21600" o:gfxdata="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E&#10;3zLK1wAAAAoBAAAPAAAAAAAAAAEAIAAAACIAAABkcnMvZG93bnJldi54bWxQSwECFAAUAAAACACH&#10;TuJAviEyKewBAADfAwAADgAAAAAAAAABACAAAAAmAQAAZHJzL2Uyb0RvYy54bWxQSwUGAAAAAAYA&#10;BgBZAQAAhAUAAAAA&#10;">
            <v:path/>
            <v:fill focussize="0,0"/>
            <v:stroke/>
            <v:imagedata o:title=""/>
            <o:lock v:ext="edit"/>
            <v:textbox>
              <w:txbxContent>
                <w:p w14:paraId="1EA425E5">
                  <w:pPr>
                    <w:spacing w:line="400" w:lineRule="exact"/>
                    <w:jc w:val="center"/>
                    <w:rPr>
                      <w:rFonts w:eastAsia="仿宋_GB2312"/>
                    </w:rPr>
                  </w:pPr>
                  <w:r>
                    <w:rPr>
                      <w:rFonts w:hint="eastAsia"/>
                    </w:rPr>
                    <w:t>工委委员、管委副主任荆永杰</w:t>
                  </w:r>
                </w:p>
              </w:txbxContent>
            </v:textbox>
          </v:rect>
        </w:pict>
      </w:r>
    </w:p>
    <w:p w14:paraId="5E88536A">
      <w:r>
        <w:pict>
          <v:line id="_x0000_s2113" o:spid="_x0000_s2113" o:spt="20" style="position:absolute;left:0pt;margin-left:157.7pt;margin-top:23.85pt;height:23pt;width:0.05pt;z-index:251709440;mso-width-relative:page;mso-height-relative:page;" coordsize="21600,21600" o:gfxdata="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wV6lza&#10;AAAACQEAAA8AAAAAAAAAAQAgAAAAIgAAAGRycy9kb3ducmV2LnhtbFBLAQIUABQAAAAIAIdO4kBF&#10;tuUl5QEAAJ8DAAAOAAAAAAAAAAEAIAAAACkBAABkcnMvZTJvRG9jLnhtbFBLBQYAAAAABgAGAFkB&#10;AACABQAAAAA=&#10;">
            <v:path arrowok="t"/>
            <v:fill focussize="0,0"/>
            <v:stroke endarrow="block"/>
            <v:imagedata o:title=""/>
            <o:lock v:ext="edit"/>
          </v:line>
        </w:pict>
      </w:r>
    </w:p>
    <w:p w14:paraId="63811CC5">
      <w:r>
        <w:pict>
          <v:rect id="_x0000_s2112" o:spid="_x0000_s2112" o:spt="1" style="position:absolute;left:0pt;margin-left:76.35pt;margin-top:18.5pt;height:48.65pt;width:172.6pt;z-index:251698176;mso-width-relative:page;mso-height-relative:page;" coordsize="21600,21600" o:gfxdata="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q8IYM&#10;1wAAAAoBAAAPAAAAAAAAAAEAIAAAACIAAABkcnMvZG93bnJldi54bWxQSwECFAAUAAAACACHTuJA&#10;ClK6UukBAADfAwAADgAAAAAAAAABACAAAAAmAQAAZHJzL2Uyb0RvYy54bWxQSwUGAAAAAAYABgBZ&#10;AQAAgQUAAAAA&#10;">
            <v:path/>
            <v:fill focussize="0,0"/>
            <v:stroke/>
            <v:imagedata o:title=""/>
            <o:lock v:ext="edit"/>
            <v:textbox>
              <w:txbxContent>
                <w:p w14:paraId="6C6FE63F">
                  <w:pPr>
                    <w:spacing w:line="400" w:lineRule="exact"/>
                    <w:jc w:val="center"/>
                  </w:pPr>
                  <w:r>
                    <w:rPr>
                      <w:rFonts w:hint="eastAsia"/>
                    </w:rPr>
                    <w:t>成立突发事件应急领导小组</w:t>
                  </w:r>
                </w:p>
              </w:txbxContent>
            </v:textbox>
          </v:rect>
        </w:pict>
      </w:r>
    </w:p>
    <w:p w14:paraId="4A1BD034">
      <w:r>
        <w:pict>
          <v:line id="_x0000_s2111" o:spid="_x0000_s2111" o:spt="20" style="position:absolute;left:0pt;margin-left:252.7pt;margin-top:5.25pt;height:0.05pt;width:47.25pt;z-index:251706368;mso-width-relative:page;mso-height-relative:page;" coordsize="21600,21600" o:gfxdata="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J9CTtkAAAAJ&#10;AQAADwAAAAAAAAABACAAAAAiAAAAZHJzL2Rvd25yZXYueG1sUEsBAhQAFAAAAAgAh07iQAXdETXi&#10;AQAAnwMAAA4AAAAAAAAAAQAgAAAAKAEAAGRycy9lMm9Eb2MueG1sUEsFBgAAAAAGAAYAWQEAAHwF&#10;AAAAAA==&#10;">
            <v:path arrowok="t"/>
            <v:fill focussize="0,0"/>
            <v:stroke endarrow="block"/>
            <v:imagedata o:title=""/>
            <o:lock v:ext="edit"/>
          </v:line>
        </w:pict>
      </w:r>
    </w:p>
    <w:p w14:paraId="7E484B80">
      <w:r>
        <w:pict>
          <v:line id="_x0000_s2110" o:spid="_x0000_s2110" o:spt="20" style="position:absolute;left:0pt;margin-left:158.55pt;margin-top:9pt;height:32pt;width:0.1pt;z-index:251704320;mso-width-relative:page;mso-height-relative:page;" coordsize="21600,21600" o:gfxdata="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OmSL9gA&#10;AAAJAQAADwAAAAAAAAABACAAAAAiAAAAZHJzL2Rvd25yZXYueG1sUEsBAhQAFAAAAAgAh07iQImL&#10;8QPmAQAAoAMAAA4AAAAAAAAAAQAgAAAAJwEAAGRycy9lMm9Eb2MueG1sUEsFBgAAAAAGAAYAWQEA&#10;AH8FAAAAAA==&#10;">
            <v:path arrowok="t"/>
            <v:fill focussize="0,0"/>
            <v:stroke endarrow="block"/>
            <v:imagedata o:title=""/>
            <o:lock v:ext="edit"/>
          </v:line>
        </w:pict>
      </w:r>
    </w:p>
    <w:p w14:paraId="69E1FBD4">
      <w:r>
        <w:pict>
          <v:rect id="_x0000_s2109" o:spid="_x0000_s2109" o:spt="1" style="position:absolute;left:0pt;margin-left:87pt;margin-top:10.75pt;height:31.1pt;width:144pt;z-index:251699200;mso-width-relative:page;mso-height-relative:page;" coordsize="21600,21600" o:gfxdata="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ASxx7YAAAACQEAAA8AAAAAAAAAAQAgAAAAIgAAAGRycy9kb3ducmV2LnhtbFBLAQIUABQAAAAI&#10;AIdO4kAu5J9c7QEAAN8DAAAOAAAAAAAAAAEAIAAAACcBAABkcnMvZTJvRG9jLnhtbFBLBQYAAAAA&#10;BgAGAFkBAACGBQAAAAA=&#10;">
            <v:path/>
            <v:fill focussize="0,0"/>
            <v:stroke/>
            <v:imagedata o:title=""/>
            <o:lock v:ext="edit"/>
            <v:textbox>
              <w:txbxContent>
                <w:p w14:paraId="49B54C09">
                  <w:r>
                    <w:rPr>
                      <w:rFonts w:hint="eastAsia"/>
                    </w:rPr>
                    <w:t>应急处置各项工作</w:t>
                  </w:r>
                </w:p>
              </w:txbxContent>
            </v:textbox>
          </v:rect>
        </w:pict>
      </w:r>
    </w:p>
    <w:p w14:paraId="11F63957">
      <w:r>
        <w:pict>
          <v:line id="_x0000_s2108" o:spid="_x0000_s2108" o:spt="20" style="position:absolute;left:0pt;flip:x;margin-left:240pt;margin-top:3.85pt;height:0pt;width:59.95pt;z-index:251707392;mso-width-relative:page;mso-height-relative:page;" coordsize="21600,21600" o:gfxdata="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10;p8BW1wAAAAcBAAAPAAAAAAAAAAEAIAAAACIAAABkcnMvZG93bnJldi54bWxQSwECFAAUAAAACACH&#10;TuJA5HjtHOwBAACnAwAADgAAAAAAAAABACAAAAAmAQAAZHJzL2Uyb0RvYy54bWxQSwUGAAAAAAYA&#10;BgBZAQAAhAUAAAAA&#10;">
            <v:path arrowok="t"/>
            <v:fill focussize="0,0"/>
            <v:stroke endarrow="block"/>
            <v:imagedata o:title=""/>
            <o:lock v:ext="edit"/>
          </v:line>
        </w:pict>
      </w:r>
      <w:r>
        <w:pict>
          <v:line id="_x0000_s2107" o:spid="_x0000_s2107" o:spt="20" style="position:absolute;left:0pt;margin-left:158.65pt;margin-top:10.15pt;height:27pt;width:0.05pt;z-index:251705344;mso-width-relative:page;mso-height-relative:page;" coordsize="21600,21600" o:gfxdata="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Hndk3&#10;2QAAAAkBAAAPAAAAAAAAAAEAIAAAACIAAABkcnMvZG93bnJldi54bWxQSwECFAAUAAAACACHTuJA&#10;3oXV3OcBAACfAwAADgAAAAAAAAABACAAAAAoAQAAZHJzL2Uyb0RvYy54bWxQSwUGAAAAAAYABgBZ&#10;AQAAgQUAAAAA&#10;">
            <v:path arrowok="t"/>
            <v:fill focussize="0,0"/>
            <v:stroke endarrow="block"/>
            <v:imagedata o:title=""/>
            <o:lock v:ext="edit"/>
          </v:line>
        </w:pict>
      </w:r>
    </w:p>
    <w:p w14:paraId="309EC4A2">
      <w:r>
        <w:pict>
          <v:rect id="_x0000_s2106" o:spid="_x0000_s2106" o:spt="1" style="position:absolute;left:0pt;margin-left:94.5pt;margin-top:10.7pt;height:31.2pt;width:135pt;z-index:251701248;mso-width-relative:page;mso-height-relative:page;" coordsize="21600,21600" o:gfxdata="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hJJ0tcAAAAJAQAADwAAAAAAAAABACAAAAAiAAAAZHJzL2Rvd25yZXYueG1sUEsBAhQAFAAAAAgA&#10;h07iQO2ZxBztAQAA3wMAAA4AAAAAAAAAAQAgAAAAJgEAAGRycy9lMm9Eb2MueG1sUEsFBgAAAAAG&#10;AAYAWQEAAIUFAAAAAA==&#10;">
            <v:path/>
            <v:fill focussize="0,0"/>
            <v:stroke/>
            <v:imagedata o:title=""/>
            <o:lock v:ext="edit"/>
            <v:textbox>
              <w:txbxContent>
                <w:p w14:paraId="686DAA53">
                  <w:pPr>
                    <w:jc w:val="center"/>
                  </w:pPr>
                  <w:r>
                    <w:rPr>
                      <w:rFonts w:hint="eastAsia"/>
                    </w:rPr>
                    <w:t>应急结束</w:t>
                  </w:r>
                </w:p>
              </w:txbxContent>
            </v:textbox>
          </v:rect>
        </w:pict>
      </w:r>
    </w:p>
    <w:p w14:paraId="1F961438">
      <w:r>
        <w:pict>
          <v:rect id="_x0000_s2105" o:spid="_x0000_s2105" o:spt="1" style="position:absolute;left:0pt;margin-left:99.05pt;margin-top:39.8pt;height:37.35pt;width:140.2pt;z-index:251702272;mso-width-relative:page;mso-height-relative:page;" coordsize="21600,21600" o:gfxdata="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Ku38u&#10;2AAAAAoBAAAPAAAAAAAAAAEAIAAAACIAAABkcnMvZG93bnJldi54bWxQSwECFAAUAAAACACHTuJA&#10;k7a32+gBAADfAwAADgAAAAAAAAABACAAAAAnAQAAZHJzL2Uyb0RvYy54bWxQSwUGAAAAAAYABgBZ&#10;AQAAgQUAAAAA&#10;">
            <v:path/>
            <v:fill focussize="0,0"/>
            <v:stroke/>
            <v:imagedata o:title=""/>
            <o:lock v:ext="edit"/>
            <v:textbox>
              <w:txbxContent>
                <w:p w14:paraId="258AF419">
                  <w:pPr>
                    <w:jc w:val="center"/>
                  </w:pPr>
                  <w:r>
                    <w:rPr>
                      <w:rFonts w:hint="eastAsia"/>
                    </w:rPr>
                    <w:t>善后处理</w:t>
                  </w:r>
                </w:p>
              </w:txbxContent>
            </v:textbox>
          </v:rect>
        </w:pict>
      </w:r>
      <w:r>
        <w:pict>
          <v:line id="_x0000_s2104" o:spid="_x0000_s2104" o:spt="20" style="position:absolute;left:0pt;margin-left:160.1pt;margin-top:12.8pt;height:27pt;width:0.05pt;z-index:251711488;mso-width-relative:page;mso-height-relative:page;" coordsize="21600,21600" o:gfxdata="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6RCf5&#10;2gAAAAkBAAAPAAAAAAAAAAEAIAAAACIAAABkcnMvZG93bnJldi54bWxQSwECFAAUAAAACACHTuJA&#10;A7Uwi+YBAACfAwAADgAAAAAAAAABACAAAAApAQAAZHJzL2Uyb0RvYy54bWxQSwUGAAAAAAYABgBZ&#10;AQAAgQUAAAAA&#10;">
            <v:path arrowok="t"/>
            <v:fill focussize="0,0"/>
            <v:stroke endarrow="block"/>
            <v:imagedata o:title=""/>
            <o:lock v:ext="edit"/>
          </v:line>
        </w:pict>
      </w:r>
    </w:p>
    <w:p w14:paraId="14B7517D">
      <w:pPr>
        <w:autoSpaceDE w:val="0"/>
        <w:autoSpaceDN w:val="0"/>
        <w:adjustRightInd w:val="0"/>
        <w:spacing w:beforeLines="100" w:line="60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烟台高新区石油天然气长输管道事件</w:t>
      </w:r>
    </w:p>
    <w:p w14:paraId="061A57FF">
      <w:pPr>
        <w:autoSpaceDE w:val="0"/>
        <w:autoSpaceDN w:val="0"/>
        <w:adjustRightInd w:val="0"/>
        <w:spacing w:afterLines="100" w:line="60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专项应急预案</w:t>
      </w:r>
    </w:p>
    <w:p w14:paraId="52A9F6B0">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进一步增强我区石油天然气管道突发事件应对防范能力(以下简称突发事件)，及时有效实施应急救援，最大限度地避免、减少人员伤亡和财产损失，保障石油天然气管道设施安全运行，结合我区实际，特制订本应急预案。</w:t>
      </w:r>
    </w:p>
    <w:p w14:paraId="4A969E2B">
      <w:pPr>
        <w:autoSpaceDE w:val="0"/>
        <w:autoSpaceDN w:val="0"/>
        <w:adjustRightInd w:val="0"/>
        <w:spacing w:line="560" w:lineRule="exact"/>
        <w:ind w:firstLine="632" w:firstLineChars="200"/>
        <w:rPr>
          <w:rFonts w:ascii="黑体" w:hAnsi="黑体" w:eastAsia="黑体" w:cs="黑体"/>
          <w:kern w:val="0"/>
          <w:sz w:val="32"/>
          <w:szCs w:val="32"/>
        </w:rPr>
      </w:pPr>
      <w:r>
        <w:rPr>
          <w:rFonts w:hint="eastAsia" w:ascii="黑体" w:hAnsi="黑体" w:eastAsia="黑体" w:cs="黑体"/>
          <w:kern w:val="0"/>
          <w:sz w:val="32"/>
          <w:szCs w:val="32"/>
        </w:rPr>
        <w:t>一、编制依据</w:t>
      </w:r>
    </w:p>
    <w:p w14:paraId="2DBC161F">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突发事件应对法》《中华人民共和国安全生产法》《中华人民共和国石油天然气管道保护法》《山东省突发事件应对条例》《山东省石油天然气管道保护条例》《生产安全事故报告和调查处理条例》《国家突发公共事件总体应急预案》《陆上石油天然气储运事故灾难应急预案》《山东省突发事件总体应急预案》《山东省石油天然气生产储运突发事件应急预案》《烟台市突发事件总体应急预案》等法律法规及有关规定。</w:t>
      </w:r>
    </w:p>
    <w:p w14:paraId="6298CAF2">
      <w:pPr>
        <w:autoSpaceDE w:val="0"/>
        <w:autoSpaceDN w:val="0"/>
        <w:adjustRightInd w:val="0"/>
        <w:spacing w:line="560" w:lineRule="exact"/>
        <w:ind w:firstLine="632" w:firstLineChars="200"/>
        <w:rPr>
          <w:rFonts w:ascii="黑体" w:hAnsi="黑体" w:eastAsia="黑体" w:cs="黑体"/>
          <w:kern w:val="0"/>
          <w:sz w:val="32"/>
          <w:szCs w:val="32"/>
        </w:rPr>
      </w:pPr>
      <w:r>
        <w:rPr>
          <w:rFonts w:hint="eastAsia" w:ascii="黑体" w:hAnsi="黑体" w:eastAsia="黑体" w:cs="黑体"/>
          <w:kern w:val="0"/>
          <w:sz w:val="32"/>
          <w:szCs w:val="32"/>
        </w:rPr>
        <w:t>二、适用范围</w:t>
      </w:r>
    </w:p>
    <w:p w14:paraId="0C828089">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本预案适用于我区内，符合《中华人民共和国石油天然气管道保护法》规定的石油、天然气输运管道因自然、人为、管理、技术或设施等因素引发的泄漏、污染、火灾、爆炸等突发事件处置工作。</w:t>
      </w:r>
    </w:p>
    <w:p w14:paraId="191D5719">
      <w:pPr>
        <w:autoSpaceDE w:val="0"/>
        <w:autoSpaceDN w:val="0"/>
        <w:adjustRightInd w:val="0"/>
        <w:spacing w:line="560" w:lineRule="exact"/>
        <w:ind w:firstLine="632" w:firstLineChars="200"/>
        <w:rPr>
          <w:rFonts w:ascii="黑体" w:hAnsi="黑体" w:eastAsia="黑体" w:cs="黑体"/>
          <w:kern w:val="0"/>
          <w:sz w:val="32"/>
          <w:szCs w:val="32"/>
        </w:rPr>
      </w:pPr>
      <w:r>
        <w:rPr>
          <w:rFonts w:hint="eastAsia" w:ascii="黑体" w:hAnsi="黑体" w:eastAsia="黑体" w:cs="黑体"/>
          <w:kern w:val="0"/>
          <w:sz w:val="32"/>
          <w:szCs w:val="32"/>
        </w:rPr>
        <w:t>三、工作原则</w:t>
      </w:r>
    </w:p>
    <w:p w14:paraId="046EF305">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（一）以人为本，安全第一。</w:t>
      </w:r>
      <w:r>
        <w:rPr>
          <w:rFonts w:hint="eastAsia" w:ascii="仿宋_GB2312" w:hAnsi="仿宋_GB2312" w:eastAsia="仿宋_GB2312" w:cs="仿宋_GB2312"/>
          <w:kern w:val="0"/>
          <w:sz w:val="32"/>
          <w:szCs w:val="32"/>
        </w:rPr>
        <w:t>始终坚持把保障人民群众的生命安全和身体健康放在首位，切实加强应急救援人员的安全防护，最大限度地减少事故灾难造成的人员伤亡和财产损失。</w:t>
      </w:r>
    </w:p>
    <w:p w14:paraId="5EEDF48B">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（二）统一领导，分级管理。</w:t>
      </w:r>
      <w:r>
        <w:rPr>
          <w:rFonts w:hint="eastAsia" w:ascii="仿宋_GB2312" w:hAnsi="仿宋_GB2312" w:eastAsia="仿宋_GB2312" w:cs="仿宋_GB2312"/>
          <w:kern w:val="0"/>
          <w:sz w:val="32"/>
          <w:szCs w:val="32"/>
        </w:rPr>
        <w:t>管委统一指挥、协调应急救援工作；各有关部门和单位要按照各自职责和权限，做好应急管理和应急救援工作。</w:t>
      </w:r>
    </w:p>
    <w:p w14:paraId="0C34CD9B">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（三）谁主管、谁负责和属地管理为主。</w:t>
      </w:r>
      <w:r>
        <w:rPr>
          <w:rFonts w:hint="eastAsia" w:ascii="仿宋_GB2312" w:hAnsi="仿宋_GB2312" w:eastAsia="仿宋_GB2312" w:cs="仿宋_GB2312"/>
          <w:kern w:val="0"/>
          <w:sz w:val="32"/>
          <w:szCs w:val="32"/>
        </w:rPr>
        <w:t>应急救援现场指挥以管委为主，有关部门、专家参与。发生突发事件的企业是应急救援工作第一响应者。按照分级响应的原则，各有关部门和办事处及时启动相应应急预案。</w:t>
      </w:r>
    </w:p>
    <w:p w14:paraId="234517E3">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（四）坚持救援应急与超前预防相结合。</w:t>
      </w:r>
      <w:r>
        <w:rPr>
          <w:rFonts w:hint="eastAsia" w:ascii="仿宋_GB2312" w:hAnsi="仿宋_GB2312" w:eastAsia="仿宋_GB2312" w:cs="仿宋_GB2312"/>
          <w:kern w:val="0"/>
          <w:sz w:val="32"/>
          <w:szCs w:val="32"/>
        </w:rPr>
        <w:t>贯彻落实“安全第一，预防为主，综合治理”的方针，按照长期准备、重点建设的要求，做好应对管道突发事件的预案准备、物资和经费准备，加强培训演练，做到常备不懈。</w:t>
      </w:r>
    </w:p>
    <w:p w14:paraId="5D515969">
      <w:pPr>
        <w:autoSpaceDE w:val="0"/>
        <w:autoSpaceDN w:val="0"/>
        <w:adjustRightInd w:val="0"/>
        <w:spacing w:line="560" w:lineRule="exact"/>
        <w:ind w:firstLine="632" w:firstLineChars="200"/>
        <w:rPr>
          <w:rFonts w:ascii="黑体" w:hAnsi="黑体" w:eastAsia="黑体" w:cs="黑体"/>
          <w:kern w:val="0"/>
          <w:sz w:val="32"/>
          <w:szCs w:val="32"/>
        </w:rPr>
      </w:pPr>
      <w:r>
        <w:rPr>
          <w:rFonts w:hint="eastAsia" w:ascii="黑体" w:hAnsi="黑体" w:eastAsia="黑体" w:cs="黑体"/>
          <w:kern w:val="0"/>
          <w:sz w:val="32"/>
          <w:szCs w:val="32"/>
        </w:rPr>
        <w:t>四、组织体系及职责</w:t>
      </w:r>
    </w:p>
    <w:p w14:paraId="11DBECB3">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（一）组织体系。</w:t>
      </w:r>
      <w:r>
        <w:rPr>
          <w:rFonts w:hint="eastAsia" w:ascii="仿宋_GB2312" w:hAnsi="仿宋_GB2312" w:eastAsia="仿宋_GB2312" w:cs="仿宋_GB2312"/>
          <w:kern w:val="0"/>
          <w:sz w:val="32"/>
          <w:szCs w:val="32"/>
        </w:rPr>
        <w:t>成立高新区石油天然气管道突发事件应急指挥部（以下简称指挥部）</w:t>
      </w:r>
    </w:p>
    <w:p w14:paraId="74FBC44D">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总指挥：荆永杰</w:t>
      </w:r>
    </w:p>
    <w:p w14:paraId="7B82188E">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副总指挥：姜洋</w:t>
      </w:r>
    </w:p>
    <w:p w14:paraId="6B344CD1">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成员：刘旭升、于振宇、齐照良、刘泽华、刘聪、丛义明、刘奎玉、毕明文、张伟、陈彦文、曲飞、孙航、事发油气管道企业负责人。</w:t>
      </w:r>
    </w:p>
    <w:p w14:paraId="49A5F1A3">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指挥部办公室设在区经济发展部。</w:t>
      </w:r>
    </w:p>
    <w:p w14:paraId="3AE57232">
      <w:pPr>
        <w:autoSpaceDE w:val="0"/>
        <w:autoSpaceDN w:val="0"/>
        <w:adjustRightInd w:val="0"/>
        <w:spacing w:line="560" w:lineRule="exact"/>
        <w:ind w:firstLine="63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（二）主要职责</w:t>
      </w:r>
    </w:p>
    <w:p w14:paraId="214C9FA5">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指挥部职责：贯彻落实《中华人民共和国石油天然气管道保护法》等相关法律法规，研究部署油气管道突发事件的重大问题及重要事项；负责组织、协调和指挥油气管道较大突发事件应急处置工作，必要时争取上级政府业务部门给予支持；督促指导相关单位做好油气管道一般突发事件应急处置工作；按有关规定做好应急响应，必要时提升响应级别；根据油气管道突发事件实际情况和发展趋势，决定启动、终止本预案的应急响应。</w:t>
      </w:r>
    </w:p>
    <w:p w14:paraId="489BA118">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指挥部办公室职责：负责组织落实区应急指挥部的决定；组织协调有关单位按照预案和职责开展油气管道突发事件应急处置工作；负责区级油气管道突发事件应急预案的编制、修订、演练、评估、管理与实施；建立区油气管道突发事件监测预警、信息收集制度，统一接收、处理、核实与研判信息，依法依规进行报告；负责组织油气管道突发事件的信息发布工作；负责油气管道突发事件应急专家组的日常管理和联系工作；负责其他与油气管道突发事件相关的应急管理工作。</w:t>
      </w:r>
    </w:p>
    <w:p w14:paraId="0D78F29F">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3.成员单位职责</w:t>
      </w:r>
    </w:p>
    <w:p w14:paraId="0D8D1F12">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济发展部：负责石油天然气管道企业日常监管工作，负责石油天然气管道企业事件应急救援预案的制定、管理及修订工作；组织石油天然气管道企业开展应急救援演练；承接石油天然气管道企业事件报告；通知区应急指挥部各成员单位立即赶赴现场；协调各成员单位的应急救援工作；负责牵头开展管道突发事件的调查处理工作。</w:t>
      </w:r>
    </w:p>
    <w:p w14:paraId="4F47E003">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综合管理部：负责适时发布有关新闻，对媒体关于突发事件的报道进行引导；做好新闻发布和媒体记者接待、服务、协调工作。</w:t>
      </w:r>
    </w:p>
    <w:p w14:paraId="5C1C9458">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卫生健康管理办公室：</w:t>
      </w:r>
      <w:r>
        <w:rPr>
          <w:rFonts w:hint="eastAsia" w:ascii="仿宋_GB2312" w:hAnsi="仿宋_GB2312" w:eastAsia="仿宋_GB2312" w:cs="仿宋_GB2312"/>
          <w:kern w:val="0"/>
          <w:sz w:val="32"/>
          <w:szCs w:val="32"/>
        </w:rPr>
        <w:t>负责组织专家及医疗队伍对受伤人员进行紧急救护。</w:t>
      </w:r>
    </w:p>
    <w:p w14:paraId="3C8ADF32">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公安分局、交警五大队：负责参与管道突发事件的调查处理工作；负责突发事件现场维持现场秩序，根据需要组织群众疏散、防范次生灾害。</w:t>
      </w:r>
    </w:p>
    <w:p w14:paraId="746412D3">
      <w:pPr>
        <w:autoSpaceDE w:val="0"/>
        <w:autoSpaceDN w:val="0"/>
        <w:adjustRightInd w:val="0"/>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应急管理局：参与石油天然气管道生产安全事故的调查处理工作并</w:t>
      </w:r>
      <w:r>
        <w:rPr>
          <w:rFonts w:hint="eastAsia" w:ascii="仿宋_GB2312" w:hAnsi="仿宋_GB2312" w:eastAsia="仿宋_GB2312" w:cs="仿宋_GB2312"/>
          <w:sz w:val="32"/>
          <w:szCs w:val="32"/>
        </w:rPr>
        <w:t>做好安全生产事故应急救援工作。</w:t>
      </w:r>
    </w:p>
    <w:p w14:paraId="4E0D06CD">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规划国土建设部：组织力量对被破坏的水、热、道路等重要市政设施进行抢险修复，尽快恢复城市基础设施功能。</w:t>
      </w:r>
    </w:p>
    <w:p w14:paraId="5F28B0D0">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综合行政执法局：组织力量对被破坏的水、热等重要市政设施进行抢险修复，尽快恢复城市基础设施功能。</w:t>
      </w:r>
    </w:p>
    <w:p w14:paraId="5B4C4D75">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生态环境分局: 负责测定事件环境污染和生态危害区域及危害程度，对事件造成的环境危害进行监测、评估、提出处置建议。</w:t>
      </w:r>
    </w:p>
    <w:p w14:paraId="23351481">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马山街道办事处、金山湾管理处：启动本级应急预案，配合指挥部处置现场事件。</w:t>
      </w:r>
    </w:p>
    <w:p w14:paraId="232BBF0C">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管道企业：负责抢救物资及装备的供应、组织撤离人员及物资等后勤保障工作。</w:t>
      </w:r>
    </w:p>
    <w:p w14:paraId="4E1FFE96">
      <w:pPr>
        <w:autoSpaceDE w:val="0"/>
        <w:autoSpaceDN w:val="0"/>
        <w:adjustRightInd w:val="0"/>
        <w:spacing w:line="560" w:lineRule="exact"/>
        <w:ind w:firstLine="632" w:firstLineChars="200"/>
        <w:rPr>
          <w:rFonts w:ascii="黑体" w:hAnsi="黑体" w:eastAsia="黑体" w:cs="黑体"/>
          <w:kern w:val="0"/>
          <w:sz w:val="32"/>
          <w:szCs w:val="32"/>
        </w:rPr>
      </w:pPr>
      <w:r>
        <w:rPr>
          <w:rFonts w:hint="eastAsia" w:ascii="黑体" w:hAnsi="黑体" w:eastAsia="黑体" w:cs="黑体"/>
          <w:kern w:val="0"/>
          <w:sz w:val="32"/>
          <w:szCs w:val="32"/>
        </w:rPr>
        <w:t>五、事件分级</w:t>
      </w:r>
    </w:p>
    <w:p w14:paraId="634F0E2A">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按照社会危害程度、影响范围等因素，油气管道突发事件由低到高划分为一般（Ⅳ级）、较大（Ⅲ级）、重大（Ⅱ级）、特别重大（Ⅰ级）四个级别。</w:t>
      </w:r>
    </w:p>
    <w:p w14:paraId="7F6E4480">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1.一般突发事件（Ⅳ级）</w:t>
      </w:r>
    </w:p>
    <w:p w14:paraId="2B6842E1">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符合下列条件之一的为一般突发事件（Ⅳ级）：</w:t>
      </w:r>
    </w:p>
    <w:p w14:paraId="5A38AD93">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（1）造成人员严重受伤事件；</w:t>
      </w:r>
    </w:p>
    <w:p w14:paraId="7C21C473">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（2）对社会安全、环境造成影响，需要紧急转移安置10至100人；</w:t>
      </w:r>
    </w:p>
    <w:p w14:paraId="70956717">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（3）造成管道设施损坏，油气管道泄漏、停输；</w:t>
      </w:r>
    </w:p>
    <w:p w14:paraId="0EEC73E0">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（4）造成直接经济损失100万元以下。</w:t>
      </w:r>
    </w:p>
    <w:p w14:paraId="33C4548E">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2.较大突发事件（Ⅲ级）</w:t>
      </w:r>
    </w:p>
    <w:p w14:paraId="05C0043B">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符合下列条件之一的为较大突发事件（Ⅲ级）：</w:t>
      </w:r>
    </w:p>
    <w:p w14:paraId="699D87E9">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（1）造成1至2人死亡，或3至9人受伤；</w:t>
      </w:r>
    </w:p>
    <w:p w14:paraId="33145CB4">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（2）对社会安全、环境造成严重影响，需要紧急转移安置100至5000人；</w:t>
      </w:r>
    </w:p>
    <w:p w14:paraId="4BBF78FE">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（3）造成管道设施损坏，油气管道主干线输送长时间(1天或1天以上)中断；</w:t>
      </w:r>
    </w:p>
    <w:p w14:paraId="17FFF122">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（4）造成直接经济损失100万元以上500万元以下；</w:t>
      </w:r>
    </w:p>
    <w:p w14:paraId="33336249">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（5）造成有关企业连续3天以上无法正常运行。</w:t>
      </w:r>
    </w:p>
    <w:p w14:paraId="0D591286">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3.重大突发事件（Ⅱ级）</w:t>
      </w:r>
    </w:p>
    <w:p w14:paraId="3008EAA3">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符合下列条件之一的为重大突发事件（Ⅱ级）：</w:t>
      </w:r>
    </w:p>
    <w:p w14:paraId="3F1A78CD">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（1）造成3至9人死亡，或10至49人受伤；</w:t>
      </w:r>
    </w:p>
    <w:p w14:paraId="0520CDEC">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（2）对社会安全、环境造成重大影响，需要紧急转移安置5000至50000人；</w:t>
      </w:r>
    </w:p>
    <w:p w14:paraId="55336529">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（3）造成管道设施损坏，油气管道主干线输送长时间(3天或3天以上)中断；</w:t>
      </w:r>
    </w:p>
    <w:p w14:paraId="48AE750C">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（4）造成直接经济损失500万元以上1000万元以下；</w:t>
      </w:r>
    </w:p>
    <w:p w14:paraId="35C9DF52">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（5）造成有关企业连续5天以上无法正常运行。</w:t>
      </w:r>
    </w:p>
    <w:p w14:paraId="1734197B">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4.特别重大突发事件（Ⅰ级）</w:t>
      </w:r>
    </w:p>
    <w:p w14:paraId="134F1BBD">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符合下列条件之一的为特别重大突发事件（Ⅰ级）：</w:t>
      </w:r>
    </w:p>
    <w:p w14:paraId="6FD547FD">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（1）造成10人以上死亡，或50人以上受伤;</w:t>
      </w:r>
    </w:p>
    <w:p w14:paraId="4DAC6292">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（2）对社会安全、环境造成重大影响，需要紧急转移安置50000人以上;</w:t>
      </w:r>
    </w:p>
    <w:p w14:paraId="03BD26FB">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（3）造成管道设施严重破坏，油气管道主干线输送长时间(7天或7天以上)中断；</w:t>
      </w:r>
    </w:p>
    <w:p w14:paraId="41BF819C">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（4）造成直接经济损失1000万元以上;</w:t>
      </w:r>
    </w:p>
    <w:p w14:paraId="2D73541A">
      <w:pPr>
        <w:shd w:val="clear" w:color="auto" w:fill="FFFFFF"/>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（5）造成有关企业连续10天以上无法正常运行。</w:t>
      </w:r>
    </w:p>
    <w:p w14:paraId="7DC469EE">
      <w:pPr>
        <w:autoSpaceDE w:val="0"/>
        <w:autoSpaceDN w:val="0"/>
        <w:adjustRightInd w:val="0"/>
        <w:spacing w:line="560" w:lineRule="exact"/>
        <w:ind w:firstLine="632" w:firstLineChars="200"/>
        <w:rPr>
          <w:rFonts w:ascii="黑体" w:hAnsi="黑体" w:eastAsia="黑体" w:cs="黑体"/>
          <w:kern w:val="0"/>
          <w:sz w:val="32"/>
          <w:szCs w:val="32"/>
        </w:rPr>
      </w:pPr>
      <w:r>
        <w:rPr>
          <w:rFonts w:hint="eastAsia" w:ascii="黑体" w:hAnsi="黑体" w:eastAsia="黑体" w:cs="黑体"/>
          <w:kern w:val="0"/>
          <w:sz w:val="32"/>
          <w:szCs w:val="32"/>
        </w:rPr>
        <w:t>六、事件报告与应急响应</w:t>
      </w:r>
    </w:p>
    <w:p w14:paraId="6A289C6A">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（一）事件报告。</w:t>
      </w:r>
      <w:r>
        <w:rPr>
          <w:rFonts w:hint="eastAsia" w:ascii="仿宋_GB2312" w:hAnsi="仿宋_GB2312" w:eastAsia="仿宋_GB2312" w:cs="仿宋_GB2312"/>
          <w:kern w:val="0"/>
          <w:sz w:val="32"/>
          <w:szCs w:val="32"/>
        </w:rPr>
        <w:t>发生管道破裂、断裂泄漏等事件时，事件现场有关人员应当立即报告管委、公安机关（可拨打110、119、120等应急电话），管委和公安机关接到报告后应当立即派员到现场核查、落实、控制现场，同时向指挥部报告，指挥部在半小时内向市发改委报告。</w:t>
      </w:r>
      <w:r>
        <w:rPr>
          <w:rFonts w:hint="eastAsia" w:ascii="仿宋_GB2312" w:hAnsi="仿宋_GB2312" w:eastAsia="仿宋_GB2312" w:cs="仿宋_GB2312"/>
          <w:sz w:val="32"/>
          <w:szCs w:val="32"/>
        </w:rPr>
        <w:t>对于较大以上油气管道突发事件，及一般油气管道突发事件中涉及敏感群体，或发生在敏感时间、敏感地点，或可能发生次生、衍生突发事件的，区应急指挥部接报后要立即核实相关信息并向市应急指挥部报告。</w:t>
      </w:r>
    </w:p>
    <w:p w14:paraId="4F2DB642">
      <w:pPr>
        <w:autoSpaceDE w:val="0"/>
        <w:autoSpaceDN w:val="0"/>
        <w:adjustRightInd w:val="0"/>
        <w:spacing w:line="560" w:lineRule="exact"/>
        <w:ind w:firstLine="63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（二）应急响应。</w:t>
      </w:r>
    </w:p>
    <w:p w14:paraId="5FEEC8B6">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1.下列情况下，启动本预案：</w:t>
      </w:r>
    </w:p>
    <w:p w14:paraId="020C1E91">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（1）发生一般及以上突发事件的；</w:t>
      </w:r>
    </w:p>
    <w:p w14:paraId="2FB5918B">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（2）接到各部门关于石油天然气管道事件救援增援请求的；</w:t>
      </w:r>
    </w:p>
    <w:p w14:paraId="3EDEB9DB">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（3）接到上级关于石油天然气管道突发事件救援增援指示的；</w:t>
      </w:r>
    </w:p>
    <w:p w14:paraId="2A7B1A83">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（4）指挥部认为有必要启动的；</w:t>
      </w:r>
    </w:p>
    <w:p w14:paraId="2FED8721">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（5）执行其它应急预案时需要启动本预案的。</w:t>
      </w:r>
    </w:p>
    <w:p w14:paraId="235000C9">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2.通讯联络方式。</w:t>
      </w:r>
    </w:p>
    <w:p w14:paraId="61E1C4C6">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应急救援报警电话：119、110、120。</w:t>
      </w:r>
    </w:p>
    <w:p w14:paraId="5098B5F5">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指挥部办公室（经济发展部）值班电话：6922155</w:t>
      </w:r>
    </w:p>
    <w:p w14:paraId="5B0607EA">
      <w:pPr>
        <w:autoSpaceDE w:val="0"/>
        <w:autoSpaceDN w:val="0"/>
        <w:adjustRightInd w:val="0"/>
        <w:spacing w:line="560" w:lineRule="exact"/>
        <w:ind w:firstLine="632" w:firstLineChars="200"/>
        <w:rPr>
          <w:rFonts w:ascii="黑体" w:hAnsi="黑体" w:eastAsia="黑体" w:cs="黑体"/>
          <w:kern w:val="0"/>
          <w:sz w:val="32"/>
          <w:szCs w:val="32"/>
        </w:rPr>
      </w:pPr>
      <w:r>
        <w:rPr>
          <w:rFonts w:hint="eastAsia" w:ascii="黑体" w:hAnsi="黑体" w:eastAsia="黑体" w:cs="黑体"/>
          <w:kern w:val="0"/>
          <w:sz w:val="32"/>
          <w:szCs w:val="32"/>
        </w:rPr>
        <w:t>七、应急救援</w:t>
      </w:r>
    </w:p>
    <w:p w14:paraId="3E8F8F8B">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（一）指挥和协调。</w:t>
      </w:r>
      <w:r>
        <w:rPr>
          <w:rFonts w:hint="eastAsia" w:ascii="仿宋_GB2312" w:hAnsi="仿宋_GB2312" w:eastAsia="仿宋_GB2312" w:cs="仿宋_GB2312"/>
          <w:kern w:val="0"/>
          <w:sz w:val="32"/>
          <w:szCs w:val="32"/>
        </w:rPr>
        <w:t>事故发生后，发生事故的企业立即启动企业预案，组织先期救援。区管委主要负责人赶赴现场，成立现场应急救援指挥部，按照相关处置预案，统一协调指挥。</w:t>
      </w:r>
    </w:p>
    <w:p w14:paraId="13FBA6CF">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1.根据事件处置需要，协调调动各部门和管道企业有关队伍、装备、物资，保障事件救援需要；</w:t>
      </w:r>
    </w:p>
    <w:p w14:paraId="3C529D57">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2.组织专家现场指导，提出救援和防止次生灾害方案，责成有关方面实施；</w:t>
      </w:r>
    </w:p>
    <w:p w14:paraId="18692B39">
      <w:pPr>
        <w:autoSpaceDE w:val="0"/>
        <w:autoSpaceDN w:val="0"/>
        <w:adjustRightInd w:val="0"/>
        <w:spacing w:line="560" w:lineRule="exact"/>
        <w:ind w:firstLine="632"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协调事件发生地相邻地区配合、支援；</w:t>
      </w:r>
    </w:p>
    <w:p w14:paraId="0598DAE2">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4.必要时商请部队支持和援助。</w:t>
      </w:r>
    </w:p>
    <w:p w14:paraId="3A29563A">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发生事故灾害涉及面广、影响特别重大的，在国家、省、市有关方面指导下，按国家、省、市有关预案执行。</w:t>
      </w:r>
    </w:p>
    <w:p w14:paraId="18B2125E">
      <w:pPr>
        <w:autoSpaceDE w:val="0"/>
        <w:autoSpaceDN w:val="0"/>
        <w:adjustRightInd w:val="0"/>
        <w:spacing w:line="560" w:lineRule="exact"/>
        <w:ind w:firstLine="63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（二）现场应急救援处置。</w:t>
      </w:r>
    </w:p>
    <w:p w14:paraId="64878A80">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1.公安部门及交警部门应迅速赶赴事故现场，保护事故现场工作，维护现场治安和交通秩序；</w:t>
      </w:r>
    </w:p>
    <w:p w14:paraId="461892A2">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2.指挥部应迅速组织事故发生地周围群众撤离危险区域，维护好社会治安，同时做好撤离群众的安置工作；</w:t>
      </w:r>
    </w:p>
    <w:p w14:paraId="37FE3479">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发生事故的企业要迅速切断油气来源，封锁事故现场和危险区域，迅速撤离、疏散现场人员，设置警示标志，同时设法保护相邻装置、设备，关停一切火源、电源，防止静电火花，将易燃易爆物品搬离危险区域，防止事态扩大和引发次生灾害；</w:t>
      </w:r>
    </w:p>
    <w:p w14:paraId="0A9F6075">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4.事故现场如有人员伤亡，立即调集相关(外伤、烧伤、硫化氢中毒等方面)医疗专家和设备进行现场救治，适时进行转移治疗；</w:t>
      </w:r>
    </w:p>
    <w:p w14:paraId="5E1D3B71">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5.设置警戒线和划定安全区域，对事故现场和周边地区进行可燃气体分析、有毒气体分析、大气环境监测和气象预报，必要时向周边居民发出警报；</w:t>
      </w:r>
    </w:p>
    <w:p w14:paraId="4C7C300D">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6.及时制定事故应急救援方案(灭火、堵漏等)，并组织实施；</w:t>
      </w:r>
    </w:p>
    <w:p w14:paraId="7A995524">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7.现场救援人员要做好人身安全防护，避免烧伤、中毒等伤害；</w:t>
      </w:r>
    </w:p>
    <w:p w14:paraId="04C467D2">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8.保护国家重要设施和目标，防止对江河、湖泊、交通干线等造成重大影响。</w:t>
      </w:r>
    </w:p>
    <w:p w14:paraId="1CFD422E">
      <w:pPr>
        <w:autoSpaceDE w:val="0"/>
        <w:autoSpaceDN w:val="0"/>
        <w:adjustRightInd w:val="0"/>
        <w:spacing w:line="560" w:lineRule="exact"/>
        <w:ind w:firstLine="632" w:firstLineChars="200"/>
        <w:rPr>
          <w:rFonts w:ascii="黑体" w:hAnsi="黑体" w:eastAsia="黑体" w:cs="黑体"/>
          <w:kern w:val="0"/>
          <w:sz w:val="32"/>
          <w:szCs w:val="32"/>
        </w:rPr>
      </w:pPr>
      <w:r>
        <w:rPr>
          <w:rFonts w:hint="eastAsia" w:ascii="黑体" w:hAnsi="黑体" w:eastAsia="黑体" w:cs="黑体"/>
          <w:kern w:val="0"/>
          <w:sz w:val="32"/>
          <w:szCs w:val="32"/>
        </w:rPr>
        <w:t>八、后期处置</w:t>
      </w:r>
    </w:p>
    <w:p w14:paraId="67466707">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应急处置结束后，参与应急处置的单位应及时向指挥部做出书面报告。指挥部办公室整理应急救援相关资料，总结、评价应急处置措施，提出下步工作建议，报区管委。</w:t>
      </w:r>
    </w:p>
    <w:p w14:paraId="74B09497">
      <w:pPr>
        <w:autoSpaceDE w:val="0"/>
        <w:autoSpaceDN w:val="0"/>
        <w:adjustRightInd w:val="0"/>
        <w:spacing w:line="560" w:lineRule="exact"/>
        <w:ind w:firstLine="632" w:firstLineChars="200"/>
        <w:rPr>
          <w:rFonts w:ascii="黑体" w:hAnsi="黑体" w:eastAsia="黑体" w:cs="黑体"/>
          <w:kern w:val="0"/>
          <w:sz w:val="32"/>
          <w:szCs w:val="32"/>
        </w:rPr>
      </w:pPr>
      <w:r>
        <w:rPr>
          <w:rFonts w:hint="eastAsia" w:ascii="黑体" w:hAnsi="黑体" w:eastAsia="黑体" w:cs="黑体"/>
          <w:kern w:val="0"/>
          <w:sz w:val="32"/>
          <w:szCs w:val="32"/>
        </w:rPr>
        <w:t>九、保障措施</w:t>
      </w:r>
    </w:p>
    <w:p w14:paraId="63C20BD2">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（一）资金保障。</w:t>
      </w:r>
      <w:r>
        <w:rPr>
          <w:rFonts w:hint="eastAsia" w:ascii="仿宋_GB2312" w:hAnsi="仿宋_GB2312" w:eastAsia="仿宋_GB2312" w:cs="仿宋_GB2312"/>
          <w:kern w:val="0"/>
          <w:sz w:val="32"/>
          <w:szCs w:val="32"/>
        </w:rPr>
        <w:t>管道企业要根据应急工作需要和企业经营状况，安排一定额度的专项应急资金，保障应急救援工作顺利开展。</w:t>
      </w:r>
    </w:p>
    <w:p w14:paraId="3D6FB3EB">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（二）通信保障。</w:t>
      </w:r>
      <w:r>
        <w:rPr>
          <w:rFonts w:hint="eastAsia" w:ascii="仿宋_GB2312" w:hAnsi="仿宋_GB2312" w:eastAsia="仿宋_GB2312" w:cs="仿宋_GB2312"/>
          <w:kern w:val="0"/>
          <w:sz w:val="32"/>
          <w:szCs w:val="32"/>
        </w:rPr>
        <w:t>政府、企业、社会要建立和完善应急通讯措施，确保发生突发事件时通讯联络畅通。</w:t>
      </w:r>
    </w:p>
    <w:p w14:paraId="6222C073">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（三）物资储备保障。</w:t>
      </w:r>
      <w:r>
        <w:rPr>
          <w:rFonts w:hint="eastAsia" w:ascii="仿宋_GB2312" w:hAnsi="仿宋_GB2312" w:eastAsia="仿宋_GB2312" w:cs="仿宋_GB2312"/>
          <w:kern w:val="0"/>
          <w:sz w:val="32"/>
          <w:szCs w:val="32"/>
        </w:rPr>
        <w:t>各有关部门和管道企业要做好应急物资储备，确保抢险救援工作需要。</w:t>
      </w:r>
    </w:p>
    <w:p w14:paraId="3A84B156">
      <w:pPr>
        <w:autoSpaceDE w:val="0"/>
        <w:autoSpaceDN w:val="0"/>
        <w:adjustRightInd w:val="0"/>
        <w:spacing w:line="560" w:lineRule="exact"/>
        <w:ind w:firstLine="632" w:firstLineChars="200"/>
        <w:rPr>
          <w:rFonts w:ascii="黑体" w:hAnsi="黑体" w:eastAsia="黑体" w:cs="黑体"/>
          <w:kern w:val="0"/>
          <w:sz w:val="32"/>
          <w:szCs w:val="32"/>
        </w:rPr>
      </w:pPr>
      <w:r>
        <w:rPr>
          <w:rFonts w:hint="eastAsia" w:ascii="黑体" w:hAnsi="黑体" w:eastAsia="黑体" w:cs="黑体"/>
          <w:kern w:val="0"/>
          <w:sz w:val="32"/>
          <w:szCs w:val="32"/>
        </w:rPr>
        <w:t>十、监督管理</w:t>
      </w:r>
    </w:p>
    <w:p w14:paraId="37A88FB4">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（一）信息宣传。</w:t>
      </w:r>
      <w:r>
        <w:rPr>
          <w:rFonts w:hint="eastAsia" w:ascii="仿宋_GB2312" w:hAnsi="仿宋_GB2312" w:eastAsia="仿宋_GB2312" w:cs="仿宋_GB2312"/>
          <w:kern w:val="0"/>
          <w:sz w:val="32"/>
          <w:szCs w:val="32"/>
        </w:rPr>
        <w:t>各有关部门和单位要广泛宣传石油天然气管道事件预防、避险、自救、互救常识以及应急救援有关法律法规。</w:t>
      </w:r>
    </w:p>
    <w:p w14:paraId="3DDB9622">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（二）人员培训。</w:t>
      </w:r>
      <w:r>
        <w:rPr>
          <w:rFonts w:hint="eastAsia" w:ascii="仿宋_GB2312" w:hAnsi="仿宋_GB2312" w:eastAsia="仿宋_GB2312" w:cs="仿宋_GB2312"/>
          <w:kern w:val="0"/>
          <w:sz w:val="32"/>
          <w:szCs w:val="32"/>
        </w:rPr>
        <w:t>消防大队、管道企业的专业应急救援队伍是石油天然气管道突发事件抢险救援的重要力量，要按照规定参加业务培训；管道企业要按照有关规定对员工进行培训；管道监管部门负责对应急救援培训工作进行监督检查。</w:t>
      </w:r>
    </w:p>
    <w:p w14:paraId="09486DB8">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（三）预案演练。</w:t>
      </w:r>
      <w:r>
        <w:rPr>
          <w:rFonts w:hint="eastAsia" w:ascii="仿宋_GB2312" w:hAnsi="仿宋_GB2312" w:eastAsia="仿宋_GB2312" w:cs="仿宋_GB2312"/>
          <w:kern w:val="0"/>
          <w:sz w:val="32"/>
          <w:szCs w:val="32"/>
        </w:rPr>
        <w:t>指挥部办公室要会同有关部门依据《烟台市石油天然气管道突发事件应急预案》和本预案组织模拟演习，及时对预案进行修订完善，提高预案的针对性和实效性。</w:t>
      </w:r>
    </w:p>
    <w:p w14:paraId="328FA6E8">
      <w:pPr>
        <w:autoSpaceDE w:val="0"/>
        <w:autoSpaceDN w:val="0"/>
        <w:adjustRightInd w:val="0"/>
        <w:spacing w:line="560" w:lineRule="exact"/>
        <w:ind w:firstLine="632" w:firstLineChars="200"/>
        <w:rPr>
          <w:rFonts w:ascii="黑体" w:hAnsi="黑体" w:eastAsia="黑体" w:cs="黑体"/>
          <w:kern w:val="0"/>
          <w:sz w:val="32"/>
          <w:szCs w:val="32"/>
        </w:rPr>
      </w:pPr>
      <w:r>
        <w:rPr>
          <w:rFonts w:hint="eastAsia" w:ascii="黑体" w:hAnsi="黑体" w:eastAsia="黑体" w:cs="黑体"/>
          <w:kern w:val="0"/>
          <w:sz w:val="32"/>
          <w:szCs w:val="32"/>
        </w:rPr>
        <w:t>十一、其他</w:t>
      </w:r>
    </w:p>
    <w:p w14:paraId="32203FDA">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（一）石油天然气管道突发事件新闻报道由区综合管理部负责，各媒体采写的报道须经指挥部审核同意后发布。</w:t>
      </w:r>
    </w:p>
    <w:p w14:paraId="1E277694">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（二）石油天然气管道突发事件应急救援经费按有关规定办理。</w:t>
      </w:r>
    </w:p>
    <w:p w14:paraId="3D736315">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（三）对应急救援组织不力、致使损失扩大的，按有关规定追究其责任。</w:t>
      </w:r>
    </w:p>
    <w:p w14:paraId="44FAFCFA">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（四）管道企业应制定石油天然气管道突发事件应急救援预案，报指挥部办公室备案。</w:t>
      </w:r>
    </w:p>
    <w:p w14:paraId="284C45A7">
      <w:pPr>
        <w:autoSpaceDE w:val="0"/>
        <w:autoSpaceDN w:val="0"/>
        <w:adjustRightInd w:val="0"/>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本预案自发布之日起实施。</w:t>
      </w:r>
    </w:p>
    <w:p w14:paraId="0615F44D">
      <w:pPr>
        <w:autoSpaceDE w:val="0"/>
        <w:autoSpaceDN w:val="0"/>
        <w:adjustRightInd w:val="0"/>
        <w:spacing w:line="560" w:lineRule="exact"/>
        <w:ind w:firstLine="632" w:firstLineChars="200"/>
        <w:rPr>
          <w:rFonts w:ascii="仿宋_GB2312" w:hAnsi="仿宋_GB2312" w:eastAsia="仿宋_GB2312" w:cs="仿宋_GB2312"/>
          <w:sz w:val="32"/>
          <w:szCs w:val="32"/>
        </w:rPr>
      </w:pPr>
    </w:p>
    <w:p w14:paraId="7EF68D6B">
      <w:pPr>
        <w:autoSpaceDE w:val="0"/>
        <w:autoSpaceDN w:val="0"/>
        <w:adjustRightInd w:val="0"/>
        <w:spacing w:line="560" w:lineRule="exact"/>
        <w:ind w:firstLine="632"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bCs/>
          <w:sz w:val="32"/>
          <w:szCs w:val="32"/>
        </w:rPr>
        <w:t>烟台高新区</w:t>
      </w:r>
      <w:r>
        <w:rPr>
          <w:rFonts w:hint="eastAsia" w:ascii="仿宋_GB2312" w:hAnsi="仿宋_GB2312" w:eastAsia="仿宋_GB2312" w:cs="仿宋_GB2312"/>
          <w:kern w:val="0"/>
          <w:sz w:val="32"/>
          <w:szCs w:val="32"/>
        </w:rPr>
        <w:t>石油天然气管道突发事件应急</w:t>
      </w:r>
      <w:r>
        <w:rPr>
          <w:rFonts w:hint="eastAsia" w:ascii="仿宋_GB2312" w:hAnsi="仿宋_GB2312" w:eastAsia="仿宋_GB2312" w:cs="仿宋_GB2312"/>
          <w:bCs/>
          <w:sz w:val="32"/>
          <w:szCs w:val="32"/>
        </w:rPr>
        <w:t>成员名单及联系方式</w:t>
      </w:r>
    </w:p>
    <w:p w14:paraId="187C63C1">
      <w:pPr>
        <w:spacing w:line="560" w:lineRule="exact"/>
        <w:ind w:firstLine="632" w:firstLineChars="200"/>
      </w:pPr>
      <w:r>
        <w:rPr>
          <w:rFonts w:hint="eastAsia" w:ascii="仿宋_GB2312" w:hAnsi="仿宋_GB2312" w:eastAsia="仿宋_GB2312" w:cs="仿宋_GB2312"/>
          <w:bCs/>
          <w:sz w:val="32"/>
          <w:szCs w:val="32"/>
        </w:rPr>
        <w:t>2、高新区石油天然气管道突发事件应急处置流程图</w:t>
      </w:r>
    </w:p>
    <w:p w14:paraId="5C1566B6"/>
    <w:p w14:paraId="1C3EC66D"/>
    <w:p w14:paraId="05180832"/>
    <w:p w14:paraId="5C18E68E"/>
    <w:p w14:paraId="76B8571E"/>
    <w:p w14:paraId="19D5E8F1"/>
    <w:p w14:paraId="39F75FB2">
      <w:pPr>
        <w:spacing w:line="560" w:lineRule="exact"/>
        <w:rPr>
          <w:rFonts w:ascii="黑体" w:hAnsi="黑体" w:eastAsia="黑体"/>
          <w:sz w:val="32"/>
          <w:szCs w:val="32"/>
        </w:rPr>
      </w:pPr>
      <w:r>
        <w:rPr>
          <w:rFonts w:hint="eastAsia" w:ascii="黑体" w:hAnsi="黑体" w:eastAsia="黑体"/>
          <w:sz w:val="32"/>
          <w:szCs w:val="32"/>
        </w:rPr>
        <w:t>附件1</w:t>
      </w:r>
    </w:p>
    <w:p w14:paraId="0EDFAE66">
      <w:pPr>
        <w:autoSpaceDN w:val="0"/>
        <w:spacing w:line="0" w:lineRule="atLeast"/>
        <w:jc w:val="center"/>
        <w:rPr>
          <w:rFonts w:ascii="方正小标宋简体" w:eastAsia="方正小标宋简体"/>
          <w:bCs/>
          <w:kern w:val="0"/>
          <w:sz w:val="44"/>
          <w:szCs w:val="44"/>
        </w:rPr>
      </w:pPr>
      <w:r>
        <w:rPr>
          <w:rFonts w:hint="eastAsia" w:ascii="方正小标宋简体" w:eastAsia="方正小标宋简体"/>
          <w:bCs/>
          <w:kern w:val="0"/>
          <w:sz w:val="44"/>
          <w:szCs w:val="44"/>
        </w:rPr>
        <w:t>烟台高新区石油天然气管道突发事件应急指挥部成员名单及联系方式</w:t>
      </w:r>
    </w:p>
    <w:tbl>
      <w:tblPr>
        <w:tblStyle w:val="12"/>
        <w:tblW w:w="9400" w:type="dxa"/>
        <w:tblInd w:w="0" w:type="dxa"/>
        <w:tblLayout w:type="fixed"/>
        <w:tblCellMar>
          <w:top w:w="0" w:type="dxa"/>
          <w:left w:w="108" w:type="dxa"/>
          <w:bottom w:w="0" w:type="dxa"/>
          <w:right w:w="108" w:type="dxa"/>
        </w:tblCellMar>
      </w:tblPr>
      <w:tblGrid>
        <w:gridCol w:w="1243"/>
        <w:gridCol w:w="1089"/>
        <w:gridCol w:w="1998"/>
        <w:gridCol w:w="1918"/>
        <w:gridCol w:w="1253"/>
        <w:gridCol w:w="1899"/>
      </w:tblGrid>
      <w:tr w14:paraId="3B33EBD8">
        <w:tblPrEx>
          <w:tblCellMar>
            <w:top w:w="0" w:type="dxa"/>
            <w:left w:w="108" w:type="dxa"/>
            <w:bottom w:w="0" w:type="dxa"/>
            <w:right w:w="108" w:type="dxa"/>
          </w:tblCellMar>
        </w:tblPrEx>
        <w:tc>
          <w:tcPr>
            <w:tcW w:w="1243" w:type="dxa"/>
            <w:tcBorders>
              <w:top w:val="single" w:color="000000" w:sz="4" w:space="0"/>
              <w:left w:val="single" w:color="000000" w:sz="4" w:space="0"/>
              <w:bottom w:val="single" w:color="000000" w:sz="4" w:space="0"/>
              <w:right w:val="single" w:color="000000" w:sz="4" w:space="0"/>
            </w:tcBorders>
          </w:tcPr>
          <w:p w14:paraId="5C2C052A">
            <w:pPr>
              <w:spacing w:before="100" w:after="100" w:line="240" w:lineRule="exact"/>
              <w:jc w:val="center"/>
              <w:rPr>
                <w:rFonts w:ascii="楷体_GB2312" w:eastAsia="楷体_GB2312"/>
                <w:kern w:val="0"/>
                <w:sz w:val="24"/>
              </w:rPr>
            </w:pPr>
            <w:r>
              <w:rPr>
                <w:rFonts w:hint="eastAsia" w:ascii="楷体_GB2312" w:eastAsia="楷体_GB2312"/>
                <w:kern w:val="0"/>
                <w:sz w:val="24"/>
              </w:rPr>
              <w:t>职务</w:t>
            </w:r>
          </w:p>
        </w:tc>
        <w:tc>
          <w:tcPr>
            <w:tcW w:w="1089" w:type="dxa"/>
            <w:tcBorders>
              <w:top w:val="single" w:color="000000" w:sz="4" w:space="0"/>
              <w:left w:val="nil"/>
              <w:bottom w:val="single" w:color="000000" w:sz="4" w:space="0"/>
              <w:right w:val="single" w:color="000000" w:sz="4" w:space="0"/>
            </w:tcBorders>
          </w:tcPr>
          <w:p w14:paraId="54A97013">
            <w:pPr>
              <w:spacing w:before="100" w:after="100" w:line="240" w:lineRule="exact"/>
              <w:jc w:val="center"/>
              <w:rPr>
                <w:rFonts w:ascii="楷体_GB2312" w:eastAsia="楷体_GB2312"/>
                <w:kern w:val="0"/>
                <w:sz w:val="24"/>
              </w:rPr>
            </w:pPr>
            <w:r>
              <w:rPr>
                <w:rFonts w:hint="eastAsia" w:ascii="楷体_GB2312" w:eastAsia="楷体_GB2312"/>
                <w:kern w:val="0"/>
                <w:sz w:val="24"/>
              </w:rPr>
              <w:t>姓名</w:t>
            </w:r>
          </w:p>
        </w:tc>
        <w:tc>
          <w:tcPr>
            <w:tcW w:w="1998" w:type="dxa"/>
            <w:tcBorders>
              <w:top w:val="single" w:color="000000" w:sz="4" w:space="0"/>
              <w:left w:val="nil"/>
              <w:bottom w:val="single" w:color="000000" w:sz="4" w:space="0"/>
              <w:right w:val="single" w:color="000000" w:sz="4" w:space="0"/>
            </w:tcBorders>
          </w:tcPr>
          <w:p w14:paraId="26B9FF0B">
            <w:pPr>
              <w:spacing w:before="100" w:after="100" w:line="240" w:lineRule="exact"/>
              <w:jc w:val="center"/>
              <w:rPr>
                <w:rFonts w:ascii="楷体_GB2312" w:eastAsia="楷体_GB2312"/>
                <w:kern w:val="0"/>
                <w:sz w:val="24"/>
              </w:rPr>
            </w:pPr>
            <w:r>
              <w:rPr>
                <w:rFonts w:hint="eastAsia" w:ascii="楷体_GB2312" w:eastAsia="楷体_GB2312"/>
                <w:kern w:val="0"/>
                <w:sz w:val="24"/>
              </w:rPr>
              <w:t>单位</w:t>
            </w:r>
          </w:p>
        </w:tc>
        <w:tc>
          <w:tcPr>
            <w:tcW w:w="1918" w:type="dxa"/>
            <w:tcBorders>
              <w:top w:val="single" w:color="000000" w:sz="4" w:space="0"/>
              <w:left w:val="nil"/>
              <w:bottom w:val="single" w:color="000000" w:sz="4" w:space="0"/>
              <w:right w:val="single" w:color="000000" w:sz="4" w:space="0"/>
            </w:tcBorders>
          </w:tcPr>
          <w:p w14:paraId="7B991791">
            <w:pPr>
              <w:spacing w:before="100" w:after="100" w:line="240" w:lineRule="exact"/>
              <w:jc w:val="center"/>
              <w:rPr>
                <w:rFonts w:ascii="楷体_GB2312" w:eastAsia="楷体_GB2312"/>
                <w:kern w:val="0"/>
                <w:sz w:val="24"/>
              </w:rPr>
            </w:pPr>
            <w:r>
              <w:rPr>
                <w:rFonts w:hint="eastAsia" w:ascii="楷体_GB2312" w:eastAsia="楷体_GB2312"/>
                <w:kern w:val="0"/>
                <w:sz w:val="24"/>
              </w:rPr>
              <w:t>职务</w:t>
            </w:r>
          </w:p>
        </w:tc>
        <w:tc>
          <w:tcPr>
            <w:tcW w:w="1253" w:type="dxa"/>
            <w:tcBorders>
              <w:top w:val="single" w:color="000000" w:sz="4" w:space="0"/>
              <w:left w:val="nil"/>
              <w:bottom w:val="single" w:color="000000" w:sz="4" w:space="0"/>
              <w:right w:val="single" w:color="000000" w:sz="4" w:space="0"/>
            </w:tcBorders>
          </w:tcPr>
          <w:p w14:paraId="50CAD778">
            <w:pPr>
              <w:spacing w:before="100" w:after="100" w:line="240" w:lineRule="exact"/>
              <w:jc w:val="center"/>
              <w:rPr>
                <w:rFonts w:ascii="楷体_GB2312" w:eastAsia="楷体_GB2312"/>
                <w:kern w:val="0"/>
                <w:sz w:val="24"/>
              </w:rPr>
            </w:pPr>
            <w:r>
              <w:rPr>
                <w:rFonts w:hint="eastAsia" w:ascii="楷体_GB2312" w:eastAsia="楷体_GB2312"/>
                <w:kern w:val="0"/>
                <w:sz w:val="24"/>
              </w:rPr>
              <w:t>办公电话</w:t>
            </w:r>
          </w:p>
        </w:tc>
        <w:tc>
          <w:tcPr>
            <w:tcW w:w="1899" w:type="dxa"/>
            <w:tcBorders>
              <w:top w:val="single" w:color="000000" w:sz="4" w:space="0"/>
              <w:left w:val="nil"/>
              <w:bottom w:val="single" w:color="000000" w:sz="4" w:space="0"/>
              <w:right w:val="single" w:color="000000" w:sz="4" w:space="0"/>
            </w:tcBorders>
          </w:tcPr>
          <w:p w14:paraId="577CD290">
            <w:pPr>
              <w:spacing w:before="100" w:after="100" w:line="240" w:lineRule="exact"/>
              <w:jc w:val="center"/>
              <w:rPr>
                <w:rFonts w:ascii="楷体_GB2312" w:eastAsia="楷体_GB2312"/>
                <w:kern w:val="0"/>
                <w:sz w:val="24"/>
              </w:rPr>
            </w:pPr>
            <w:r>
              <w:rPr>
                <w:rFonts w:hint="eastAsia" w:ascii="楷体_GB2312" w:eastAsia="楷体_GB2312"/>
                <w:kern w:val="0"/>
                <w:sz w:val="24"/>
              </w:rPr>
              <w:t>移动电话</w:t>
            </w:r>
          </w:p>
        </w:tc>
      </w:tr>
      <w:tr w14:paraId="4FC3ED0B">
        <w:tblPrEx>
          <w:tblCellMar>
            <w:top w:w="0" w:type="dxa"/>
            <w:left w:w="108" w:type="dxa"/>
            <w:bottom w:w="0" w:type="dxa"/>
            <w:right w:w="108" w:type="dxa"/>
          </w:tblCellMar>
        </w:tblPrEx>
        <w:tc>
          <w:tcPr>
            <w:tcW w:w="1243" w:type="dxa"/>
            <w:tcBorders>
              <w:top w:val="single" w:color="000000" w:sz="4" w:space="0"/>
              <w:left w:val="single" w:color="000000" w:sz="4" w:space="0"/>
              <w:bottom w:val="single" w:color="000000" w:sz="4" w:space="0"/>
              <w:right w:val="single" w:color="000000" w:sz="4" w:space="0"/>
            </w:tcBorders>
            <w:vAlign w:val="center"/>
          </w:tcPr>
          <w:p w14:paraId="75C2B131">
            <w:pPr>
              <w:spacing w:before="100" w:after="100" w:line="240" w:lineRule="exact"/>
              <w:jc w:val="center"/>
              <w:rPr>
                <w:rFonts w:ascii="楷体_GB2312" w:eastAsia="楷体_GB2312"/>
                <w:kern w:val="0"/>
                <w:sz w:val="24"/>
              </w:rPr>
            </w:pPr>
            <w:r>
              <w:rPr>
                <w:rFonts w:hint="eastAsia" w:ascii="楷体_GB2312" w:eastAsia="楷体_GB2312"/>
                <w:kern w:val="0"/>
                <w:sz w:val="24"/>
              </w:rPr>
              <w:t>总指挥</w:t>
            </w:r>
          </w:p>
        </w:tc>
        <w:tc>
          <w:tcPr>
            <w:tcW w:w="1089" w:type="dxa"/>
            <w:tcBorders>
              <w:top w:val="single" w:color="000000" w:sz="4" w:space="0"/>
              <w:left w:val="nil"/>
              <w:bottom w:val="single" w:color="000000" w:sz="4" w:space="0"/>
              <w:right w:val="single" w:color="000000" w:sz="4" w:space="0"/>
            </w:tcBorders>
            <w:vAlign w:val="center"/>
          </w:tcPr>
          <w:p w14:paraId="0722C380">
            <w:pPr>
              <w:spacing w:before="100" w:after="100" w:line="240" w:lineRule="exact"/>
              <w:jc w:val="center"/>
              <w:rPr>
                <w:rFonts w:ascii="楷体_GB2312" w:eastAsia="楷体_GB2312"/>
                <w:kern w:val="0"/>
                <w:sz w:val="24"/>
              </w:rPr>
            </w:pPr>
            <w:r>
              <w:rPr>
                <w:rFonts w:hint="eastAsia" w:ascii="楷体_GB2312" w:eastAsia="楷体_GB2312"/>
                <w:kern w:val="0"/>
                <w:sz w:val="24"/>
              </w:rPr>
              <w:t>荆永杰</w:t>
            </w:r>
          </w:p>
        </w:tc>
        <w:tc>
          <w:tcPr>
            <w:tcW w:w="1998" w:type="dxa"/>
            <w:tcBorders>
              <w:top w:val="single" w:color="000000" w:sz="4" w:space="0"/>
              <w:left w:val="nil"/>
              <w:bottom w:val="single" w:color="000000" w:sz="4" w:space="0"/>
              <w:right w:val="single" w:color="000000" w:sz="4" w:space="0"/>
            </w:tcBorders>
            <w:vAlign w:val="center"/>
          </w:tcPr>
          <w:p w14:paraId="4011675D">
            <w:pPr>
              <w:spacing w:before="100" w:after="100" w:line="240" w:lineRule="exact"/>
              <w:jc w:val="center"/>
              <w:rPr>
                <w:rFonts w:ascii="楷体_GB2312" w:eastAsia="楷体_GB2312"/>
                <w:kern w:val="0"/>
                <w:sz w:val="24"/>
              </w:rPr>
            </w:pPr>
            <w:r>
              <w:rPr>
                <w:rFonts w:hint="eastAsia" w:ascii="楷体_GB2312" w:eastAsia="楷体_GB2312"/>
                <w:kern w:val="0"/>
                <w:sz w:val="24"/>
              </w:rPr>
              <w:t>高新区工委管委</w:t>
            </w:r>
          </w:p>
        </w:tc>
        <w:tc>
          <w:tcPr>
            <w:tcW w:w="1918" w:type="dxa"/>
            <w:tcBorders>
              <w:top w:val="single" w:color="000000" w:sz="4" w:space="0"/>
              <w:left w:val="nil"/>
              <w:bottom w:val="single" w:color="000000" w:sz="4" w:space="0"/>
              <w:right w:val="single" w:color="000000" w:sz="4" w:space="0"/>
            </w:tcBorders>
            <w:vAlign w:val="center"/>
          </w:tcPr>
          <w:p w14:paraId="3499AE6B">
            <w:pPr>
              <w:spacing w:before="100" w:after="100" w:line="240" w:lineRule="exact"/>
              <w:jc w:val="center"/>
              <w:rPr>
                <w:rFonts w:ascii="楷体_GB2312" w:eastAsia="楷体_GB2312"/>
                <w:kern w:val="0"/>
                <w:sz w:val="24"/>
              </w:rPr>
            </w:pPr>
            <w:r>
              <w:rPr>
                <w:rFonts w:hint="eastAsia" w:ascii="楷体_GB2312" w:eastAsia="楷体_GB2312"/>
                <w:kern w:val="0"/>
                <w:sz w:val="24"/>
              </w:rPr>
              <w:t>工委委员、管委副主任</w:t>
            </w:r>
          </w:p>
        </w:tc>
        <w:tc>
          <w:tcPr>
            <w:tcW w:w="1253" w:type="dxa"/>
            <w:tcBorders>
              <w:top w:val="single" w:color="000000" w:sz="4" w:space="0"/>
              <w:left w:val="nil"/>
              <w:bottom w:val="single" w:color="000000" w:sz="4" w:space="0"/>
              <w:right w:val="single" w:color="000000" w:sz="4" w:space="0"/>
            </w:tcBorders>
            <w:vAlign w:val="center"/>
          </w:tcPr>
          <w:p w14:paraId="013E6DF1">
            <w:pPr>
              <w:spacing w:before="100" w:after="100" w:line="240" w:lineRule="exact"/>
              <w:jc w:val="center"/>
              <w:rPr>
                <w:rFonts w:ascii="楷体_GB2312" w:eastAsia="楷体_GB2312"/>
                <w:kern w:val="0"/>
                <w:sz w:val="24"/>
              </w:rPr>
            </w:pPr>
          </w:p>
        </w:tc>
        <w:tc>
          <w:tcPr>
            <w:tcW w:w="1899" w:type="dxa"/>
            <w:tcBorders>
              <w:top w:val="single" w:color="000000" w:sz="4" w:space="0"/>
              <w:left w:val="nil"/>
              <w:bottom w:val="single" w:color="000000" w:sz="4" w:space="0"/>
              <w:right w:val="single" w:color="000000" w:sz="4" w:space="0"/>
            </w:tcBorders>
            <w:vAlign w:val="center"/>
          </w:tcPr>
          <w:p w14:paraId="5D9B2E1A">
            <w:pPr>
              <w:spacing w:before="100" w:after="100" w:line="240" w:lineRule="exact"/>
              <w:jc w:val="center"/>
              <w:rPr>
                <w:rFonts w:ascii="楷体_GB2312" w:eastAsia="楷体_GB2312"/>
                <w:kern w:val="0"/>
                <w:sz w:val="24"/>
              </w:rPr>
            </w:pPr>
          </w:p>
        </w:tc>
      </w:tr>
      <w:tr w14:paraId="3A864C3D">
        <w:tblPrEx>
          <w:tblCellMar>
            <w:top w:w="0" w:type="dxa"/>
            <w:left w:w="108" w:type="dxa"/>
            <w:bottom w:w="0" w:type="dxa"/>
            <w:right w:w="108" w:type="dxa"/>
          </w:tblCellMar>
        </w:tblPrEx>
        <w:trPr>
          <w:trHeight w:val="653" w:hRule="atLeast"/>
        </w:trPr>
        <w:tc>
          <w:tcPr>
            <w:tcW w:w="1243" w:type="dxa"/>
            <w:tcBorders>
              <w:top w:val="single" w:color="000000" w:sz="4" w:space="0"/>
              <w:left w:val="single" w:color="000000" w:sz="4" w:space="0"/>
              <w:bottom w:val="single" w:color="000000" w:sz="4" w:space="0"/>
              <w:right w:val="single" w:color="000000" w:sz="4" w:space="0"/>
            </w:tcBorders>
            <w:vAlign w:val="center"/>
          </w:tcPr>
          <w:p w14:paraId="0C486F62">
            <w:pPr>
              <w:spacing w:before="100" w:after="100" w:line="240" w:lineRule="exact"/>
              <w:jc w:val="center"/>
              <w:rPr>
                <w:rFonts w:ascii="仿宋_GB2312" w:eastAsia="仿宋_GB2312"/>
                <w:kern w:val="0"/>
                <w:sz w:val="24"/>
              </w:rPr>
            </w:pPr>
            <w:r>
              <w:rPr>
                <w:rFonts w:hint="eastAsia" w:ascii="仿宋_GB2312"/>
                <w:kern w:val="0"/>
                <w:sz w:val="24"/>
              </w:rPr>
              <w:t>副总指挥</w:t>
            </w:r>
          </w:p>
        </w:tc>
        <w:tc>
          <w:tcPr>
            <w:tcW w:w="1089" w:type="dxa"/>
            <w:tcBorders>
              <w:top w:val="single" w:color="000000" w:sz="4" w:space="0"/>
              <w:left w:val="nil"/>
              <w:bottom w:val="single" w:color="000000" w:sz="4" w:space="0"/>
              <w:right w:val="single" w:color="000000" w:sz="4" w:space="0"/>
            </w:tcBorders>
            <w:vAlign w:val="center"/>
          </w:tcPr>
          <w:p w14:paraId="04BF7ED3">
            <w:pPr>
              <w:spacing w:before="100" w:after="100" w:line="240" w:lineRule="exact"/>
              <w:jc w:val="center"/>
              <w:rPr>
                <w:rFonts w:ascii="仿宋_GB2312" w:hAnsi="仿宋"/>
                <w:kern w:val="0"/>
                <w:sz w:val="24"/>
              </w:rPr>
            </w:pPr>
            <w:r>
              <w:rPr>
                <w:rFonts w:hint="eastAsia" w:ascii="仿宋_GB2312"/>
                <w:kern w:val="0"/>
                <w:sz w:val="24"/>
              </w:rPr>
              <w:t>姜  洋</w:t>
            </w:r>
          </w:p>
        </w:tc>
        <w:tc>
          <w:tcPr>
            <w:tcW w:w="1998" w:type="dxa"/>
            <w:tcBorders>
              <w:top w:val="single" w:color="000000" w:sz="4" w:space="0"/>
              <w:left w:val="nil"/>
              <w:bottom w:val="single" w:color="000000" w:sz="4" w:space="0"/>
              <w:right w:val="single" w:color="000000" w:sz="4" w:space="0"/>
            </w:tcBorders>
            <w:vAlign w:val="center"/>
          </w:tcPr>
          <w:p w14:paraId="4D7DA53E">
            <w:pPr>
              <w:spacing w:before="100" w:after="100" w:line="240" w:lineRule="exact"/>
              <w:jc w:val="center"/>
              <w:rPr>
                <w:rFonts w:ascii="仿宋_GB2312" w:hAnsi="仿宋"/>
                <w:kern w:val="0"/>
                <w:sz w:val="24"/>
              </w:rPr>
            </w:pPr>
            <w:r>
              <w:rPr>
                <w:rFonts w:hint="eastAsia" w:ascii="仿宋_GB2312"/>
                <w:kern w:val="0"/>
                <w:sz w:val="24"/>
              </w:rPr>
              <w:t>经济发展部</w:t>
            </w:r>
          </w:p>
        </w:tc>
        <w:tc>
          <w:tcPr>
            <w:tcW w:w="1918" w:type="dxa"/>
            <w:tcBorders>
              <w:top w:val="single" w:color="000000" w:sz="4" w:space="0"/>
              <w:left w:val="nil"/>
              <w:bottom w:val="single" w:color="000000" w:sz="4" w:space="0"/>
              <w:right w:val="single" w:color="000000" w:sz="4" w:space="0"/>
            </w:tcBorders>
            <w:vAlign w:val="center"/>
          </w:tcPr>
          <w:p w14:paraId="78827482">
            <w:pPr>
              <w:spacing w:before="100" w:after="100" w:line="240" w:lineRule="exact"/>
              <w:jc w:val="center"/>
              <w:rPr>
                <w:rFonts w:ascii="仿宋" w:hAnsi="仿宋"/>
                <w:kern w:val="0"/>
                <w:sz w:val="24"/>
              </w:rPr>
            </w:pPr>
            <w:r>
              <w:rPr>
                <w:rFonts w:hint="eastAsia" w:ascii="仿宋_GB2312"/>
                <w:kern w:val="0"/>
                <w:sz w:val="24"/>
              </w:rPr>
              <w:t>部长</w:t>
            </w:r>
          </w:p>
        </w:tc>
        <w:tc>
          <w:tcPr>
            <w:tcW w:w="1253" w:type="dxa"/>
            <w:tcBorders>
              <w:top w:val="single" w:color="000000" w:sz="4" w:space="0"/>
              <w:left w:val="nil"/>
              <w:bottom w:val="single" w:color="000000" w:sz="4" w:space="0"/>
              <w:right w:val="single" w:color="000000" w:sz="4" w:space="0"/>
            </w:tcBorders>
            <w:vAlign w:val="center"/>
          </w:tcPr>
          <w:p w14:paraId="1B742671">
            <w:pPr>
              <w:spacing w:before="100" w:after="100" w:line="240" w:lineRule="exact"/>
              <w:jc w:val="center"/>
              <w:rPr>
                <w:rFonts w:ascii="仿宋_GB2312" w:hAnsi="仿宋"/>
                <w:kern w:val="0"/>
                <w:sz w:val="24"/>
              </w:rPr>
            </w:pPr>
            <w:r>
              <w:rPr>
                <w:rFonts w:hint="eastAsia" w:ascii="仿宋_GB2312"/>
                <w:kern w:val="0"/>
                <w:sz w:val="24"/>
              </w:rPr>
              <w:t>6922586</w:t>
            </w:r>
          </w:p>
        </w:tc>
        <w:tc>
          <w:tcPr>
            <w:tcW w:w="1899" w:type="dxa"/>
            <w:tcBorders>
              <w:top w:val="single" w:color="000000" w:sz="4" w:space="0"/>
              <w:left w:val="nil"/>
              <w:bottom w:val="single" w:color="000000" w:sz="4" w:space="0"/>
              <w:right w:val="single" w:color="000000" w:sz="4" w:space="0"/>
            </w:tcBorders>
            <w:vAlign w:val="center"/>
          </w:tcPr>
          <w:p w14:paraId="0020DC5F">
            <w:pPr>
              <w:spacing w:before="100" w:after="100" w:line="240" w:lineRule="exact"/>
              <w:jc w:val="center"/>
              <w:rPr>
                <w:rFonts w:ascii="仿宋_GB2312"/>
                <w:kern w:val="0"/>
                <w:sz w:val="24"/>
              </w:rPr>
            </w:pPr>
            <w:r>
              <w:rPr>
                <w:rFonts w:hint="eastAsia" w:ascii="仿宋_GB2312"/>
                <w:kern w:val="0"/>
                <w:sz w:val="24"/>
              </w:rPr>
              <w:t>13953553201</w:t>
            </w:r>
          </w:p>
        </w:tc>
      </w:tr>
      <w:tr w14:paraId="01102F33">
        <w:tblPrEx>
          <w:tblCellMar>
            <w:top w:w="0" w:type="dxa"/>
            <w:left w:w="108" w:type="dxa"/>
            <w:bottom w:w="0" w:type="dxa"/>
            <w:right w:w="108" w:type="dxa"/>
          </w:tblCellMar>
        </w:tblPrEx>
        <w:trPr>
          <w:trHeight w:val="593" w:hRule="atLeast"/>
        </w:trPr>
        <w:tc>
          <w:tcPr>
            <w:tcW w:w="1243" w:type="dxa"/>
            <w:vMerge w:val="restart"/>
            <w:tcBorders>
              <w:top w:val="single" w:color="000000" w:sz="4" w:space="0"/>
              <w:left w:val="single" w:color="000000" w:sz="4" w:space="0"/>
              <w:right w:val="single" w:color="000000" w:sz="4" w:space="0"/>
            </w:tcBorders>
            <w:vAlign w:val="center"/>
          </w:tcPr>
          <w:p w14:paraId="43AD61F3">
            <w:pPr>
              <w:spacing w:before="100" w:after="100" w:line="240" w:lineRule="exact"/>
              <w:jc w:val="center"/>
              <w:rPr>
                <w:rFonts w:ascii="仿宋_GB2312"/>
                <w:kern w:val="0"/>
                <w:sz w:val="24"/>
              </w:rPr>
            </w:pPr>
            <w:r>
              <w:rPr>
                <w:rFonts w:hint="eastAsia" w:ascii="仿宋_GB2312"/>
                <w:kern w:val="0"/>
                <w:sz w:val="24"/>
              </w:rPr>
              <w:t>成员</w:t>
            </w:r>
          </w:p>
        </w:tc>
        <w:tc>
          <w:tcPr>
            <w:tcW w:w="1089" w:type="dxa"/>
            <w:tcBorders>
              <w:top w:val="single" w:color="000000" w:sz="4" w:space="0"/>
              <w:left w:val="nil"/>
              <w:bottom w:val="single" w:color="000000" w:sz="4" w:space="0"/>
              <w:right w:val="single" w:color="000000" w:sz="4" w:space="0"/>
            </w:tcBorders>
            <w:vAlign w:val="center"/>
          </w:tcPr>
          <w:p w14:paraId="00548B19">
            <w:pPr>
              <w:spacing w:line="240" w:lineRule="exact"/>
              <w:jc w:val="center"/>
              <w:rPr>
                <w:rFonts w:ascii="仿宋_GB2312" w:hAnsi="宋体" w:cs="宋体"/>
                <w:sz w:val="24"/>
              </w:rPr>
            </w:pPr>
            <w:r>
              <w:rPr>
                <w:rFonts w:hint="eastAsia" w:ascii="仿宋_GB2312" w:hAnsi="宋体" w:cs="宋体"/>
                <w:sz w:val="24"/>
              </w:rPr>
              <w:t>刘旭升</w:t>
            </w:r>
          </w:p>
        </w:tc>
        <w:tc>
          <w:tcPr>
            <w:tcW w:w="1998" w:type="dxa"/>
            <w:tcBorders>
              <w:top w:val="single" w:color="000000" w:sz="4" w:space="0"/>
              <w:left w:val="nil"/>
              <w:bottom w:val="single" w:color="000000" w:sz="4" w:space="0"/>
              <w:right w:val="single" w:color="000000" w:sz="4" w:space="0"/>
            </w:tcBorders>
            <w:vAlign w:val="center"/>
          </w:tcPr>
          <w:p w14:paraId="0184817A">
            <w:pPr>
              <w:spacing w:before="100" w:after="100" w:line="240" w:lineRule="exact"/>
              <w:jc w:val="center"/>
              <w:rPr>
                <w:rFonts w:ascii="仿宋_GB2312"/>
                <w:sz w:val="24"/>
              </w:rPr>
            </w:pPr>
            <w:r>
              <w:rPr>
                <w:rFonts w:hint="eastAsia" w:ascii="仿宋_GB2312"/>
                <w:kern w:val="0"/>
                <w:sz w:val="24"/>
              </w:rPr>
              <w:t>马山街道办事处</w:t>
            </w:r>
          </w:p>
        </w:tc>
        <w:tc>
          <w:tcPr>
            <w:tcW w:w="1918" w:type="dxa"/>
            <w:tcBorders>
              <w:top w:val="single" w:color="000000" w:sz="4" w:space="0"/>
              <w:left w:val="nil"/>
              <w:bottom w:val="single" w:color="000000" w:sz="4" w:space="0"/>
              <w:right w:val="single" w:color="000000" w:sz="4" w:space="0"/>
            </w:tcBorders>
            <w:vAlign w:val="center"/>
          </w:tcPr>
          <w:p w14:paraId="7CC62248">
            <w:pPr>
              <w:spacing w:before="100" w:after="100" w:line="240" w:lineRule="exact"/>
              <w:jc w:val="center"/>
              <w:rPr>
                <w:rFonts w:ascii="仿宋_GB2312"/>
                <w:sz w:val="24"/>
              </w:rPr>
            </w:pPr>
            <w:r>
              <w:rPr>
                <w:rFonts w:hint="eastAsia" w:ascii="仿宋_GB2312"/>
                <w:kern w:val="0"/>
                <w:sz w:val="24"/>
              </w:rPr>
              <w:t>党委委员、副主任兼任应急管理办公室主任</w:t>
            </w:r>
          </w:p>
        </w:tc>
        <w:tc>
          <w:tcPr>
            <w:tcW w:w="1253" w:type="dxa"/>
            <w:tcBorders>
              <w:top w:val="single" w:color="000000" w:sz="4" w:space="0"/>
              <w:left w:val="nil"/>
              <w:bottom w:val="single" w:color="000000" w:sz="4" w:space="0"/>
              <w:right w:val="single" w:color="000000" w:sz="4" w:space="0"/>
            </w:tcBorders>
            <w:vAlign w:val="center"/>
          </w:tcPr>
          <w:p w14:paraId="0DA13860">
            <w:pPr>
              <w:spacing w:before="100" w:after="100" w:line="240" w:lineRule="exact"/>
              <w:jc w:val="center"/>
              <w:rPr>
                <w:rFonts w:ascii="仿宋_GB2312"/>
                <w:kern w:val="0"/>
                <w:sz w:val="24"/>
              </w:rPr>
            </w:pPr>
            <w:r>
              <w:rPr>
                <w:rFonts w:hint="eastAsia" w:ascii="仿宋_GB2312"/>
                <w:kern w:val="0"/>
                <w:sz w:val="24"/>
              </w:rPr>
              <w:t>6922709</w:t>
            </w:r>
          </w:p>
        </w:tc>
        <w:tc>
          <w:tcPr>
            <w:tcW w:w="1899" w:type="dxa"/>
            <w:tcBorders>
              <w:top w:val="single" w:color="000000" w:sz="4" w:space="0"/>
              <w:left w:val="nil"/>
              <w:bottom w:val="single" w:color="000000" w:sz="4" w:space="0"/>
              <w:right w:val="single" w:color="000000" w:sz="4" w:space="0"/>
            </w:tcBorders>
            <w:vAlign w:val="center"/>
          </w:tcPr>
          <w:p w14:paraId="1E747B7D">
            <w:pPr>
              <w:spacing w:before="100" w:after="100" w:line="240" w:lineRule="exact"/>
              <w:jc w:val="center"/>
              <w:rPr>
                <w:rFonts w:ascii="仿宋_GB2312"/>
                <w:kern w:val="0"/>
                <w:sz w:val="24"/>
              </w:rPr>
            </w:pPr>
            <w:r>
              <w:rPr>
                <w:rFonts w:hint="eastAsia" w:ascii="仿宋_GB2312"/>
                <w:kern w:val="0"/>
                <w:sz w:val="24"/>
              </w:rPr>
              <w:t>13553108760</w:t>
            </w:r>
          </w:p>
        </w:tc>
      </w:tr>
      <w:tr w14:paraId="7DAB6B87">
        <w:tblPrEx>
          <w:tblCellMar>
            <w:top w:w="0" w:type="dxa"/>
            <w:left w:w="108" w:type="dxa"/>
            <w:bottom w:w="0" w:type="dxa"/>
            <w:right w:w="108" w:type="dxa"/>
          </w:tblCellMar>
        </w:tblPrEx>
        <w:trPr>
          <w:trHeight w:val="703" w:hRule="atLeast"/>
        </w:trPr>
        <w:tc>
          <w:tcPr>
            <w:tcW w:w="1243" w:type="dxa"/>
            <w:vMerge w:val="continue"/>
            <w:tcBorders>
              <w:left w:val="single" w:color="000000" w:sz="4" w:space="0"/>
              <w:right w:val="single" w:color="000000" w:sz="4" w:space="0"/>
            </w:tcBorders>
            <w:vAlign w:val="center"/>
          </w:tcPr>
          <w:p w14:paraId="7D5D9D4A">
            <w:pPr>
              <w:spacing w:before="100" w:after="100" w:line="240" w:lineRule="exact"/>
              <w:jc w:val="center"/>
              <w:rPr>
                <w:rFonts w:ascii="仿宋_GB2312"/>
                <w:kern w:val="0"/>
                <w:sz w:val="24"/>
              </w:rPr>
            </w:pPr>
          </w:p>
        </w:tc>
        <w:tc>
          <w:tcPr>
            <w:tcW w:w="1089" w:type="dxa"/>
            <w:tcBorders>
              <w:top w:val="single" w:color="000000" w:sz="4" w:space="0"/>
              <w:left w:val="nil"/>
              <w:bottom w:val="single" w:color="000000" w:sz="4" w:space="0"/>
              <w:right w:val="single" w:color="000000" w:sz="4" w:space="0"/>
            </w:tcBorders>
            <w:vAlign w:val="center"/>
          </w:tcPr>
          <w:p w14:paraId="4B511E27">
            <w:pPr>
              <w:spacing w:before="100" w:after="100" w:line="240" w:lineRule="exact"/>
              <w:jc w:val="center"/>
              <w:rPr>
                <w:rFonts w:ascii="仿宋_GB2312" w:hAnsi="仿宋"/>
                <w:sz w:val="24"/>
              </w:rPr>
            </w:pPr>
            <w:r>
              <w:rPr>
                <w:rFonts w:hint="eastAsia" w:ascii="仿宋_GB2312"/>
                <w:sz w:val="24"/>
              </w:rPr>
              <w:t>于振宇</w:t>
            </w:r>
          </w:p>
        </w:tc>
        <w:tc>
          <w:tcPr>
            <w:tcW w:w="1998" w:type="dxa"/>
            <w:tcBorders>
              <w:top w:val="single" w:color="000000" w:sz="4" w:space="0"/>
              <w:left w:val="nil"/>
              <w:bottom w:val="single" w:color="000000" w:sz="4" w:space="0"/>
              <w:right w:val="single" w:color="000000" w:sz="4" w:space="0"/>
            </w:tcBorders>
            <w:vAlign w:val="center"/>
          </w:tcPr>
          <w:p w14:paraId="00B01F52">
            <w:pPr>
              <w:spacing w:before="100" w:after="100" w:line="240" w:lineRule="exact"/>
              <w:jc w:val="center"/>
              <w:rPr>
                <w:rFonts w:ascii="仿宋_GB2312" w:hAnsi="仿宋"/>
                <w:sz w:val="24"/>
              </w:rPr>
            </w:pPr>
            <w:r>
              <w:rPr>
                <w:rFonts w:hint="eastAsia" w:ascii="仿宋_GB2312"/>
                <w:sz w:val="24"/>
              </w:rPr>
              <w:t>金山湾管理处</w:t>
            </w:r>
          </w:p>
        </w:tc>
        <w:tc>
          <w:tcPr>
            <w:tcW w:w="1918" w:type="dxa"/>
            <w:tcBorders>
              <w:top w:val="single" w:color="000000" w:sz="4" w:space="0"/>
              <w:left w:val="nil"/>
              <w:bottom w:val="single" w:color="000000" w:sz="4" w:space="0"/>
              <w:right w:val="single" w:color="000000" w:sz="4" w:space="0"/>
            </w:tcBorders>
            <w:vAlign w:val="center"/>
          </w:tcPr>
          <w:p w14:paraId="33436DC7">
            <w:pPr>
              <w:spacing w:before="100" w:after="100" w:line="240" w:lineRule="exact"/>
              <w:jc w:val="center"/>
              <w:rPr>
                <w:rFonts w:ascii="仿宋_GB2312" w:hAnsi="仿宋"/>
                <w:sz w:val="24"/>
              </w:rPr>
            </w:pPr>
            <w:r>
              <w:rPr>
                <w:rFonts w:hint="eastAsia" w:ascii="仿宋_GB2312"/>
                <w:sz w:val="24"/>
              </w:rPr>
              <w:t>党委委员、副主任</w:t>
            </w:r>
          </w:p>
        </w:tc>
        <w:tc>
          <w:tcPr>
            <w:tcW w:w="1253" w:type="dxa"/>
            <w:tcBorders>
              <w:top w:val="single" w:color="000000" w:sz="4" w:space="0"/>
              <w:left w:val="nil"/>
              <w:bottom w:val="single" w:color="000000" w:sz="4" w:space="0"/>
              <w:right w:val="single" w:color="000000" w:sz="4" w:space="0"/>
            </w:tcBorders>
            <w:vAlign w:val="center"/>
          </w:tcPr>
          <w:p w14:paraId="6F649199">
            <w:pPr>
              <w:spacing w:before="100" w:after="100" w:line="240" w:lineRule="exact"/>
              <w:jc w:val="center"/>
              <w:rPr>
                <w:rFonts w:ascii="仿宋_GB2312" w:hAnsi="仿宋"/>
                <w:sz w:val="24"/>
              </w:rPr>
            </w:pPr>
            <w:r>
              <w:rPr>
                <w:rFonts w:hint="eastAsia" w:ascii="仿宋_GB2312"/>
                <w:sz w:val="24"/>
              </w:rPr>
              <w:t>8209506</w:t>
            </w:r>
          </w:p>
        </w:tc>
        <w:tc>
          <w:tcPr>
            <w:tcW w:w="1899" w:type="dxa"/>
            <w:tcBorders>
              <w:top w:val="single" w:color="000000" w:sz="4" w:space="0"/>
              <w:left w:val="nil"/>
              <w:bottom w:val="single" w:color="000000" w:sz="4" w:space="0"/>
              <w:right w:val="single" w:color="000000" w:sz="4" w:space="0"/>
            </w:tcBorders>
            <w:vAlign w:val="center"/>
          </w:tcPr>
          <w:p w14:paraId="061D4C2F">
            <w:pPr>
              <w:spacing w:before="100" w:after="100" w:line="240" w:lineRule="exact"/>
              <w:jc w:val="center"/>
              <w:rPr>
                <w:rFonts w:ascii="仿宋_GB2312" w:hAnsi="仿宋"/>
                <w:sz w:val="24"/>
              </w:rPr>
            </w:pPr>
            <w:r>
              <w:rPr>
                <w:rFonts w:hint="eastAsia" w:ascii="仿宋_GB2312"/>
                <w:sz w:val="24"/>
              </w:rPr>
              <w:t>13616455869</w:t>
            </w:r>
          </w:p>
        </w:tc>
      </w:tr>
      <w:tr w14:paraId="41D24489">
        <w:tblPrEx>
          <w:tblCellMar>
            <w:top w:w="0" w:type="dxa"/>
            <w:left w:w="108" w:type="dxa"/>
            <w:bottom w:w="0" w:type="dxa"/>
            <w:right w:w="108" w:type="dxa"/>
          </w:tblCellMar>
        </w:tblPrEx>
        <w:trPr>
          <w:trHeight w:val="640" w:hRule="atLeast"/>
        </w:trPr>
        <w:tc>
          <w:tcPr>
            <w:tcW w:w="1243" w:type="dxa"/>
            <w:vMerge w:val="continue"/>
            <w:tcBorders>
              <w:left w:val="single" w:color="000000" w:sz="4" w:space="0"/>
              <w:right w:val="single" w:color="000000" w:sz="4" w:space="0"/>
            </w:tcBorders>
            <w:vAlign w:val="center"/>
          </w:tcPr>
          <w:p w14:paraId="43C5DC02">
            <w:pPr>
              <w:spacing w:line="240" w:lineRule="exact"/>
              <w:jc w:val="left"/>
              <w:rPr>
                <w:rFonts w:ascii="仿宋_GB2312"/>
                <w:kern w:val="0"/>
                <w:sz w:val="24"/>
              </w:rPr>
            </w:pPr>
          </w:p>
        </w:tc>
        <w:tc>
          <w:tcPr>
            <w:tcW w:w="1089" w:type="dxa"/>
            <w:tcBorders>
              <w:top w:val="single" w:color="000000" w:sz="4" w:space="0"/>
              <w:left w:val="nil"/>
              <w:bottom w:val="single" w:color="000000" w:sz="4" w:space="0"/>
              <w:right w:val="single" w:color="000000" w:sz="4" w:space="0"/>
            </w:tcBorders>
            <w:vAlign w:val="center"/>
          </w:tcPr>
          <w:p w14:paraId="1B6253B5">
            <w:pPr>
              <w:spacing w:before="100" w:after="100" w:line="240" w:lineRule="exact"/>
              <w:jc w:val="center"/>
              <w:rPr>
                <w:rFonts w:ascii="仿宋_GB2312" w:hAnsi="仿宋"/>
                <w:sz w:val="24"/>
              </w:rPr>
            </w:pPr>
            <w:r>
              <w:rPr>
                <w:rFonts w:hint="eastAsia" w:ascii="仿宋_GB2312" w:hAnsi="仿宋"/>
                <w:sz w:val="24"/>
              </w:rPr>
              <w:t>齐照良</w:t>
            </w:r>
          </w:p>
        </w:tc>
        <w:tc>
          <w:tcPr>
            <w:tcW w:w="1998" w:type="dxa"/>
            <w:tcBorders>
              <w:top w:val="single" w:color="000000" w:sz="4" w:space="0"/>
              <w:left w:val="nil"/>
              <w:bottom w:val="single" w:color="000000" w:sz="4" w:space="0"/>
              <w:right w:val="single" w:color="000000" w:sz="4" w:space="0"/>
            </w:tcBorders>
            <w:vAlign w:val="center"/>
          </w:tcPr>
          <w:p w14:paraId="730204D4">
            <w:pPr>
              <w:spacing w:before="100" w:after="100" w:line="240" w:lineRule="exact"/>
              <w:jc w:val="center"/>
              <w:rPr>
                <w:rFonts w:ascii="仿宋_GB2312" w:hAnsi="仿宋"/>
                <w:kern w:val="0"/>
                <w:sz w:val="24"/>
              </w:rPr>
            </w:pPr>
            <w:r>
              <w:rPr>
                <w:rFonts w:hint="eastAsia" w:ascii="仿宋_GB2312"/>
                <w:kern w:val="0"/>
                <w:sz w:val="24"/>
              </w:rPr>
              <w:t>区综合管理部</w:t>
            </w:r>
          </w:p>
        </w:tc>
        <w:tc>
          <w:tcPr>
            <w:tcW w:w="1918" w:type="dxa"/>
            <w:tcBorders>
              <w:top w:val="single" w:color="000000" w:sz="4" w:space="0"/>
              <w:left w:val="nil"/>
              <w:bottom w:val="single" w:color="000000" w:sz="4" w:space="0"/>
              <w:right w:val="single" w:color="000000" w:sz="4" w:space="0"/>
            </w:tcBorders>
            <w:vAlign w:val="center"/>
          </w:tcPr>
          <w:p w14:paraId="71476526">
            <w:pPr>
              <w:spacing w:before="100" w:after="100" w:line="240" w:lineRule="exact"/>
              <w:jc w:val="center"/>
              <w:rPr>
                <w:rFonts w:ascii="仿宋_GB2312" w:hAnsi="仿宋"/>
                <w:kern w:val="0"/>
                <w:sz w:val="24"/>
              </w:rPr>
            </w:pPr>
            <w:r>
              <w:rPr>
                <w:rFonts w:hint="eastAsia" w:ascii="仿宋_GB2312" w:hAnsi="仿宋"/>
                <w:kern w:val="0"/>
                <w:sz w:val="24"/>
              </w:rPr>
              <w:t>副部长、宣传中心主任</w:t>
            </w:r>
          </w:p>
        </w:tc>
        <w:tc>
          <w:tcPr>
            <w:tcW w:w="1253" w:type="dxa"/>
            <w:tcBorders>
              <w:top w:val="single" w:color="000000" w:sz="4" w:space="0"/>
              <w:left w:val="nil"/>
              <w:bottom w:val="single" w:color="000000" w:sz="4" w:space="0"/>
              <w:right w:val="single" w:color="000000" w:sz="4" w:space="0"/>
            </w:tcBorders>
            <w:vAlign w:val="center"/>
          </w:tcPr>
          <w:p w14:paraId="3E529DE9">
            <w:pPr>
              <w:spacing w:before="100" w:after="100" w:line="240" w:lineRule="exact"/>
              <w:jc w:val="center"/>
              <w:rPr>
                <w:rFonts w:ascii="仿宋_GB2312" w:hAnsi="仿宋"/>
                <w:kern w:val="0"/>
                <w:sz w:val="24"/>
              </w:rPr>
            </w:pPr>
            <w:r>
              <w:rPr>
                <w:rFonts w:hint="eastAsia" w:ascii="仿宋_GB2312" w:hAnsi="仿宋"/>
                <w:kern w:val="0"/>
                <w:sz w:val="24"/>
              </w:rPr>
              <w:t>6922340</w:t>
            </w:r>
          </w:p>
        </w:tc>
        <w:tc>
          <w:tcPr>
            <w:tcW w:w="1899" w:type="dxa"/>
            <w:tcBorders>
              <w:top w:val="single" w:color="000000" w:sz="4" w:space="0"/>
              <w:left w:val="nil"/>
              <w:bottom w:val="single" w:color="000000" w:sz="4" w:space="0"/>
              <w:right w:val="single" w:color="000000" w:sz="4" w:space="0"/>
            </w:tcBorders>
            <w:vAlign w:val="center"/>
          </w:tcPr>
          <w:p w14:paraId="1D06C458">
            <w:pPr>
              <w:spacing w:before="100" w:after="100" w:line="240" w:lineRule="exact"/>
              <w:jc w:val="center"/>
              <w:rPr>
                <w:rFonts w:ascii="仿宋_GB2312" w:hAnsi="仿宋"/>
                <w:kern w:val="0"/>
                <w:sz w:val="24"/>
              </w:rPr>
            </w:pPr>
            <w:r>
              <w:rPr>
                <w:rFonts w:hint="eastAsia" w:ascii="仿宋_GB2312" w:hAnsi="仿宋"/>
                <w:kern w:val="0"/>
                <w:sz w:val="24"/>
              </w:rPr>
              <w:t>13723980143</w:t>
            </w:r>
          </w:p>
        </w:tc>
      </w:tr>
      <w:tr w14:paraId="4BA87697">
        <w:tblPrEx>
          <w:tblCellMar>
            <w:top w:w="0" w:type="dxa"/>
            <w:left w:w="108" w:type="dxa"/>
            <w:bottom w:w="0" w:type="dxa"/>
            <w:right w:w="108" w:type="dxa"/>
          </w:tblCellMar>
        </w:tblPrEx>
        <w:trPr>
          <w:trHeight w:val="624" w:hRule="atLeast"/>
        </w:trPr>
        <w:tc>
          <w:tcPr>
            <w:tcW w:w="1243" w:type="dxa"/>
            <w:vMerge w:val="continue"/>
            <w:tcBorders>
              <w:left w:val="single" w:color="000000" w:sz="4" w:space="0"/>
              <w:right w:val="single" w:color="000000" w:sz="4" w:space="0"/>
            </w:tcBorders>
            <w:vAlign w:val="center"/>
          </w:tcPr>
          <w:p w14:paraId="4A0CD7B7">
            <w:pPr>
              <w:spacing w:line="240" w:lineRule="exact"/>
              <w:jc w:val="left"/>
              <w:rPr>
                <w:rFonts w:ascii="仿宋_GB2312"/>
                <w:kern w:val="0"/>
                <w:sz w:val="24"/>
              </w:rPr>
            </w:pPr>
          </w:p>
        </w:tc>
        <w:tc>
          <w:tcPr>
            <w:tcW w:w="1089" w:type="dxa"/>
            <w:tcBorders>
              <w:top w:val="single" w:color="000000" w:sz="4" w:space="0"/>
              <w:left w:val="nil"/>
              <w:bottom w:val="single" w:color="000000" w:sz="4" w:space="0"/>
              <w:right w:val="single" w:color="000000" w:sz="4" w:space="0"/>
            </w:tcBorders>
            <w:vAlign w:val="center"/>
          </w:tcPr>
          <w:p w14:paraId="08E3ED74">
            <w:pPr>
              <w:spacing w:before="100" w:after="100" w:line="240" w:lineRule="exact"/>
              <w:jc w:val="center"/>
              <w:rPr>
                <w:rFonts w:ascii="仿宋_GB2312" w:hAnsi="仿宋"/>
                <w:sz w:val="24"/>
              </w:rPr>
            </w:pPr>
            <w:r>
              <w:rPr>
                <w:rFonts w:hint="eastAsia" w:ascii="仿宋_GB2312" w:hAnsi="仿宋"/>
                <w:sz w:val="24"/>
              </w:rPr>
              <w:t>刘泽华</w:t>
            </w:r>
          </w:p>
        </w:tc>
        <w:tc>
          <w:tcPr>
            <w:tcW w:w="1998" w:type="dxa"/>
            <w:tcBorders>
              <w:top w:val="single" w:color="000000" w:sz="4" w:space="0"/>
              <w:left w:val="nil"/>
              <w:bottom w:val="single" w:color="000000" w:sz="4" w:space="0"/>
              <w:right w:val="single" w:color="000000" w:sz="4" w:space="0"/>
            </w:tcBorders>
            <w:vAlign w:val="center"/>
          </w:tcPr>
          <w:p w14:paraId="3EDEB94F">
            <w:pPr>
              <w:spacing w:before="100" w:after="100" w:line="240" w:lineRule="exact"/>
              <w:jc w:val="center"/>
              <w:rPr>
                <w:rFonts w:ascii="仿宋_GB2312" w:hAnsi="仿宋"/>
                <w:kern w:val="0"/>
                <w:sz w:val="24"/>
              </w:rPr>
            </w:pPr>
            <w:r>
              <w:rPr>
                <w:rFonts w:hint="eastAsia" w:ascii="仿宋_GB2312"/>
                <w:kern w:val="0"/>
                <w:sz w:val="24"/>
              </w:rPr>
              <w:t>区财政金融部</w:t>
            </w:r>
          </w:p>
        </w:tc>
        <w:tc>
          <w:tcPr>
            <w:tcW w:w="1918" w:type="dxa"/>
            <w:tcBorders>
              <w:top w:val="single" w:color="000000" w:sz="4" w:space="0"/>
              <w:left w:val="nil"/>
              <w:bottom w:val="single" w:color="000000" w:sz="4" w:space="0"/>
              <w:right w:val="single" w:color="000000" w:sz="4" w:space="0"/>
            </w:tcBorders>
            <w:vAlign w:val="center"/>
          </w:tcPr>
          <w:p w14:paraId="638D5240">
            <w:pPr>
              <w:spacing w:before="100" w:after="100" w:line="240" w:lineRule="exact"/>
              <w:jc w:val="center"/>
              <w:rPr>
                <w:rFonts w:ascii="仿宋_GB2312" w:hAnsi="仿宋"/>
                <w:kern w:val="0"/>
                <w:sz w:val="24"/>
              </w:rPr>
            </w:pPr>
            <w:r>
              <w:rPr>
                <w:rFonts w:hint="eastAsia" w:ascii="仿宋_GB2312" w:hAnsi="仿宋"/>
                <w:kern w:val="0"/>
                <w:sz w:val="24"/>
              </w:rPr>
              <w:t>副部长</w:t>
            </w:r>
          </w:p>
        </w:tc>
        <w:tc>
          <w:tcPr>
            <w:tcW w:w="1253" w:type="dxa"/>
            <w:tcBorders>
              <w:top w:val="single" w:color="000000" w:sz="4" w:space="0"/>
              <w:left w:val="nil"/>
              <w:bottom w:val="single" w:color="000000" w:sz="4" w:space="0"/>
              <w:right w:val="single" w:color="000000" w:sz="4" w:space="0"/>
            </w:tcBorders>
            <w:vAlign w:val="center"/>
          </w:tcPr>
          <w:p w14:paraId="4ABE7F87">
            <w:pPr>
              <w:spacing w:before="100" w:after="100" w:line="240" w:lineRule="exact"/>
              <w:jc w:val="center"/>
              <w:rPr>
                <w:rFonts w:ascii="仿宋_GB2312" w:hAnsi="仿宋"/>
                <w:kern w:val="0"/>
                <w:sz w:val="24"/>
              </w:rPr>
            </w:pPr>
            <w:r>
              <w:rPr>
                <w:rFonts w:hint="eastAsia" w:ascii="仿宋_GB2312" w:hAnsi="仿宋"/>
                <w:kern w:val="0"/>
                <w:sz w:val="24"/>
              </w:rPr>
              <w:t>6922063</w:t>
            </w:r>
          </w:p>
        </w:tc>
        <w:tc>
          <w:tcPr>
            <w:tcW w:w="1899" w:type="dxa"/>
            <w:tcBorders>
              <w:top w:val="single" w:color="000000" w:sz="4" w:space="0"/>
              <w:left w:val="nil"/>
              <w:bottom w:val="single" w:color="000000" w:sz="4" w:space="0"/>
              <w:right w:val="single" w:color="000000" w:sz="4" w:space="0"/>
            </w:tcBorders>
            <w:vAlign w:val="center"/>
          </w:tcPr>
          <w:p w14:paraId="4663331C">
            <w:pPr>
              <w:spacing w:before="100" w:after="100" w:line="240" w:lineRule="exact"/>
              <w:jc w:val="center"/>
              <w:rPr>
                <w:rFonts w:ascii="仿宋_GB2312" w:hAnsi="仿宋"/>
                <w:kern w:val="0"/>
                <w:sz w:val="24"/>
              </w:rPr>
            </w:pPr>
            <w:r>
              <w:rPr>
                <w:rFonts w:hint="eastAsia" w:ascii="仿宋_GB2312" w:hAnsi="仿宋"/>
                <w:kern w:val="0"/>
                <w:sz w:val="24"/>
              </w:rPr>
              <w:t>15666586868</w:t>
            </w:r>
          </w:p>
        </w:tc>
      </w:tr>
      <w:tr w14:paraId="3962E00E">
        <w:tblPrEx>
          <w:tblCellMar>
            <w:top w:w="0" w:type="dxa"/>
            <w:left w:w="108" w:type="dxa"/>
            <w:bottom w:w="0" w:type="dxa"/>
            <w:right w:w="108" w:type="dxa"/>
          </w:tblCellMar>
        </w:tblPrEx>
        <w:trPr>
          <w:trHeight w:val="624" w:hRule="atLeast"/>
        </w:trPr>
        <w:tc>
          <w:tcPr>
            <w:tcW w:w="1243" w:type="dxa"/>
            <w:vMerge w:val="continue"/>
            <w:tcBorders>
              <w:left w:val="single" w:color="000000" w:sz="4" w:space="0"/>
              <w:right w:val="single" w:color="000000" w:sz="4" w:space="0"/>
            </w:tcBorders>
            <w:vAlign w:val="center"/>
          </w:tcPr>
          <w:p w14:paraId="27872CEB">
            <w:pPr>
              <w:spacing w:line="240" w:lineRule="exact"/>
              <w:jc w:val="left"/>
              <w:rPr>
                <w:rFonts w:ascii="仿宋_GB2312"/>
                <w:kern w:val="0"/>
                <w:sz w:val="24"/>
              </w:rPr>
            </w:pPr>
          </w:p>
        </w:tc>
        <w:tc>
          <w:tcPr>
            <w:tcW w:w="1089" w:type="dxa"/>
            <w:tcBorders>
              <w:top w:val="single" w:color="000000" w:sz="4" w:space="0"/>
              <w:left w:val="nil"/>
              <w:bottom w:val="single" w:color="000000" w:sz="4" w:space="0"/>
              <w:right w:val="single" w:color="000000" w:sz="4" w:space="0"/>
            </w:tcBorders>
            <w:vAlign w:val="center"/>
          </w:tcPr>
          <w:p w14:paraId="041F81A1">
            <w:pPr>
              <w:spacing w:before="100" w:after="100" w:line="240" w:lineRule="exact"/>
              <w:jc w:val="center"/>
              <w:rPr>
                <w:rFonts w:ascii="仿宋_GB2312"/>
                <w:kern w:val="0"/>
                <w:sz w:val="24"/>
              </w:rPr>
            </w:pPr>
            <w:r>
              <w:rPr>
                <w:rFonts w:hint="eastAsia" w:ascii="仿宋_GB2312"/>
                <w:kern w:val="0"/>
                <w:sz w:val="24"/>
              </w:rPr>
              <w:t>刘  聪</w:t>
            </w:r>
          </w:p>
        </w:tc>
        <w:tc>
          <w:tcPr>
            <w:tcW w:w="1998" w:type="dxa"/>
            <w:tcBorders>
              <w:top w:val="single" w:color="000000" w:sz="4" w:space="0"/>
              <w:left w:val="nil"/>
              <w:bottom w:val="single" w:color="000000" w:sz="4" w:space="0"/>
              <w:right w:val="single" w:color="000000" w:sz="4" w:space="0"/>
            </w:tcBorders>
            <w:vAlign w:val="center"/>
          </w:tcPr>
          <w:p w14:paraId="41F5256A">
            <w:pPr>
              <w:spacing w:before="100" w:after="100" w:line="240" w:lineRule="exact"/>
              <w:jc w:val="center"/>
              <w:rPr>
                <w:rFonts w:ascii="仿宋_GB2312"/>
                <w:kern w:val="0"/>
                <w:sz w:val="24"/>
              </w:rPr>
            </w:pPr>
            <w:r>
              <w:rPr>
                <w:rFonts w:hint="eastAsia" w:ascii="仿宋_GB2312"/>
                <w:kern w:val="0"/>
                <w:sz w:val="24"/>
              </w:rPr>
              <w:t>区规划国土建设部</w:t>
            </w:r>
          </w:p>
        </w:tc>
        <w:tc>
          <w:tcPr>
            <w:tcW w:w="1918" w:type="dxa"/>
            <w:tcBorders>
              <w:top w:val="single" w:color="000000" w:sz="4" w:space="0"/>
              <w:left w:val="nil"/>
              <w:bottom w:val="single" w:color="000000" w:sz="4" w:space="0"/>
              <w:right w:val="single" w:color="000000" w:sz="4" w:space="0"/>
            </w:tcBorders>
            <w:vAlign w:val="center"/>
          </w:tcPr>
          <w:p w14:paraId="7BBDFF22">
            <w:pPr>
              <w:spacing w:before="100" w:after="100" w:line="240" w:lineRule="exact"/>
              <w:jc w:val="center"/>
              <w:rPr>
                <w:rFonts w:ascii="仿宋_GB2312"/>
                <w:kern w:val="0"/>
                <w:sz w:val="24"/>
              </w:rPr>
            </w:pPr>
            <w:r>
              <w:rPr>
                <w:rFonts w:hint="eastAsia" w:ascii="仿宋_GB2312"/>
                <w:kern w:val="0"/>
                <w:sz w:val="24"/>
              </w:rPr>
              <w:t>高级主办</w:t>
            </w:r>
          </w:p>
        </w:tc>
        <w:tc>
          <w:tcPr>
            <w:tcW w:w="1253" w:type="dxa"/>
            <w:tcBorders>
              <w:top w:val="single" w:color="000000" w:sz="4" w:space="0"/>
              <w:left w:val="nil"/>
              <w:bottom w:val="single" w:color="000000" w:sz="4" w:space="0"/>
              <w:right w:val="single" w:color="000000" w:sz="4" w:space="0"/>
            </w:tcBorders>
            <w:vAlign w:val="center"/>
          </w:tcPr>
          <w:p w14:paraId="5C14C60B">
            <w:pPr>
              <w:spacing w:before="100" w:after="100" w:line="240" w:lineRule="exact"/>
              <w:jc w:val="center"/>
              <w:rPr>
                <w:rFonts w:ascii="仿宋_GB2312"/>
                <w:kern w:val="0"/>
                <w:sz w:val="24"/>
              </w:rPr>
            </w:pPr>
            <w:r>
              <w:rPr>
                <w:rFonts w:hint="eastAsia" w:ascii="仿宋_GB2312"/>
                <w:kern w:val="0"/>
                <w:sz w:val="24"/>
              </w:rPr>
              <w:t>6922488</w:t>
            </w:r>
          </w:p>
        </w:tc>
        <w:tc>
          <w:tcPr>
            <w:tcW w:w="1899" w:type="dxa"/>
            <w:tcBorders>
              <w:top w:val="single" w:color="000000" w:sz="4" w:space="0"/>
              <w:left w:val="nil"/>
              <w:bottom w:val="single" w:color="000000" w:sz="4" w:space="0"/>
              <w:right w:val="single" w:color="000000" w:sz="4" w:space="0"/>
            </w:tcBorders>
            <w:vAlign w:val="center"/>
          </w:tcPr>
          <w:p w14:paraId="180FF896">
            <w:pPr>
              <w:spacing w:before="100" w:after="100" w:line="240" w:lineRule="exact"/>
              <w:jc w:val="center"/>
              <w:rPr>
                <w:rFonts w:ascii="仿宋_GB2312"/>
                <w:kern w:val="0"/>
                <w:sz w:val="24"/>
              </w:rPr>
            </w:pPr>
            <w:r>
              <w:rPr>
                <w:rFonts w:hint="eastAsia" w:ascii="仿宋_GB2312"/>
                <w:kern w:val="0"/>
                <w:sz w:val="24"/>
              </w:rPr>
              <w:t>13697898173</w:t>
            </w:r>
          </w:p>
        </w:tc>
      </w:tr>
      <w:tr w14:paraId="0121E239">
        <w:tblPrEx>
          <w:tblCellMar>
            <w:top w:w="0" w:type="dxa"/>
            <w:left w:w="108" w:type="dxa"/>
            <w:bottom w:w="0" w:type="dxa"/>
            <w:right w:w="108" w:type="dxa"/>
          </w:tblCellMar>
        </w:tblPrEx>
        <w:trPr>
          <w:trHeight w:val="624" w:hRule="atLeast"/>
        </w:trPr>
        <w:tc>
          <w:tcPr>
            <w:tcW w:w="1243" w:type="dxa"/>
            <w:vMerge w:val="continue"/>
            <w:tcBorders>
              <w:left w:val="single" w:color="000000" w:sz="4" w:space="0"/>
              <w:right w:val="single" w:color="000000" w:sz="4" w:space="0"/>
            </w:tcBorders>
            <w:vAlign w:val="center"/>
          </w:tcPr>
          <w:p w14:paraId="314EA20B">
            <w:pPr>
              <w:spacing w:line="240" w:lineRule="exact"/>
              <w:jc w:val="left"/>
              <w:rPr>
                <w:rFonts w:ascii="仿宋_GB2312"/>
                <w:kern w:val="0"/>
                <w:sz w:val="24"/>
              </w:rPr>
            </w:pPr>
          </w:p>
        </w:tc>
        <w:tc>
          <w:tcPr>
            <w:tcW w:w="1089" w:type="dxa"/>
            <w:tcBorders>
              <w:top w:val="single" w:color="000000" w:sz="4" w:space="0"/>
              <w:left w:val="nil"/>
              <w:bottom w:val="single" w:color="000000" w:sz="4" w:space="0"/>
              <w:right w:val="single" w:color="000000" w:sz="4" w:space="0"/>
            </w:tcBorders>
            <w:vAlign w:val="center"/>
          </w:tcPr>
          <w:p w14:paraId="3B310F09">
            <w:pPr>
              <w:spacing w:line="240" w:lineRule="exact"/>
              <w:jc w:val="center"/>
              <w:rPr>
                <w:rFonts w:ascii="仿宋_GB2312"/>
                <w:kern w:val="0"/>
                <w:sz w:val="24"/>
              </w:rPr>
            </w:pPr>
            <w:r>
              <w:rPr>
                <w:rFonts w:hint="eastAsia" w:ascii="仿宋_GB2312" w:hAnsi="仿宋"/>
                <w:sz w:val="24"/>
              </w:rPr>
              <w:t>张  伟</w:t>
            </w:r>
          </w:p>
        </w:tc>
        <w:tc>
          <w:tcPr>
            <w:tcW w:w="1998" w:type="dxa"/>
            <w:tcBorders>
              <w:top w:val="single" w:color="000000" w:sz="4" w:space="0"/>
              <w:left w:val="nil"/>
              <w:bottom w:val="single" w:color="000000" w:sz="4" w:space="0"/>
              <w:right w:val="single" w:color="000000" w:sz="4" w:space="0"/>
            </w:tcBorders>
            <w:vAlign w:val="center"/>
          </w:tcPr>
          <w:p w14:paraId="4A7C7770">
            <w:pPr>
              <w:spacing w:before="100" w:after="100" w:line="240" w:lineRule="exact"/>
              <w:jc w:val="center"/>
              <w:rPr>
                <w:rFonts w:ascii="仿宋_GB2312"/>
                <w:kern w:val="0"/>
                <w:sz w:val="24"/>
              </w:rPr>
            </w:pPr>
            <w:r>
              <w:rPr>
                <w:rFonts w:hint="eastAsia" w:ascii="仿宋_GB2312"/>
                <w:kern w:val="0"/>
                <w:sz w:val="24"/>
              </w:rPr>
              <w:t>综合行政执法局</w:t>
            </w:r>
          </w:p>
        </w:tc>
        <w:tc>
          <w:tcPr>
            <w:tcW w:w="1918" w:type="dxa"/>
            <w:tcBorders>
              <w:top w:val="single" w:color="000000" w:sz="4" w:space="0"/>
              <w:left w:val="nil"/>
              <w:bottom w:val="single" w:color="000000" w:sz="4" w:space="0"/>
              <w:right w:val="single" w:color="000000" w:sz="4" w:space="0"/>
            </w:tcBorders>
            <w:vAlign w:val="center"/>
          </w:tcPr>
          <w:p w14:paraId="3D8167A4">
            <w:pPr>
              <w:spacing w:before="100" w:after="100" w:line="240" w:lineRule="exact"/>
              <w:jc w:val="center"/>
              <w:rPr>
                <w:rFonts w:ascii="仿宋_GB2312" w:hAnsi="仿宋"/>
                <w:kern w:val="0"/>
                <w:sz w:val="24"/>
              </w:rPr>
            </w:pPr>
            <w:r>
              <w:rPr>
                <w:rFonts w:hint="eastAsia" w:ascii="仿宋_GB2312" w:hAnsi="仿宋"/>
                <w:kern w:val="0"/>
                <w:sz w:val="24"/>
              </w:rPr>
              <w:t>副局长</w:t>
            </w:r>
          </w:p>
        </w:tc>
        <w:tc>
          <w:tcPr>
            <w:tcW w:w="1253" w:type="dxa"/>
            <w:tcBorders>
              <w:top w:val="single" w:color="000000" w:sz="4" w:space="0"/>
              <w:left w:val="nil"/>
              <w:bottom w:val="single" w:color="000000" w:sz="4" w:space="0"/>
              <w:right w:val="single" w:color="000000" w:sz="4" w:space="0"/>
            </w:tcBorders>
            <w:vAlign w:val="center"/>
          </w:tcPr>
          <w:p w14:paraId="49B2CC4E">
            <w:pPr>
              <w:spacing w:before="100" w:after="100" w:line="240" w:lineRule="exact"/>
              <w:jc w:val="center"/>
              <w:rPr>
                <w:rFonts w:ascii="仿宋_GB2312" w:hAnsi="仿宋"/>
                <w:kern w:val="0"/>
                <w:sz w:val="24"/>
              </w:rPr>
            </w:pPr>
            <w:r>
              <w:rPr>
                <w:rFonts w:hint="eastAsia" w:ascii="仿宋_GB2312" w:hAnsi="仿宋"/>
                <w:kern w:val="0"/>
                <w:sz w:val="24"/>
              </w:rPr>
              <w:t>6922767</w:t>
            </w:r>
          </w:p>
        </w:tc>
        <w:tc>
          <w:tcPr>
            <w:tcW w:w="1899" w:type="dxa"/>
            <w:tcBorders>
              <w:top w:val="single" w:color="000000" w:sz="4" w:space="0"/>
              <w:left w:val="nil"/>
              <w:bottom w:val="single" w:color="000000" w:sz="4" w:space="0"/>
              <w:right w:val="single" w:color="000000" w:sz="4" w:space="0"/>
            </w:tcBorders>
            <w:vAlign w:val="center"/>
          </w:tcPr>
          <w:p w14:paraId="2081298D">
            <w:pPr>
              <w:spacing w:before="100" w:after="100" w:line="240" w:lineRule="exact"/>
              <w:jc w:val="center"/>
              <w:rPr>
                <w:rFonts w:ascii="仿宋_GB2312" w:hAnsi="仿宋"/>
                <w:kern w:val="0"/>
                <w:sz w:val="24"/>
              </w:rPr>
            </w:pPr>
            <w:r>
              <w:rPr>
                <w:rFonts w:hint="eastAsia" w:ascii="仿宋_GB2312" w:hAnsi="仿宋"/>
                <w:kern w:val="0"/>
                <w:sz w:val="24"/>
              </w:rPr>
              <w:t>15005353181</w:t>
            </w:r>
          </w:p>
        </w:tc>
      </w:tr>
      <w:tr w14:paraId="281E4AF6">
        <w:tblPrEx>
          <w:tblCellMar>
            <w:top w:w="0" w:type="dxa"/>
            <w:left w:w="108" w:type="dxa"/>
            <w:bottom w:w="0" w:type="dxa"/>
            <w:right w:w="108" w:type="dxa"/>
          </w:tblCellMar>
        </w:tblPrEx>
        <w:trPr>
          <w:trHeight w:val="624" w:hRule="atLeast"/>
        </w:trPr>
        <w:tc>
          <w:tcPr>
            <w:tcW w:w="1243" w:type="dxa"/>
            <w:vMerge w:val="continue"/>
            <w:tcBorders>
              <w:left w:val="single" w:color="000000" w:sz="4" w:space="0"/>
              <w:right w:val="single" w:color="000000" w:sz="4" w:space="0"/>
            </w:tcBorders>
            <w:vAlign w:val="center"/>
          </w:tcPr>
          <w:p w14:paraId="1C152FBE">
            <w:pPr>
              <w:spacing w:line="240" w:lineRule="exact"/>
              <w:jc w:val="left"/>
              <w:rPr>
                <w:rFonts w:ascii="仿宋_GB2312"/>
                <w:kern w:val="0"/>
                <w:sz w:val="24"/>
              </w:rPr>
            </w:pPr>
          </w:p>
        </w:tc>
        <w:tc>
          <w:tcPr>
            <w:tcW w:w="1089" w:type="dxa"/>
            <w:tcBorders>
              <w:top w:val="single" w:color="000000" w:sz="4" w:space="0"/>
              <w:left w:val="nil"/>
              <w:bottom w:val="single" w:color="000000" w:sz="4" w:space="0"/>
              <w:right w:val="single" w:color="000000" w:sz="4" w:space="0"/>
            </w:tcBorders>
            <w:vAlign w:val="center"/>
          </w:tcPr>
          <w:p w14:paraId="573D6379">
            <w:pPr>
              <w:spacing w:before="100" w:after="100" w:line="240" w:lineRule="exact"/>
              <w:jc w:val="center"/>
              <w:rPr>
                <w:rFonts w:ascii="仿宋_GB2312"/>
                <w:kern w:val="0"/>
                <w:sz w:val="24"/>
              </w:rPr>
            </w:pPr>
            <w:r>
              <w:rPr>
                <w:rFonts w:hint="eastAsia" w:ascii="仿宋_GB2312" w:hAnsi="仿宋"/>
                <w:kern w:val="0"/>
                <w:sz w:val="24"/>
              </w:rPr>
              <w:t>刘奎玉</w:t>
            </w:r>
          </w:p>
        </w:tc>
        <w:tc>
          <w:tcPr>
            <w:tcW w:w="1998" w:type="dxa"/>
            <w:tcBorders>
              <w:top w:val="single" w:color="000000" w:sz="4" w:space="0"/>
              <w:left w:val="nil"/>
              <w:bottom w:val="single" w:color="000000" w:sz="4" w:space="0"/>
              <w:right w:val="single" w:color="000000" w:sz="4" w:space="0"/>
            </w:tcBorders>
            <w:vAlign w:val="center"/>
          </w:tcPr>
          <w:p w14:paraId="11FDA295">
            <w:pPr>
              <w:spacing w:before="100" w:after="100" w:line="240" w:lineRule="exact"/>
              <w:jc w:val="center"/>
              <w:rPr>
                <w:rFonts w:ascii="仿宋_GB2312"/>
                <w:kern w:val="0"/>
                <w:sz w:val="24"/>
              </w:rPr>
            </w:pPr>
            <w:r>
              <w:rPr>
                <w:rFonts w:hint="eastAsia" w:ascii="仿宋_GB2312"/>
                <w:kern w:val="0"/>
                <w:sz w:val="24"/>
              </w:rPr>
              <w:t>区公安分局</w:t>
            </w:r>
          </w:p>
        </w:tc>
        <w:tc>
          <w:tcPr>
            <w:tcW w:w="1918" w:type="dxa"/>
            <w:tcBorders>
              <w:top w:val="single" w:color="000000" w:sz="4" w:space="0"/>
              <w:left w:val="nil"/>
              <w:bottom w:val="single" w:color="000000" w:sz="4" w:space="0"/>
              <w:right w:val="single" w:color="000000" w:sz="4" w:space="0"/>
            </w:tcBorders>
            <w:vAlign w:val="center"/>
          </w:tcPr>
          <w:p w14:paraId="46155A4B">
            <w:pPr>
              <w:spacing w:before="100" w:after="100" w:line="240" w:lineRule="exact"/>
              <w:jc w:val="center"/>
              <w:rPr>
                <w:rFonts w:ascii="仿宋_GB2312" w:hAnsi="仿宋"/>
                <w:kern w:val="0"/>
                <w:sz w:val="24"/>
              </w:rPr>
            </w:pPr>
            <w:r>
              <w:rPr>
                <w:rFonts w:hint="eastAsia" w:ascii="仿宋_GB2312" w:hAnsi="仿宋"/>
                <w:kern w:val="0"/>
                <w:sz w:val="24"/>
              </w:rPr>
              <w:t>副局长</w:t>
            </w:r>
          </w:p>
        </w:tc>
        <w:tc>
          <w:tcPr>
            <w:tcW w:w="1253" w:type="dxa"/>
            <w:tcBorders>
              <w:top w:val="single" w:color="000000" w:sz="4" w:space="0"/>
              <w:left w:val="nil"/>
              <w:bottom w:val="single" w:color="000000" w:sz="4" w:space="0"/>
              <w:right w:val="single" w:color="000000" w:sz="4" w:space="0"/>
            </w:tcBorders>
            <w:vAlign w:val="center"/>
          </w:tcPr>
          <w:p w14:paraId="58279A9F">
            <w:pPr>
              <w:spacing w:before="100" w:after="100" w:line="240" w:lineRule="exact"/>
              <w:jc w:val="center"/>
              <w:rPr>
                <w:rFonts w:ascii="仿宋_GB2312" w:hAnsi="仿宋"/>
                <w:kern w:val="0"/>
                <w:sz w:val="24"/>
              </w:rPr>
            </w:pPr>
            <w:r>
              <w:rPr>
                <w:rFonts w:hint="eastAsia" w:ascii="仿宋_GB2312" w:hAnsi="仿宋"/>
                <w:kern w:val="0"/>
                <w:sz w:val="24"/>
              </w:rPr>
              <w:t>6922715</w:t>
            </w:r>
          </w:p>
        </w:tc>
        <w:tc>
          <w:tcPr>
            <w:tcW w:w="1899" w:type="dxa"/>
            <w:tcBorders>
              <w:top w:val="single" w:color="000000" w:sz="4" w:space="0"/>
              <w:left w:val="nil"/>
              <w:bottom w:val="single" w:color="000000" w:sz="4" w:space="0"/>
              <w:right w:val="single" w:color="000000" w:sz="4" w:space="0"/>
            </w:tcBorders>
            <w:vAlign w:val="center"/>
          </w:tcPr>
          <w:p w14:paraId="4AAC2DA0">
            <w:pPr>
              <w:spacing w:before="100" w:after="100" w:line="240" w:lineRule="exact"/>
              <w:jc w:val="center"/>
              <w:rPr>
                <w:rFonts w:ascii="仿宋_GB2312" w:hAnsi="仿宋"/>
                <w:kern w:val="0"/>
                <w:sz w:val="24"/>
              </w:rPr>
            </w:pPr>
            <w:r>
              <w:rPr>
                <w:rFonts w:hint="eastAsia" w:ascii="仿宋_GB2312" w:hAnsi="仿宋"/>
                <w:kern w:val="0"/>
                <w:sz w:val="24"/>
              </w:rPr>
              <w:t>18815351007</w:t>
            </w:r>
          </w:p>
        </w:tc>
      </w:tr>
      <w:tr w14:paraId="0F605A1F">
        <w:tblPrEx>
          <w:tblCellMar>
            <w:top w:w="0" w:type="dxa"/>
            <w:left w:w="108" w:type="dxa"/>
            <w:bottom w:w="0" w:type="dxa"/>
            <w:right w:w="108" w:type="dxa"/>
          </w:tblCellMar>
        </w:tblPrEx>
        <w:trPr>
          <w:trHeight w:val="624" w:hRule="atLeast"/>
        </w:trPr>
        <w:tc>
          <w:tcPr>
            <w:tcW w:w="1243" w:type="dxa"/>
            <w:vMerge w:val="continue"/>
            <w:tcBorders>
              <w:left w:val="single" w:color="000000" w:sz="4" w:space="0"/>
              <w:right w:val="single" w:color="000000" w:sz="4" w:space="0"/>
            </w:tcBorders>
            <w:vAlign w:val="center"/>
          </w:tcPr>
          <w:p w14:paraId="01A6AD5D">
            <w:pPr>
              <w:spacing w:line="240" w:lineRule="exact"/>
              <w:jc w:val="left"/>
              <w:rPr>
                <w:rFonts w:ascii="仿宋_GB2312"/>
                <w:kern w:val="0"/>
                <w:sz w:val="24"/>
              </w:rPr>
            </w:pPr>
          </w:p>
        </w:tc>
        <w:tc>
          <w:tcPr>
            <w:tcW w:w="1089" w:type="dxa"/>
            <w:tcBorders>
              <w:top w:val="single" w:color="000000" w:sz="4" w:space="0"/>
              <w:left w:val="nil"/>
              <w:bottom w:val="single" w:color="000000" w:sz="4" w:space="0"/>
              <w:right w:val="single" w:color="000000" w:sz="4" w:space="0"/>
            </w:tcBorders>
            <w:vAlign w:val="center"/>
          </w:tcPr>
          <w:p w14:paraId="57503D07">
            <w:pPr>
              <w:spacing w:before="100" w:after="100" w:line="240" w:lineRule="exact"/>
              <w:jc w:val="center"/>
              <w:rPr>
                <w:rFonts w:ascii="仿宋_GB2312"/>
                <w:kern w:val="0"/>
                <w:sz w:val="24"/>
              </w:rPr>
            </w:pPr>
            <w:r>
              <w:rPr>
                <w:rFonts w:hint="eastAsia" w:ascii="仿宋_GB2312"/>
                <w:kern w:val="0"/>
                <w:sz w:val="24"/>
              </w:rPr>
              <w:t>陈彦文</w:t>
            </w:r>
          </w:p>
        </w:tc>
        <w:tc>
          <w:tcPr>
            <w:tcW w:w="1998" w:type="dxa"/>
            <w:tcBorders>
              <w:top w:val="single" w:color="000000" w:sz="4" w:space="0"/>
              <w:left w:val="nil"/>
              <w:bottom w:val="single" w:color="000000" w:sz="4" w:space="0"/>
              <w:right w:val="single" w:color="000000" w:sz="4" w:space="0"/>
            </w:tcBorders>
            <w:vAlign w:val="center"/>
          </w:tcPr>
          <w:p w14:paraId="787C3921">
            <w:pPr>
              <w:spacing w:before="100" w:after="100" w:line="240" w:lineRule="exact"/>
              <w:jc w:val="center"/>
              <w:rPr>
                <w:rFonts w:ascii="仿宋_GB2312"/>
                <w:kern w:val="0"/>
                <w:sz w:val="24"/>
              </w:rPr>
            </w:pPr>
            <w:r>
              <w:rPr>
                <w:rFonts w:hint="eastAsia" w:ascii="仿宋_GB2312"/>
                <w:kern w:val="0"/>
                <w:sz w:val="24"/>
              </w:rPr>
              <w:t>生态环境分局</w:t>
            </w:r>
          </w:p>
        </w:tc>
        <w:tc>
          <w:tcPr>
            <w:tcW w:w="1918" w:type="dxa"/>
            <w:tcBorders>
              <w:top w:val="single" w:color="000000" w:sz="4" w:space="0"/>
              <w:left w:val="nil"/>
              <w:bottom w:val="single" w:color="000000" w:sz="4" w:space="0"/>
              <w:right w:val="single" w:color="000000" w:sz="4" w:space="0"/>
            </w:tcBorders>
            <w:vAlign w:val="center"/>
          </w:tcPr>
          <w:p w14:paraId="36592665">
            <w:pPr>
              <w:spacing w:before="100" w:after="100" w:line="240" w:lineRule="exact"/>
              <w:jc w:val="center"/>
              <w:rPr>
                <w:rFonts w:ascii="仿宋_GB2312" w:hAnsi="仿宋"/>
                <w:kern w:val="0"/>
                <w:sz w:val="24"/>
              </w:rPr>
            </w:pPr>
            <w:r>
              <w:rPr>
                <w:rFonts w:hint="eastAsia" w:ascii="仿宋_GB2312"/>
                <w:kern w:val="0"/>
                <w:sz w:val="24"/>
              </w:rPr>
              <w:t>副局长</w:t>
            </w:r>
          </w:p>
        </w:tc>
        <w:tc>
          <w:tcPr>
            <w:tcW w:w="1253" w:type="dxa"/>
            <w:tcBorders>
              <w:top w:val="single" w:color="000000" w:sz="4" w:space="0"/>
              <w:left w:val="nil"/>
              <w:bottom w:val="single" w:color="000000" w:sz="4" w:space="0"/>
              <w:right w:val="single" w:color="000000" w:sz="4" w:space="0"/>
            </w:tcBorders>
            <w:vAlign w:val="center"/>
          </w:tcPr>
          <w:p w14:paraId="0F7EBD3A">
            <w:pPr>
              <w:spacing w:before="100" w:after="100" w:line="240" w:lineRule="exact"/>
              <w:jc w:val="center"/>
              <w:rPr>
                <w:rFonts w:ascii="仿宋_GB2312" w:hAnsi="仿宋"/>
                <w:kern w:val="0"/>
                <w:sz w:val="24"/>
              </w:rPr>
            </w:pPr>
            <w:r>
              <w:rPr>
                <w:rFonts w:ascii="仿宋_GB2312"/>
                <w:kern w:val="0"/>
                <w:sz w:val="24"/>
              </w:rPr>
              <w:t>6922076</w:t>
            </w:r>
          </w:p>
        </w:tc>
        <w:tc>
          <w:tcPr>
            <w:tcW w:w="1899" w:type="dxa"/>
            <w:tcBorders>
              <w:top w:val="single" w:color="000000" w:sz="4" w:space="0"/>
              <w:left w:val="nil"/>
              <w:bottom w:val="single" w:color="000000" w:sz="4" w:space="0"/>
              <w:right w:val="single" w:color="000000" w:sz="4" w:space="0"/>
            </w:tcBorders>
            <w:vAlign w:val="center"/>
          </w:tcPr>
          <w:p w14:paraId="139BFB5F">
            <w:pPr>
              <w:spacing w:before="100" w:after="100" w:line="240" w:lineRule="exact"/>
              <w:jc w:val="center"/>
              <w:rPr>
                <w:rFonts w:ascii="仿宋_GB2312" w:hAnsi="仿宋"/>
                <w:kern w:val="0"/>
                <w:sz w:val="24"/>
              </w:rPr>
            </w:pPr>
            <w:r>
              <w:rPr>
                <w:rFonts w:ascii="仿宋_GB2312"/>
                <w:kern w:val="0"/>
                <w:sz w:val="24"/>
              </w:rPr>
              <w:t>15966486227</w:t>
            </w:r>
          </w:p>
        </w:tc>
      </w:tr>
      <w:tr w14:paraId="7CB604C8">
        <w:tblPrEx>
          <w:tblCellMar>
            <w:top w:w="0" w:type="dxa"/>
            <w:left w:w="108" w:type="dxa"/>
            <w:bottom w:w="0" w:type="dxa"/>
            <w:right w:w="108" w:type="dxa"/>
          </w:tblCellMar>
        </w:tblPrEx>
        <w:trPr>
          <w:trHeight w:val="624" w:hRule="atLeast"/>
        </w:trPr>
        <w:tc>
          <w:tcPr>
            <w:tcW w:w="1243" w:type="dxa"/>
            <w:vMerge w:val="continue"/>
            <w:tcBorders>
              <w:left w:val="single" w:color="000000" w:sz="4" w:space="0"/>
              <w:right w:val="single" w:color="000000" w:sz="4" w:space="0"/>
            </w:tcBorders>
            <w:vAlign w:val="center"/>
          </w:tcPr>
          <w:p w14:paraId="37F941FC">
            <w:pPr>
              <w:spacing w:line="240" w:lineRule="exact"/>
              <w:jc w:val="left"/>
              <w:rPr>
                <w:rFonts w:ascii="仿宋_GB2312"/>
                <w:kern w:val="0"/>
                <w:sz w:val="24"/>
              </w:rPr>
            </w:pPr>
          </w:p>
        </w:tc>
        <w:tc>
          <w:tcPr>
            <w:tcW w:w="1089" w:type="dxa"/>
            <w:tcBorders>
              <w:top w:val="single" w:color="000000" w:sz="4" w:space="0"/>
              <w:left w:val="nil"/>
              <w:bottom w:val="single" w:color="000000" w:sz="4" w:space="0"/>
              <w:right w:val="single" w:color="000000" w:sz="4" w:space="0"/>
            </w:tcBorders>
            <w:vAlign w:val="center"/>
          </w:tcPr>
          <w:p w14:paraId="38FA3165">
            <w:pPr>
              <w:spacing w:before="100" w:after="100" w:line="240" w:lineRule="exact"/>
              <w:jc w:val="center"/>
              <w:rPr>
                <w:rFonts w:ascii="仿宋_GB2312"/>
                <w:kern w:val="0"/>
                <w:sz w:val="24"/>
              </w:rPr>
            </w:pPr>
            <w:r>
              <w:rPr>
                <w:rFonts w:hint="eastAsia" w:ascii="仿宋_GB2312" w:hAnsi="仿宋"/>
                <w:sz w:val="24"/>
              </w:rPr>
              <w:t>曲  飞</w:t>
            </w:r>
          </w:p>
        </w:tc>
        <w:tc>
          <w:tcPr>
            <w:tcW w:w="1998" w:type="dxa"/>
            <w:tcBorders>
              <w:top w:val="single" w:color="000000" w:sz="4" w:space="0"/>
              <w:left w:val="nil"/>
              <w:bottom w:val="single" w:color="000000" w:sz="4" w:space="0"/>
              <w:right w:val="single" w:color="000000" w:sz="4" w:space="0"/>
            </w:tcBorders>
            <w:vAlign w:val="center"/>
          </w:tcPr>
          <w:p w14:paraId="1D290BFD">
            <w:pPr>
              <w:spacing w:before="100" w:after="100" w:line="240" w:lineRule="exact"/>
              <w:jc w:val="center"/>
              <w:rPr>
                <w:rFonts w:ascii="仿宋_GB2312"/>
                <w:kern w:val="0"/>
                <w:sz w:val="24"/>
              </w:rPr>
            </w:pPr>
            <w:r>
              <w:rPr>
                <w:rFonts w:hint="eastAsia" w:ascii="仿宋_GB2312"/>
                <w:kern w:val="0"/>
                <w:sz w:val="24"/>
              </w:rPr>
              <w:t>卫生健康管理办公室</w:t>
            </w:r>
          </w:p>
        </w:tc>
        <w:tc>
          <w:tcPr>
            <w:tcW w:w="1918" w:type="dxa"/>
            <w:tcBorders>
              <w:top w:val="single" w:color="000000" w:sz="4" w:space="0"/>
              <w:left w:val="nil"/>
              <w:bottom w:val="single" w:color="000000" w:sz="4" w:space="0"/>
              <w:right w:val="single" w:color="000000" w:sz="4" w:space="0"/>
            </w:tcBorders>
            <w:vAlign w:val="center"/>
          </w:tcPr>
          <w:p w14:paraId="4C0E344E">
            <w:pPr>
              <w:spacing w:before="100" w:after="100" w:line="240" w:lineRule="exact"/>
              <w:jc w:val="center"/>
              <w:rPr>
                <w:rFonts w:ascii="仿宋_GB2312" w:hAnsi="仿宋" w:eastAsia="仿宋_GB2312"/>
                <w:kern w:val="0"/>
                <w:sz w:val="24"/>
              </w:rPr>
            </w:pPr>
            <w:r>
              <w:rPr>
                <w:rFonts w:hint="eastAsia" w:ascii="仿宋_GB2312" w:hAnsi="仿宋"/>
                <w:kern w:val="0"/>
                <w:sz w:val="24"/>
              </w:rPr>
              <w:t>区疾控中心主任</w:t>
            </w:r>
          </w:p>
        </w:tc>
        <w:tc>
          <w:tcPr>
            <w:tcW w:w="1253" w:type="dxa"/>
            <w:tcBorders>
              <w:top w:val="single" w:color="000000" w:sz="4" w:space="0"/>
              <w:left w:val="nil"/>
              <w:bottom w:val="single" w:color="000000" w:sz="4" w:space="0"/>
              <w:right w:val="single" w:color="000000" w:sz="4" w:space="0"/>
            </w:tcBorders>
            <w:vAlign w:val="center"/>
          </w:tcPr>
          <w:p w14:paraId="71FBE9E5">
            <w:pPr>
              <w:spacing w:before="100" w:after="100" w:line="240" w:lineRule="exact"/>
              <w:jc w:val="center"/>
              <w:rPr>
                <w:rFonts w:ascii="仿宋_GB2312" w:hAnsi="仿宋"/>
                <w:kern w:val="0"/>
                <w:sz w:val="24"/>
              </w:rPr>
            </w:pPr>
            <w:r>
              <w:rPr>
                <w:rFonts w:hint="eastAsia" w:ascii="仿宋_GB2312" w:hAnsi="仿宋"/>
                <w:kern w:val="0"/>
                <w:sz w:val="24"/>
              </w:rPr>
              <w:t>6925269</w:t>
            </w:r>
          </w:p>
        </w:tc>
        <w:tc>
          <w:tcPr>
            <w:tcW w:w="1899" w:type="dxa"/>
            <w:tcBorders>
              <w:top w:val="single" w:color="000000" w:sz="4" w:space="0"/>
              <w:left w:val="nil"/>
              <w:bottom w:val="single" w:color="000000" w:sz="4" w:space="0"/>
              <w:right w:val="single" w:color="000000" w:sz="4" w:space="0"/>
            </w:tcBorders>
            <w:vAlign w:val="center"/>
          </w:tcPr>
          <w:p w14:paraId="60C4E051">
            <w:pPr>
              <w:spacing w:before="100" w:after="100" w:line="240" w:lineRule="exact"/>
              <w:jc w:val="center"/>
              <w:rPr>
                <w:rFonts w:ascii="仿宋_GB2312" w:hAnsi="仿宋"/>
                <w:kern w:val="0"/>
                <w:sz w:val="24"/>
              </w:rPr>
            </w:pPr>
            <w:r>
              <w:rPr>
                <w:rFonts w:hint="eastAsia" w:ascii="仿宋_GB2312" w:hAnsi="仿宋"/>
                <w:kern w:val="0"/>
                <w:sz w:val="24"/>
              </w:rPr>
              <w:t>15192237979</w:t>
            </w:r>
          </w:p>
        </w:tc>
      </w:tr>
      <w:tr w14:paraId="1FB77B77">
        <w:tblPrEx>
          <w:tblCellMar>
            <w:top w:w="0" w:type="dxa"/>
            <w:left w:w="108" w:type="dxa"/>
            <w:bottom w:w="0" w:type="dxa"/>
            <w:right w:w="108" w:type="dxa"/>
          </w:tblCellMar>
        </w:tblPrEx>
        <w:trPr>
          <w:trHeight w:val="624" w:hRule="atLeast"/>
        </w:trPr>
        <w:tc>
          <w:tcPr>
            <w:tcW w:w="1243" w:type="dxa"/>
            <w:vMerge w:val="continue"/>
            <w:tcBorders>
              <w:left w:val="single" w:color="000000" w:sz="4" w:space="0"/>
              <w:right w:val="single" w:color="000000" w:sz="4" w:space="0"/>
            </w:tcBorders>
            <w:vAlign w:val="center"/>
          </w:tcPr>
          <w:p w14:paraId="55A83C98">
            <w:pPr>
              <w:spacing w:line="240" w:lineRule="exact"/>
              <w:jc w:val="left"/>
              <w:rPr>
                <w:rFonts w:ascii="仿宋_GB2312"/>
                <w:kern w:val="0"/>
                <w:sz w:val="24"/>
              </w:rPr>
            </w:pPr>
          </w:p>
        </w:tc>
        <w:tc>
          <w:tcPr>
            <w:tcW w:w="1089" w:type="dxa"/>
            <w:tcBorders>
              <w:top w:val="single" w:color="000000" w:sz="4" w:space="0"/>
              <w:left w:val="nil"/>
              <w:bottom w:val="single" w:color="000000" w:sz="4" w:space="0"/>
              <w:right w:val="single" w:color="000000" w:sz="4" w:space="0"/>
            </w:tcBorders>
            <w:vAlign w:val="center"/>
          </w:tcPr>
          <w:p w14:paraId="6F02DE6E">
            <w:pPr>
              <w:spacing w:before="100" w:after="100" w:line="240" w:lineRule="exact"/>
              <w:jc w:val="center"/>
              <w:rPr>
                <w:rFonts w:ascii="仿宋_GB2312"/>
                <w:kern w:val="0"/>
                <w:sz w:val="24"/>
              </w:rPr>
            </w:pPr>
            <w:r>
              <w:rPr>
                <w:rFonts w:hint="eastAsia" w:ascii="仿宋_GB2312" w:hAnsi="仿宋"/>
                <w:sz w:val="24"/>
              </w:rPr>
              <w:t>丛义明</w:t>
            </w:r>
          </w:p>
        </w:tc>
        <w:tc>
          <w:tcPr>
            <w:tcW w:w="1998" w:type="dxa"/>
            <w:tcBorders>
              <w:top w:val="single" w:color="000000" w:sz="4" w:space="0"/>
              <w:left w:val="nil"/>
              <w:bottom w:val="single" w:color="000000" w:sz="4" w:space="0"/>
              <w:right w:val="single" w:color="000000" w:sz="4" w:space="0"/>
            </w:tcBorders>
            <w:vAlign w:val="center"/>
          </w:tcPr>
          <w:p w14:paraId="483A7A22">
            <w:pPr>
              <w:spacing w:before="100" w:after="100" w:line="240" w:lineRule="exact"/>
              <w:jc w:val="center"/>
              <w:rPr>
                <w:rFonts w:ascii="仿宋_GB2312"/>
                <w:kern w:val="0"/>
                <w:sz w:val="24"/>
              </w:rPr>
            </w:pPr>
            <w:r>
              <w:rPr>
                <w:rFonts w:hint="eastAsia" w:ascii="仿宋_GB2312"/>
                <w:kern w:val="0"/>
                <w:sz w:val="24"/>
              </w:rPr>
              <w:t>区应急管理局</w:t>
            </w:r>
          </w:p>
        </w:tc>
        <w:tc>
          <w:tcPr>
            <w:tcW w:w="1918" w:type="dxa"/>
            <w:tcBorders>
              <w:top w:val="single" w:color="000000" w:sz="4" w:space="0"/>
              <w:left w:val="nil"/>
              <w:bottom w:val="single" w:color="000000" w:sz="4" w:space="0"/>
              <w:right w:val="single" w:color="000000" w:sz="4" w:space="0"/>
            </w:tcBorders>
            <w:vAlign w:val="center"/>
          </w:tcPr>
          <w:p w14:paraId="42B708CF">
            <w:pPr>
              <w:spacing w:before="100" w:after="100" w:line="240" w:lineRule="exact"/>
              <w:jc w:val="center"/>
              <w:rPr>
                <w:rFonts w:ascii="仿宋_GB2312"/>
                <w:kern w:val="0"/>
                <w:sz w:val="24"/>
              </w:rPr>
            </w:pPr>
            <w:r>
              <w:rPr>
                <w:rFonts w:hint="eastAsia" w:ascii="仿宋_GB2312" w:hAnsi="仿宋"/>
                <w:kern w:val="0"/>
                <w:sz w:val="24"/>
              </w:rPr>
              <w:t>副局长</w:t>
            </w:r>
          </w:p>
        </w:tc>
        <w:tc>
          <w:tcPr>
            <w:tcW w:w="1253" w:type="dxa"/>
            <w:tcBorders>
              <w:top w:val="single" w:color="000000" w:sz="4" w:space="0"/>
              <w:left w:val="nil"/>
              <w:bottom w:val="single" w:color="000000" w:sz="4" w:space="0"/>
              <w:right w:val="single" w:color="000000" w:sz="4" w:space="0"/>
            </w:tcBorders>
            <w:vAlign w:val="center"/>
          </w:tcPr>
          <w:p w14:paraId="12D16445">
            <w:pPr>
              <w:spacing w:before="100" w:after="100" w:line="240" w:lineRule="exact"/>
              <w:jc w:val="center"/>
              <w:rPr>
                <w:rFonts w:ascii="仿宋_GB2312"/>
                <w:kern w:val="0"/>
                <w:sz w:val="24"/>
              </w:rPr>
            </w:pPr>
            <w:r>
              <w:rPr>
                <w:rFonts w:hint="eastAsia" w:ascii="仿宋_GB2312" w:hAnsi="仿宋"/>
                <w:kern w:val="0"/>
                <w:sz w:val="24"/>
              </w:rPr>
              <w:t>6922119</w:t>
            </w:r>
          </w:p>
        </w:tc>
        <w:tc>
          <w:tcPr>
            <w:tcW w:w="1899" w:type="dxa"/>
            <w:tcBorders>
              <w:top w:val="single" w:color="000000" w:sz="4" w:space="0"/>
              <w:left w:val="nil"/>
              <w:bottom w:val="single" w:color="000000" w:sz="4" w:space="0"/>
              <w:right w:val="single" w:color="000000" w:sz="4" w:space="0"/>
            </w:tcBorders>
            <w:vAlign w:val="center"/>
          </w:tcPr>
          <w:p w14:paraId="2ACEB027">
            <w:pPr>
              <w:spacing w:before="100" w:after="100" w:line="240" w:lineRule="exact"/>
              <w:jc w:val="center"/>
              <w:rPr>
                <w:rFonts w:ascii="仿宋_GB2312"/>
                <w:kern w:val="0"/>
                <w:sz w:val="24"/>
              </w:rPr>
            </w:pPr>
            <w:r>
              <w:rPr>
                <w:rFonts w:hint="eastAsia" w:ascii="仿宋_GB2312" w:hAnsi="仿宋"/>
                <w:kern w:val="0"/>
                <w:sz w:val="24"/>
              </w:rPr>
              <w:t>15005353119</w:t>
            </w:r>
          </w:p>
        </w:tc>
      </w:tr>
      <w:tr w14:paraId="38D8B266">
        <w:tblPrEx>
          <w:tblCellMar>
            <w:top w:w="0" w:type="dxa"/>
            <w:left w:w="108" w:type="dxa"/>
            <w:bottom w:w="0" w:type="dxa"/>
            <w:right w:w="108" w:type="dxa"/>
          </w:tblCellMar>
        </w:tblPrEx>
        <w:trPr>
          <w:trHeight w:val="624" w:hRule="atLeast"/>
        </w:trPr>
        <w:tc>
          <w:tcPr>
            <w:tcW w:w="1243" w:type="dxa"/>
            <w:vMerge w:val="continue"/>
            <w:tcBorders>
              <w:left w:val="single" w:color="000000" w:sz="4" w:space="0"/>
              <w:right w:val="single" w:color="000000" w:sz="4" w:space="0"/>
            </w:tcBorders>
            <w:vAlign w:val="center"/>
          </w:tcPr>
          <w:p w14:paraId="7D80A458">
            <w:pPr>
              <w:spacing w:line="240" w:lineRule="exact"/>
              <w:jc w:val="left"/>
              <w:rPr>
                <w:rFonts w:ascii="仿宋_GB2312"/>
                <w:kern w:val="0"/>
                <w:sz w:val="24"/>
              </w:rPr>
            </w:pPr>
          </w:p>
        </w:tc>
        <w:tc>
          <w:tcPr>
            <w:tcW w:w="1089" w:type="dxa"/>
            <w:tcBorders>
              <w:top w:val="single" w:color="000000" w:sz="4" w:space="0"/>
              <w:left w:val="nil"/>
              <w:bottom w:val="single" w:color="000000" w:sz="4" w:space="0"/>
              <w:right w:val="single" w:color="000000" w:sz="4" w:space="0"/>
            </w:tcBorders>
            <w:vAlign w:val="center"/>
          </w:tcPr>
          <w:p w14:paraId="0FAA1B96">
            <w:pPr>
              <w:spacing w:before="100" w:after="100" w:line="240" w:lineRule="exact"/>
              <w:jc w:val="center"/>
              <w:rPr>
                <w:rFonts w:ascii="仿宋_GB2312" w:hAnsi="仿宋"/>
                <w:sz w:val="24"/>
              </w:rPr>
            </w:pPr>
            <w:r>
              <w:rPr>
                <w:rFonts w:hint="eastAsia" w:ascii="仿宋_GB2312" w:hAnsi="仿宋"/>
                <w:kern w:val="0"/>
                <w:sz w:val="24"/>
              </w:rPr>
              <w:t>毕明文</w:t>
            </w:r>
          </w:p>
        </w:tc>
        <w:tc>
          <w:tcPr>
            <w:tcW w:w="1998" w:type="dxa"/>
            <w:tcBorders>
              <w:top w:val="single" w:color="000000" w:sz="4" w:space="0"/>
              <w:left w:val="nil"/>
              <w:bottom w:val="single" w:color="000000" w:sz="4" w:space="0"/>
              <w:right w:val="single" w:color="000000" w:sz="4" w:space="0"/>
            </w:tcBorders>
            <w:vAlign w:val="center"/>
          </w:tcPr>
          <w:p w14:paraId="4CA75C11">
            <w:pPr>
              <w:spacing w:before="100" w:after="100" w:line="240" w:lineRule="exact"/>
              <w:jc w:val="center"/>
              <w:rPr>
                <w:rFonts w:ascii="仿宋_GB2312"/>
                <w:kern w:val="0"/>
                <w:sz w:val="24"/>
              </w:rPr>
            </w:pPr>
            <w:r>
              <w:rPr>
                <w:rFonts w:hint="eastAsia" w:ascii="仿宋_GB2312"/>
                <w:kern w:val="0"/>
                <w:sz w:val="24"/>
              </w:rPr>
              <w:t>交警五大队</w:t>
            </w:r>
          </w:p>
        </w:tc>
        <w:tc>
          <w:tcPr>
            <w:tcW w:w="1918" w:type="dxa"/>
            <w:tcBorders>
              <w:top w:val="single" w:color="000000" w:sz="4" w:space="0"/>
              <w:left w:val="nil"/>
              <w:bottom w:val="single" w:color="000000" w:sz="4" w:space="0"/>
              <w:right w:val="single" w:color="000000" w:sz="4" w:space="0"/>
            </w:tcBorders>
            <w:vAlign w:val="center"/>
          </w:tcPr>
          <w:p w14:paraId="36442EBD">
            <w:pPr>
              <w:spacing w:before="100" w:after="100" w:line="240" w:lineRule="exact"/>
              <w:jc w:val="center"/>
              <w:rPr>
                <w:rFonts w:ascii="仿宋_GB2312" w:hAnsi="仿宋"/>
                <w:kern w:val="0"/>
                <w:sz w:val="24"/>
              </w:rPr>
            </w:pPr>
            <w:r>
              <w:rPr>
                <w:rFonts w:hint="eastAsia" w:ascii="仿宋_GB2312" w:hAnsi="仿宋"/>
                <w:kern w:val="0"/>
                <w:sz w:val="24"/>
              </w:rPr>
              <w:t>勤务负责人</w:t>
            </w:r>
          </w:p>
        </w:tc>
        <w:tc>
          <w:tcPr>
            <w:tcW w:w="1253" w:type="dxa"/>
            <w:tcBorders>
              <w:top w:val="single" w:color="000000" w:sz="4" w:space="0"/>
              <w:left w:val="nil"/>
              <w:bottom w:val="single" w:color="000000" w:sz="4" w:space="0"/>
              <w:right w:val="single" w:color="000000" w:sz="4" w:space="0"/>
            </w:tcBorders>
            <w:vAlign w:val="center"/>
          </w:tcPr>
          <w:p w14:paraId="5C5B406B">
            <w:pPr>
              <w:spacing w:before="100" w:after="100" w:line="240" w:lineRule="exact"/>
              <w:jc w:val="center"/>
              <w:rPr>
                <w:rFonts w:ascii="仿宋_GB2312" w:hAnsi="仿宋"/>
                <w:kern w:val="0"/>
                <w:sz w:val="24"/>
              </w:rPr>
            </w:pPr>
            <w:r>
              <w:rPr>
                <w:rFonts w:hint="eastAsia" w:ascii="仿宋_GB2312" w:hAnsi="仿宋"/>
                <w:kern w:val="0"/>
                <w:sz w:val="24"/>
              </w:rPr>
              <w:t>3246485</w:t>
            </w:r>
          </w:p>
        </w:tc>
        <w:tc>
          <w:tcPr>
            <w:tcW w:w="1899" w:type="dxa"/>
            <w:tcBorders>
              <w:top w:val="single" w:color="000000" w:sz="4" w:space="0"/>
              <w:left w:val="nil"/>
              <w:bottom w:val="single" w:color="000000" w:sz="4" w:space="0"/>
              <w:right w:val="single" w:color="000000" w:sz="4" w:space="0"/>
            </w:tcBorders>
            <w:vAlign w:val="center"/>
          </w:tcPr>
          <w:p w14:paraId="56D430A5">
            <w:pPr>
              <w:spacing w:before="100" w:after="100" w:line="240" w:lineRule="exact"/>
              <w:jc w:val="center"/>
              <w:rPr>
                <w:rFonts w:ascii="仿宋_GB2312" w:hAnsi="仿宋"/>
                <w:kern w:val="0"/>
                <w:sz w:val="24"/>
              </w:rPr>
            </w:pPr>
            <w:r>
              <w:rPr>
                <w:rFonts w:ascii="仿宋_GB2312" w:hAnsi="仿宋"/>
                <w:kern w:val="0"/>
                <w:sz w:val="24"/>
              </w:rPr>
              <w:t>15166881555</w:t>
            </w:r>
          </w:p>
        </w:tc>
      </w:tr>
      <w:tr w14:paraId="48AC224D">
        <w:tblPrEx>
          <w:tblCellMar>
            <w:top w:w="0" w:type="dxa"/>
            <w:left w:w="108" w:type="dxa"/>
            <w:bottom w:w="0" w:type="dxa"/>
            <w:right w:w="108" w:type="dxa"/>
          </w:tblCellMar>
        </w:tblPrEx>
        <w:trPr>
          <w:trHeight w:val="624" w:hRule="atLeast"/>
        </w:trPr>
        <w:tc>
          <w:tcPr>
            <w:tcW w:w="1243" w:type="dxa"/>
            <w:vMerge w:val="continue"/>
            <w:tcBorders>
              <w:left w:val="single" w:color="000000" w:sz="4" w:space="0"/>
              <w:bottom w:val="single" w:color="000000" w:sz="4" w:space="0"/>
              <w:right w:val="single" w:color="000000" w:sz="4" w:space="0"/>
            </w:tcBorders>
            <w:vAlign w:val="center"/>
          </w:tcPr>
          <w:p w14:paraId="49EDEE2A">
            <w:pPr>
              <w:spacing w:before="100" w:after="100" w:line="240" w:lineRule="exact"/>
              <w:jc w:val="center"/>
              <w:rPr>
                <w:rFonts w:ascii="仿宋_GB2312"/>
                <w:kern w:val="0"/>
                <w:sz w:val="24"/>
              </w:rPr>
            </w:pPr>
          </w:p>
        </w:tc>
        <w:tc>
          <w:tcPr>
            <w:tcW w:w="1089" w:type="dxa"/>
            <w:tcBorders>
              <w:top w:val="single" w:color="000000" w:sz="4" w:space="0"/>
              <w:left w:val="nil"/>
              <w:bottom w:val="single" w:color="000000" w:sz="4" w:space="0"/>
              <w:right w:val="single" w:color="000000" w:sz="4" w:space="0"/>
            </w:tcBorders>
            <w:vAlign w:val="center"/>
          </w:tcPr>
          <w:p w14:paraId="1AE45F62">
            <w:pPr>
              <w:spacing w:before="100" w:after="100" w:line="240" w:lineRule="exact"/>
              <w:jc w:val="center"/>
              <w:rPr>
                <w:rFonts w:ascii="仿宋_GB2312"/>
                <w:kern w:val="0"/>
                <w:sz w:val="24"/>
              </w:rPr>
            </w:pPr>
            <w:r>
              <w:rPr>
                <w:rFonts w:hint="eastAsia" w:ascii="仿宋_GB2312"/>
                <w:kern w:val="0"/>
                <w:sz w:val="24"/>
              </w:rPr>
              <w:t>孙  航</w:t>
            </w:r>
          </w:p>
        </w:tc>
        <w:tc>
          <w:tcPr>
            <w:tcW w:w="1998" w:type="dxa"/>
            <w:tcBorders>
              <w:top w:val="single" w:color="000000" w:sz="4" w:space="0"/>
              <w:left w:val="nil"/>
              <w:bottom w:val="single" w:color="000000" w:sz="4" w:space="0"/>
              <w:right w:val="single" w:color="000000" w:sz="4" w:space="0"/>
            </w:tcBorders>
            <w:vAlign w:val="center"/>
          </w:tcPr>
          <w:p w14:paraId="4269D189">
            <w:pPr>
              <w:spacing w:line="240" w:lineRule="exact"/>
              <w:jc w:val="center"/>
              <w:rPr>
                <w:rFonts w:ascii="仿宋_GB2312"/>
                <w:spacing w:val="8"/>
                <w:kern w:val="0"/>
                <w:sz w:val="24"/>
              </w:rPr>
            </w:pPr>
            <w:r>
              <w:rPr>
                <w:rFonts w:hint="eastAsia" w:ascii="仿宋_GB2312"/>
                <w:spacing w:val="8"/>
                <w:kern w:val="0"/>
                <w:sz w:val="24"/>
              </w:rPr>
              <w:t>市发改委</w:t>
            </w:r>
          </w:p>
          <w:p w14:paraId="10292E40">
            <w:pPr>
              <w:spacing w:line="240" w:lineRule="exact"/>
              <w:jc w:val="center"/>
              <w:rPr>
                <w:rFonts w:ascii="仿宋_GB2312"/>
                <w:spacing w:val="8"/>
                <w:kern w:val="0"/>
                <w:sz w:val="24"/>
              </w:rPr>
            </w:pPr>
            <w:r>
              <w:rPr>
                <w:rFonts w:hint="eastAsia" w:ascii="仿宋_GB2312"/>
                <w:spacing w:val="8"/>
                <w:kern w:val="0"/>
                <w:sz w:val="24"/>
              </w:rPr>
              <w:t>安全科</w:t>
            </w:r>
          </w:p>
        </w:tc>
        <w:tc>
          <w:tcPr>
            <w:tcW w:w="1918" w:type="dxa"/>
            <w:tcBorders>
              <w:top w:val="single" w:color="000000" w:sz="4" w:space="0"/>
              <w:left w:val="nil"/>
              <w:bottom w:val="single" w:color="000000" w:sz="4" w:space="0"/>
              <w:right w:val="single" w:color="000000" w:sz="4" w:space="0"/>
            </w:tcBorders>
            <w:vAlign w:val="center"/>
          </w:tcPr>
          <w:p w14:paraId="1769C5DA">
            <w:pPr>
              <w:spacing w:before="100" w:after="100" w:line="240" w:lineRule="exact"/>
              <w:jc w:val="center"/>
              <w:rPr>
                <w:rFonts w:ascii="仿宋_GB2312"/>
                <w:kern w:val="0"/>
                <w:sz w:val="24"/>
              </w:rPr>
            </w:pPr>
            <w:r>
              <w:rPr>
                <w:rFonts w:hint="eastAsia" w:ascii="仿宋_GB2312"/>
                <w:kern w:val="0"/>
                <w:sz w:val="24"/>
              </w:rPr>
              <w:t>科  长</w:t>
            </w:r>
          </w:p>
        </w:tc>
        <w:tc>
          <w:tcPr>
            <w:tcW w:w="1253" w:type="dxa"/>
            <w:tcBorders>
              <w:top w:val="single" w:color="000000" w:sz="4" w:space="0"/>
              <w:left w:val="nil"/>
              <w:bottom w:val="single" w:color="000000" w:sz="4" w:space="0"/>
              <w:right w:val="single" w:color="000000" w:sz="4" w:space="0"/>
            </w:tcBorders>
            <w:vAlign w:val="center"/>
          </w:tcPr>
          <w:p w14:paraId="3D407282">
            <w:pPr>
              <w:spacing w:before="100" w:after="100" w:line="240" w:lineRule="exact"/>
              <w:jc w:val="center"/>
              <w:rPr>
                <w:rFonts w:ascii="仿宋_GB2312"/>
                <w:kern w:val="0"/>
                <w:sz w:val="24"/>
              </w:rPr>
            </w:pPr>
            <w:r>
              <w:rPr>
                <w:rFonts w:hint="eastAsia" w:ascii="仿宋_GB2312"/>
                <w:kern w:val="0"/>
                <w:sz w:val="24"/>
              </w:rPr>
              <w:t>6252561</w:t>
            </w:r>
          </w:p>
        </w:tc>
        <w:tc>
          <w:tcPr>
            <w:tcW w:w="1899" w:type="dxa"/>
            <w:tcBorders>
              <w:top w:val="single" w:color="000000" w:sz="4" w:space="0"/>
              <w:left w:val="nil"/>
              <w:bottom w:val="single" w:color="000000" w:sz="4" w:space="0"/>
              <w:right w:val="single" w:color="000000" w:sz="4" w:space="0"/>
            </w:tcBorders>
            <w:vAlign w:val="center"/>
          </w:tcPr>
          <w:p w14:paraId="7F0B01F0">
            <w:pPr>
              <w:spacing w:before="100" w:after="100" w:line="240" w:lineRule="exact"/>
              <w:jc w:val="center"/>
              <w:rPr>
                <w:rFonts w:ascii="仿宋_GB2312"/>
                <w:kern w:val="0"/>
                <w:sz w:val="24"/>
              </w:rPr>
            </w:pPr>
            <w:r>
              <w:rPr>
                <w:rFonts w:hint="eastAsia" w:ascii="仿宋_GB2312"/>
                <w:kern w:val="0"/>
                <w:sz w:val="24"/>
              </w:rPr>
              <w:t>18660592577</w:t>
            </w:r>
          </w:p>
        </w:tc>
      </w:tr>
    </w:tbl>
    <w:p w14:paraId="08FECE34">
      <w:pPr>
        <w:jc w:val="left"/>
        <w:rPr>
          <w:rFonts w:ascii="黑体" w:hAnsi="黑体" w:eastAsia="黑体"/>
          <w:szCs w:val="32"/>
        </w:rPr>
      </w:pPr>
    </w:p>
    <w:p w14:paraId="480E06FB">
      <w:pPr>
        <w:spacing w:line="560" w:lineRule="exact"/>
        <w:rPr>
          <w:rFonts w:ascii="黑体" w:hAnsi="黑体" w:eastAsia="黑体"/>
          <w:sz w:val="32"/>
          <w:szCs w:val="32"/>
        </w:rPr>
      </w:pPr>
      <w:r>
        <w:rPr>
          <w:rFonts w:hint="eastAsia" w:ascii="黑体" w:hAnsi="黑体" w:eastAsia="黑体"/>
          <w:sz w:val="32"/>
          <w:szCs w:val="32"/>
        </w:rPr>
        <w:t>附件2</w:t>
      </w:r>
    </w:p>
    <w:p w14:paraId="5C2BBE04">
      <w:pPr>
        <w:spacing w:line="560" w:lineRule="exact"/>
        <w:jc w:val="center"/>
        <w:rPr>
          <w:rFonts w:ascii="方正小标宋简体" w:hAnsi="方正小标宋_GBK" w:eastAsia="方正小标宋简体"/>
          <w:spacing w:val="-10"/>
          <w:sz w:val="44"/>
          <w:szCs w:val="44"/>
        </w:rPr>
      </w:pPr>
      <w:r>
        <w:rPr>
          <w:rFonts w:hint="eastAsia" w:ascii="方正小标宋简体" w:hAnsi="方正小标宋_GBK" w:eastAsia="方正小标宋简体"/>
          <w:spacing w:val="-10"/>
          <w:sz w:val="44"/>
          <w:szCs w:val="44"/>
        </w:rPr>
        <w:t>高新区石油天然气管道突发事件应急处置流程图</w:t>
      </w:r>
    </w:p>
    <w:p w14:paraId="3AD42CBA">
      <w:r>
        <w:pict>
          <v:rect id="_x0000_s2103" o:spid="_x0000_s2103" o:spt="1" style="position:absolute;left:0pt;margin-left:68.3pt;margin-top:11.8pt;height:34.5pt;width:182.4pt;z-index:251717632;mso-width-relative:page;mso-height-relative:page;" coordsize="21600,21600" o:gfxdata="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q&#10;iY0H1wAAAAkBAAAPAAAAAAAAAAEAIAAAACIAAABkcnMvZG93bnJldi54bWxQSwECFAAUAAAACACH&#10;TuJA+TCr+ewBAADfAwAADgAAAAAAAAABACAAAAAmAQAAZHJzL2Uyb0RvYy54bWxQSwUGAAAAAAYA&#10;BgBZAQAAhAUAAAAA&#10;">
            <v:path/>
            <v:fill focussize="0,0"/>
            <v:stroke/>
            <v:imagedata o:title=""/>
            <o:lock v:ext="edit"/>
            <v:textbox>
              <w:txbxContent>
                <w:p w14:paraId="72D386A5">
                  <w:pPr>
                    <w:jc w:val="center"/>
                  </w:pPr>
                  <w:r>
                    <w:rPr>
                      <w:rFonts w:hint="eastAsia"/>
                    </w:rPr>
                    <w:t>事故发生后报案人</w:t>
                  </w:r>
                </w:p>
              </w:txbxContent>
            </v:textbox>
          </v:rect>
        </w:pict>
      </w:r>
    </w:p>
    <w:p w14:paraId="3E0630C2">
      <w:pPr>
        <w:jc w:val="center"/>
      </w:pPr>
      <w:r>
        <w:pict>
          <v:line id="_x0000_s2102" o:spid="_x0000_s2102" o:spt="20" style="position:absolute;left:0pt;margin-left:164.1pt;margin-top:19.85pt;height:19.75pt;width:0.4pt;z-index:251732992;mso-width-relative:page;mso-height-relative:page;" coordsize="21600,21600" o:gfxdata="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IqGdoAAAAJ&#10;AQAADwAAAAAAAAABACAAAAAiAAAAZHJzL2Rvd25yZXYueG1sUEsBAhQAFAAAAAgAh07iQNfoebLh&#10;AQAAoAMAAA4AAAAAAAAAAQAgAAAAKQEAAGRycy9lMm9Eb2MueG1sUEsFBgAAAAAGAAYAWQEAAHwF&#10;AAAAAA==&#10;">
            <v:path arrowok="t"/>
            <v:fill focussize="0,0"/>
            <v:stroke endarrow="block"/>
            <v:imagedata o:title=""/>
            <o:lock v:ext="edit"/>
          </v:line>
        </w:pict>
      </w:r>
    </w:p>
    <w:p w14:paraId="216BA073">
      <w:r>
        <w:pict>
          <v:rect id="_x0000_s2101" o:spid="_x0000_s2101" o:spt="1" style="position:absolute;left:0pt;margin-left:74.3pt;margin-top:9.9pt;height:31.5pt;width:182.4pt;z-index:251736064;mso-width-relative:page;mso-height-relative:page;" coordsize="21600,21600" o:gfxdata="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ZSEWdcAAAAJAQAADwAAAAAAAAABACAAAAAiAAAAZHJzL2Rvd25yZXYueG1sUEsBAhQAFAAAAAgA&#10;h07iQEBKOMPtAQAA3wMAAA4AAAAAAAAAAQAgAAAAJgEAAGRycy9lMm9Eb2MueG1sUEsFBgAAAAAG&#10;AAYAWQEAAIUFAAAAAA==&#10;">
            <v:path/>
            <v:fill focussize="0,0"/>
            <v:stroke/>
            <v:imagedata o:title=""/>
            <o:lock v:ext="edit"/>
            <v:textbox>
              <w:txbxContent>
                <w:p w14:paraId="4B016D29">
                  <w:pPr>
                    <w:jc w:val="center"/>
                    <w:rPr>
                      <w:rFonts w:eastAsia="仿宋_GB2312"/>
                    </w:rPr>
                  </w:pPr>
                  <w:r>
                    <w:rPr>
                      <w:rFonts w:hint="eastAsia"/>
                    </w:rPr>
                    <w:t>管委、公安机关</w:t>
                  </w:r>
                </w:p>
              </w:txbxContent>
            </v:textbox>
          </v:rect>
        </w:pict>
      </w:r>
    </w:p>
    <w:p w14:paraId="43E98CEF">
      <w:r>
        <w:pict>
          <v:line id="_x0000_s2100" o:spid="_x0000_s2100" o:spt="20" style="position:absolute;left:0pt;margin-left:158.1pt;margin-top:14.2pt;height:19.75pt;width:0.4pt;z-index:251737088;mso-width-relative:page;mso-height-relative:page;" coordsize="21600,21600" o:gfxdata="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vVYS2wAA&#10;AAkBAAAPAAAAAAAAAAEAIAAAACIAAABkcnMvZG93bnJldi54bWxQSwECFAAUAAAACACHTuJAanra&#10;uuIBAACgAwAADgAAAAAAAAABACAAAAAqAQAAZHJzL2Uyb0RvYy54bWxQSwUGAAAAAAYABgBZAQAA&#10;fgUAAAAA&#10;">
            <v:path arrowok="t"/>
            <v:fill focussize="0,0"/>
            <v:stroke endarrow="block"/>
            <v:imagedata o:title=""/>
            <o:lock v:ext="edit"/>
          </v:line>
        </w:pict>
      </w:r>
    </w:p>
    <w:p w14:paraId="3FB77672">
      <w:r>
        <w:pict>
          <v:rect id="_x0000_s2099" o:spid="_x0000_s2099" o:spt="1" style="position:absolute;left:0pt;margin-left:290.4pt;margin-top:1.5pt;height:29.25pt;width:129.75pt;z-index:251739136;mso-width-relative:page;mso-height-relative:page;" coordsize="21600,21600" o:gfxdata="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RT5jNYA&#10;AAAIAQAADwAAAAAAAAABACAAAAAiAAAAZHJzL2Rvd25yZXYueG1sUEsBAhQAFAAAAAgAh07iQE4I&#10;F3XoAQAA3wMAAA4AAAAAAAAAAQAgAAAAJQEAAGRycy9lMm9Eb2MueG1sUEsFBgAAAAAGAAYAWQEA&#10;AH8FAAAAAA==&#10;">
            <v:path/>
            <v:fill focussize="0,0"/>
            <v:stroke/>
            <v:imagedata o:title=""/>
            <o:lock v:ext="edit"/>
            <v:textbox>
              <w:txbxContent>
                <w:p w14:paraId="2CDFAF38">
                  <w:pPr>
                    <w:jc w:val="center"/>
                    <w:rPr>
                      <w:rFonts w:eastAsia="仿宋_GB2312"/>
                    </w:rPr>
                  </w:pPr>
                  <w:r>
                    <w:rPr>
                      <w:rFonts w:hint="eastAsia"/>
                    </w:rPr>
                    <w:t>市发改委</w:t>
                  </w:r>
                </w:p>
              </w:txbxContent>
            </v:textbox>
          </v:rect>
        </w:pict>
      </w:r>
      <w:r>
        <w:pict>
          <v:line id="_x0000_s2098" o:spid="_x0000_s2098" o:spt="20" style="position:absolute;left:0pt;margin-left:241.7pt;margin-top:20.2pt;height:0.05pt;width:47.25pt;z-index:251738112;mso-width-relative:page;mso-height-relative:page;" coordsize="21600,21600" o:gfxdata="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An5BK2QAAAAkB&#10;AAAPAAAAAAAAAAEAIAAAACIAAABkcnMvZG93bnJldi54bWxQSwECFAAUAAAACACHTuJAo6jikeEB&#10;AACfAwAADgAAAAAAAAABACAAAAAoAQAAZHJzL2Uyb0RvYy54bWxQSwUGAAAAAAYABgBZAQAAewUA&#10;AAAA&#10;">
            <v:path arrowok="t"/>
            <v:fill focussize="0,0"/>
            <v:stroke endarrow="block"/>
            <v:imagedata o:title=""/>
            <o:lock v:ext="edit"/>
          </v:line>
        </w:pict>
      </w:r>
      <w:r>
        <w:pict>
          <v:rect id="_x0000_s2097" o:spid="_x0000_s2097" o:spt="1" style="position:absolute;left:0pt;margin-left:84.15pt;margin-top:1.5pt;height:33.7pt;width:154.45pt;z-index:251718656;mso-width-relative:page;mso-height-relative:page;" coordsize="21600,21600" o:gfxdata="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Zrx&#10;9tYAAAAIAQAADwAAAAAAAAABACAAAAAiAAAAZHJzL2Rvd25yZXYueG1sUEsBAhQAFAAAAAgAh07i&#10;QMwOkPXrAQAA3wMAAA4AAAAAAAAAAQAgAAAAJQEAAGRycy9lMm9Eb2MueG1sUEsFBgAAAAAGAAYA&#10;WQEAAIIFAAAAAA==&#10;">
            <v:path/>
            <v:fill focussize="0,0"/>
            <v:stroke/>
            <v:imagedata o:title=""/>
            <o:lock v:ext="edit"/>
            <v:textbox>
              <w:txbxContent>
                <w:p w14:paraId="26B9454C">
                  <w:pPr>
                    <w:jc w:val="center"/>
                  </w:pPr>
                  <w:r>
                    <w:rPr>
                      <w:rFonts w:hint="eastAsia"/>
                    </w:rPr>
                    <w:t>经济发展部</w:t>
                  </w:r>
                </w:p>
              </w:txbxContent>
            </v:textbox>
          </v:rect>
        </w:pict>
      </w:r>
    </w:p>
    <w:p w14:paraId="1669529D">
      <w:r>
        <w:pict>
          <v:line id="_x0000_s2096" o:spid="_x0000_s2096" o:spt="20" style="position:absolute;left:0pt;flip:x;margin-left:159.6pt;margin-top:6.45pt;height:23.45pt;width:0.5pt;z-index:251725824;mso-width-relative:page;mso-height-relative:page;" coordsize="21600,21600" o:gfxdata="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USbhtgAAAAJAQAADwAAAAAAAAABACAAAAAiAAAAZHJzL2Rvd25yZXYueG1sUEsBAhQAFAAA&#10;AAgAh07iQGiy2EPvAQAAqgMAAA4AAAAAAAAAAQAgAAAAJwEAAGRycy9lMm9Eb2MueG1sUEsFBgAA&#10;AAAGAAYAWQEAAIgFAAAAAA==&#10;">
            <v:path arrowok="t"/>
            <v:fill focussize="0,0"/>
            <v:stroke endarrow="block"/>
            <v:imagedata o:title=""/>
            <o:lock v:ext="edit"/>
          </v:line>
        </w:pict>
      </w:r>
      <w:r>
        <w:pict>
          <v:rect id="_x0000_s2095" o:spid="_x0000_s2095" o:spt="1" style="position:absolute;left:0pt;margin-left:76.65pt;margin-top:26.15pt;height:29.25pt;width:170.9pt;z-index:251719680;mso-width-relative:page;mso-height-relative:page;" coordsize="21600,21600" o:gfxdata="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3Ovk&#10;q9gAAAAKAQAADwAAAAAAAAABACAAAAAiAAAAZHJzL2Rvd25yZXYueG1sUEsBAhQAFAAAAAgAh07i&#10;QJnBWxXpAQAA3wMAAA4AAAAAAAAAAQAgAAAAJwEAAGRycy9lMm9Eb2MueG1sUEsFBgAAAAAGAAYA&#10;WQEAAIIFAAAAAA==&#10;">
            <v:path/>
            <v:fill focussize="0,0"/>
            <v:stroke/>
            <v:imagedata o:title=""/>
            <o:lock v:ext="edit"/>
            <v:textbox>
              <w:txbxContent>
                <w:p w14:paraId="7235BE58">
                  <w:pPr>
                    <w:jc w:val="center"/>
                  </w:pPr>
                  <w:r>
                    <w:rPr>
                      <w:rFonts w:hint="eastAsia"/>
                    </w:rPr>
                    <w:t>综合管理部</w:t>
                  </w:r>
                </w:p>
              </w:txbxContent>
            </v:textbox>
          </v:rect>
        </w:pict>
      </w:r>
    </w:p>
    <w:p w14:paraId="65EE5760">
      <w:r>
        <w:pict>
          <v:line id="_x0000_s2094" o:spid="_x0000_s2094" o:spt="20" style="position:absolute;left:0pt;margin-left:160.75pt;margin-top:26.7pt;height:23.25pt;width:0.05pt;z-index:251735040;mso-width-relative:page;mso-height-relative:page;" coordsize="21600,21600" o:gfxdata="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j+S0HaAAAA&#10;CQEAAA8AAAAAAAAAAQAgAAAAIgAAAGRycy9kb3ducmV2LnhtbFBLAQIUABQAAAAIAIdO4kCy5oN9&#10;4gEAAJ8DAAAOAAAAAAAAAAEAIAAAACkBAABkcnMvZTJvRG9jLnhtbFBLBQYAAAAABgAGAFkBAAB9&#10;BQAAAAA=&#10;">
            <v:path arrowok="t"/>
            <v:fill focussize="0,0"/>
            <v:stroke endarrow="block"/>
            <v:imagedata o:title=""/>
            <o:lock v:ext="edit"/>
          </v:line>
        </w:pict>
      </w:r>
      <w:r>
        <w:pict>
          <v:rect id="_x0000_s2093" o:spid="_x0000_s2093" o:spt="1" style="position:absolute;left:0pt;margin-left:301.7pt;margin-top:13.2pt;height:309.65pt;width:154.15pt;z-index:251722752;mso-width-relative:page;mso-height-relative:page;" coordsize="21600,21600" o:gfxdata="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O4XSXZAAAACgEAAA8AAAAAAAAAAQAgAAAAIgAAAGRycy9kb3ducmV2LnhtbFBLAQIUABQAAAAI&#10;AIdO4kAnRY/G7AEAAOADAAAOAAAAAAAAAAEAIAAAACgBAABkcnMvZTJvRG9jLnhtbFBLBQYAAAAA&#10;BgAGAFkBAACGBQAAAAA=&#10;">
            <v:path/>
            <v:fill focussize="0,0"/>
            <v:stroke/>
            <v:imagedata o:title=""/>
            <o:lock v:ext="edit"/>
            <v:textbox>
              <w:txbxContent>
                <w:p w14:paraId="506B5E43">
                  <w:pPr>
                    <w:spacing w:line="500" w:lineRule="exact"/>
                    <w:jc w:val="center"/>
                    <w:rPr>
                      <w:sz w:val="28"/>
                    </w:rPr>
                  </w:pPr>
                  <w:r>
                    <w:rPr>
                      <w:rFonts w:hint="eastAsia"/>
                      <w:sz w:val="28"/>
                    </w:rPr>
                    <w:t>经济发展部</w:t>
                  </w:r>
                </w:p>
                <w:p w14:paraId="0828FB08">
                  <w:pPr>
                    <w:spacing w:line="500" w:lineRule="exact"/>
                    <w:jc w:val="center"/>
                    <w:rPr>
                      <w:sz w:val="28"/>
                    </w:rPr>
                  </w:pPr>
                  <w:r>
                    <w:rPr>
                      <w:rFonts w:hint="eastAsia"/>
                      <w:sz w:val="28"/>
                    </w:rPr>
                    <w:t>综合管理部</w:t>
                  </w:r>
                </w:p>
                <w:p w14:paraId="4A64C30A">
                  <w:pPr>
                    <w:spacing w:line="500" w:lineRule="exact"/>
                    <w:jc w:val="center"/>
                    <w:rPr>
                      <w:sz w:val="28"/>
                    </w:rPr>
                  </w:pPr>
                  <w:r>
                    <w:rPr>
                      <w:rFonts w:hint="eastAsia"/>
                      <w:sz w:val="28"/>
                    </w:rPr>
                    <w:t>应急管理局</w:t>
                  </w:r>
                </w:p>
                <w:p w14:paraId="0484A326">
                  <w:pPr>
                    <w:spacing w:line="500" w:lineRule="exact"/>
                    <w:jc w:val="center"/>
                    <w:rPr>
                      <w:sz w:val="28"/>
                    </w:rPr>
                  </w:pPr>
                  <w:r>
                    <w:rPr>
                      <w:rFonts w:hint="eastAsia"/>
                      <w:sz w:val="28"/>
                    </w:rPr>
                    <w:t>马山街道办事处</w:t>
                  </w:r>
                </w:p>
                <w:p w14:paraId="750FE379">
                  <w:pPr>
                    <w:spacing w:line="500" w:lineRule="exact"/>
                    <w:jc w:val="center"/>
                    <w:rPr>
                      <w:rFonts w:eastAsia="仿宋_GB2312"/>
                      <w:sz w:val="28"/>
                    </w:rPr>
                  </w:pPr>
                  <w:r>
                    <w:rPr>
                      <w:rFonts w:hint="eastAsia"/>
                      <w:sz w:val="28"/>
                    </w:rPr>
                    <w:t>金山湾管理处</w:t>
                  </w:r>
                </w:p>
                <w:p w14:paraId="563A4315">
                  <w:pPr>
                    <w:spacing w:line="500" w:lineRule="exact"/>
                    <w:jc w:val="center"/>
                    <w:rPr>
                      <w:sz w:val="28"/>
                    </w:rPr>
                  </w:pPr>
                  <w:r>
                    <w:rPr>
                      <w:rFonts w:hint="eastAsia"/>
                      <w:sz w:val="28"/>
                    </w:rPr>
                    <w:t>规划国土建设部</w:t>
                  </w:r>
                </w:p>
                <w:p w14:paraId="0C226AB3">
                  <w:pPr>
                    <w:spacing w:line="500" w:lineRule="exact"/>
                    <w:jc w:val="center"/>
                    <w:rPr>
                      <w:sz w:val="28"/>
                    </w:rPr>
                  </w:pPr>
                  <w:r>
                    <w:rPr>
                      <w:rFonts w:hint="eastAsia"/>
                      <w:sz w:val="28"/>
                    </w:rPr>
                    <w:t>综合行政执法局</w:t>
                  </w:r>
                </w:p>
                <w:p w14:paraId="575CD116">
                  <w:pPr>
                    <w:spacing w:line="500" w:lineRule="exact"/>
                    <w:jc w:val="center"/>
                    <w:rPr>
                      <w:sz w:val="28"/>
                    </w:rPr>
                  </w:pPr>
                  <w:r>
                    <w:rPr>
                      <w:rFonts w:hint="eastAsia"/>
                      <w:sz w:val="28"/>
                    </w:rPr>
                    <w:t>生态环境分局</w:t>
                  </w:r>
                </w:p>
                <w:p w14:paraId="2492EACF">
                  <w:pPr>
                    <w:spacing w:line="500" w:lineRule="exact"/>
                    <w:jc w:val="center"/>
                    <w:rPr>
                      <w:sz w:val="28"/>
                    </w:rPr>
                  </w:pPr>
                  <w:r>
                    <w:rPr>
                      <w:rFonts w:hint="eastAsia"/>
                      <w:sz w:val="28"/>
                    </w:rPr>
                    <w:t>公安分局</w:t>
                  </w:r>
                </w:p>
                <w:p w14:paraId="14225E8F">
                  <w:pPr>
                    <w:spacing w:line="500" w:lineRule="exact"/>
                    <w:jc w:val="center"/>
                    <w:rPr>
                      <w:sz w:val="28"/>
                    </w:rPr>
                  </w:pPr>
                  <w:r>
                    <w:rPr>
                      <w:rFonts w:hint="eastAsia"/>
                      <w:sz w:val="28"/>
                    </w:rPr>
                    <w:t>交警五大队</w:t>
                  </w:r>
                </w:p>
                <w:p w14:paraId="5F3DD3BA">
                  <w:pPr>
                    <w:spacing w:line="500" w:lineRule="exact"/>
                    <w:jc w:val="center"/>
                    <w:rPr>
                      <w:sz w:val="28"/>
                    </w:rPr>
                  </w:pPr>
                  <w:r>
                    <w:rPr>
                      <w:rFonts w:hint="eastAsia"/>
                      <w:sz w:val="28"/>
                    </w:rPr>
                    <w:t>财政金融部</w:t>
                  </w:r>
                </w:p>
                <w:p w14:paraId="607FD1E0">
                  <w:pPr>
                    <w:spacing w:line="500" w:lineRule="exact"/>
                    <w:jc w:val="center"/>
                    <w:rPr>
                      <w:sz w:val="28"/>
                    </w:rPr>
                  </w:pPr>
                  <w:r>
                    <w:rPr>
                      <w:rFonts w:hint="eastAsia"/>
                      <w:sz w:val="28"/>
                    </w:rPr>
                    <w:t>卫生健康管理办公室</w:t>
                  </w:r>
                </w:p>
              </w:txbxContent>
            </v:textbox>
          </v:rect>
        </w:pict>
      </w:r>
    </w:p>
    <w:p w14:paraId="32A23F54">
      <w:r>
        <w:pict>
          <v:rect id="_x0000_s2092" o:spid="_x0000_s2092" o:spt="1" style="position:absolute;left:0pt;margin-left:71.05pt;margin-top:24.9pt;height:48.45pt;width:176.3pt;z-index:251730944;mso-width-relative:page;mso-height-relative:page;" coordsize="21600,21600" o:gfxdata="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hFeo/&#10;1wAAAAoBAAAPAAAAAAAAAAEAIAAAACIAAABkcnMvZG93bnJldi54bWxQSwECFAAUAAAACACHTuJA&#10;+P045ekBAADfAwAADgAAAAAAAAABACAAAAAmAQAAZHJzL2Uyb0RvYy54bWxQSwUGAAAAAAYABgBZ&#10;AQAAgQUAAAAA&#10;">
            <v:path/>
            <v:fill focussize="0,0"/>
            <v:stroke/>
            <v:imagedata o:title=""/>
            <o:lock v:ext="edit"/>
            <v:textbox>
              <w:txbxContent>
                <w:p w14:paraId="49FF84CF">
                  <w:pPr>
                    <w:spacing w:line="400" w:lineRule="exact"/>
                    <w:jc w:val="center"/>
                    <w:rPr>
                      <w:rFonts w:eastAsia="仿宋_GB2312"/>
                    </w:rPr>
                  </w:pPr>
                  <w:r>
                    <w:rPr>
                      <w:rFonts w:hint="eastAsia"/>
                    </w:rPr>
                    <w:t>工委委员、管委副主任荆永杰</w:t>
                  </w:r>
                </w:p>
              </w:txbxContent>
            </v:textbox>
          </v:rect>
        </w:pict>
      </w:r>
    </w:p>
    <w:p w14:paraId="5F8C099F"/>
    <w:p w14:paraId="5321C0CF">
      <w:r>
        <w:pict>
          <v:line id="_x0000_s2091" o:spid="_x0000_s2091" o:spt="20" style="position:absolute;left:0pt;margin-left:159.45pt;margin-top:14pt;height:24pt;width:0.25pt;z-index:251731968;mso-width-relative:page;mso-height-relative:page;" coordsize="21600,21600" o:gfxdata="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bJLw&#10;2gAAAAkBAAAPAAAAAAAAAAEAIAAAACIAAABkcnMvZG93bnJldi54bWxQSwECFAAUAAAACACHTuJA&#10;UR0xaeYBAACgAwAADgAAAAAAAAABACAAAAApAQAAZHJzL2Uyb0RvYy54bWxQSwUGAAAAAAYABgBZ&#10;AQAAgQUAAAAA&#10;">
            <v:path arrowok="t"/>
            <v:fill focussize="0,0"/>
            <v:stroke endarrow="block"/>
            <v:imagedata o:title=""/>
            <o:lock v:ext="edit"/>
          </v:line>
        </w:pict>
      </w:r>
    </w:p>
    <w:p w14:paraId="6DE3C820">
      <w:r>
        <w:pict>
          <v:rect id="_x0000_s2090" o:spid="_x0000_s2090" o:spt="1" style="position:absolute;left:0pt;margin-left:78.85pt;margin-top:10.05pt;height:48.4pt;width:172.6pt;z-index:251720704;mso-width-relative:page;mso-height-relative:page;" coordsize="21600,21600" o:gfxdata="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Yg&#10;vuLXAAAACgEAAA8AAAAAAAAAAQAgAAAAIgAAAGRycy9kb3ducmV2LnhtbFBLAQIUABQAAAAIAIdO&#10;4kAuHh/V6wEAAN8DAAAOAAAAAAAAAAEAIAAAACYBAABkcnMvZTJvRG9jLnhtbFBLBQYAAAAABgAG&#10;AFkBAACDBQAAAAA=&#10;">
            <v:path/>
            <v:fill focussize="0,0"/>
            <v:stroke/>
            <v:imagedata o:title=""/>
            <o:lock v:ext="edit"/>
            <v:textbox>
              <w:txbxContent>
                <w:p w14:paraId="4ABC3485">
                  <w:pPr>
                    <w:spacing w:line="400" w:lineRule="exact"/>
                    <w:jc w:val="center"/>
                  </w:pPr>
                  <w:r>
                    <w:rPr>
                      <w:rFonts w:hint="eastAsia"/>
                    </w:rPr>
                    <w:t>成立突发事件应急领导小组</w:t>
                  </w:r>
                </w:p>
              </w:txbxContent>
            </v:textbox>
          </v:rect>
        </w:pict>
      </w:r>
    </w:p>
    <w:p w14:paraId="3BA995E2">
      <w:r>
        <w:pict>
          <v:line id="_x0000_s2089" o:spid="_x0000_s2089" o:spt="20" style="position:absolute;left:0pt;margin-left:252.2pt;margin-top:4.55pt;height:0.05pt;width:47.25pt;z-index:251728896;mso-width-relative:page;mso-height-relative:page;" coordsize="21600,21600" o:gfxdata="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qILi3XAAAABwEA&#10;AA8AAAAAAAAAAQAgAAAAIgAAAGRycy9kb3ducmV2LnhtbFBLAQIUABQAAAAIAIdO4kBQvQru4gEA&#10;AJ8DAAAOAAAAAAAAAAEAIAAAACYBAABkcnMvZTJvRG9jLnhtbFBLBQYAAAAABgAGAFkBAAB6BQAA&#10;AAA=&#10;">
            <v:path arrowok="t"/>
            <v:fill focussize="0,0"/>
            <v:stroke endarrow="block"/>
            <v:imagedata o:title=""/>
            <o:lock v:ext="edit"/>
          </v:line>
        </w:pict>
      </w:r>
    </w:p>
    <w:p w14:paraId="78A87FB6">
      <w:r>
        <w:pict>
          <v:line id="_x0000_s2088" o:spid="_x0000_s2088" o:spt="20" style="position:absolute;left:0pt;margin-left:159.45pt;margin-top:3.3pt;height:24.75pt;width:0.05pt;z-index:251726848;mso-width-relative:page;mso-height-relative:page;" coordsize="21600,21600" o:gfxdata="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v+mMHZAAAA&#10;CAEAAA8AAAAAAAAAAQAgAAAAIgAAAGRycy9kb3ducmV2LnhtbFBLAQIUABQAAAAIAIdO4kBbOUUA&#10;4wEAAJ8DAAAOAAAAAAAAAAEAIAAAACgBAABkcnMvZTJvRG9jLnhtbFBLBQYAAAAABgAGAFkBAAB9&#10;BQAAAAA=&#10;">
            <v:path arrowok="t"/>
            <v:fill focussize="0,0"/>
            <v:stroke endarrow="block"/>
            <v:imagedata o:title=""/>
            <o:lock v:ext="edit"/>
          </v:line>
        </w:pict>
      </w:r>
      <w:r>
        <w:pict>
          <v:rect id="_x0000_s2087" o:spid="_x0000_s2087" o:spt="1" style="position:absolute;left:0pt;margin-left:85.6pt;margin-top:27.3pt;height:32.55pt;width:144pt;z-index:251721728;mso-width-relative:page;mso-height-relative:page;" coordsize="21600,21600" o:gfxdata="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6trZ&#10;2AAAAAoBAAAPAAAAAAAAAAEAIAAAACIAAABkcnMvZG93bnJldi54bWxQSwECFAAUAAAACACHTuJA&#10;iG7xV+gBAADfAwAADgAAAAAAAAABACAAAAAnAQAAZHJzL2Uyb0RvYy54bWxQSwUGAAAAAAYABgBZ&#10;AQAAgQUAAAAA&#10;">
            <v:path/>
            <v:fill focussize="0,0"/>
            <v:stroke/>
            <v:imagedata o:title=""/>
            <o:lock v:ext="edit"/>
            <v:textbox>
              <w:txbxContent>
                <w:p w14:paraId="64D6A2CD">
                  <w:r>
                    <w:rPr>
                      <w:rFonts w:hint="eastAsia"/>
                    </w:rPr>
                    <w:t>应急处置各项工作</w:t>
                  </w:r>
                </w:p>
              </w:txbxContent>
            </v:textbox>
          </v:rect>
        </w:pict>
      </w:r>
    </w:p>
    <w:p w14:paraId="30FF8A1C">
      <w:r>
        <w:pict>
          <v:line id="_x0000_s2086" o:spid="_x0000_s2086" o:spt="20" style="position:absolute;left:0pt;flip:x;margin-left:229.6pt;margin-top:-0.25pt;height:0.05pt;width:69pt;z-index:251729920;mso-width-relative:page;mso-height-relative:page;" coordsize="21600,21600" o:gfxdata="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Bs&#10;eTzWAAAABwEAAA8AAAAAAAAAAQAgAAAAIgAAAGRycy9kb3ducmV2LnhtbFBLAQIUABQAAAAIAIdO&#10;4kDihRy37AEAAKkDAAAOAAAAAAAAAAEAIAAAACUBAABkcnMvZTJvRG9jLnhtbFBLBQYAAAAABgAG&#10;AFkBAACDBQAAAAA=&#10;">
            <v:path arrowok="t"/>
            <v:fill focussize="0,0"/>
            <v:stroke endarrow="block"/>
            <v:imagedata o:title=""/>
            <o:lock v:ext="edit"/>
          </v:line>
        </w:pict>
      </w:r>
    </w:p>
    <w:p w14:paraId="6EA941C2">
      <w:r>
        <w:pict>
          <v:line id="_x0000_s2085" o:spid="_x0000_s2085" o:spt="20" style="position:absolute;left:0pt;margin-left:159.65pt;margin-top:2.45pt;height:27pt;width:0.05pt;z-index:251727872;mso-width-relative:page;mso-height-relative:page;" coordsize="21600,21600" o:gfxdata="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xECt9gA&#10;AAAIAQAADwAAAAAAAAABACAAAAAiAAAAZHJzL2Rvd25yZXYueG1sUEsBAhQAFAAAAAgAh07iQLbo&#10;ML7mAQAAnwMAAA4AAAAAAAAAAQAgAAAAJwEAAGRycy9lMm9Eb2MueG1sUEsFBgAAAAAGAAYAWQEA&#10;AH8FAAAAAA==&#10;">
            <v:path arrowok="t"/>
            <v:fill focussize="0,0"/>
            <v:stroke endarrow="block"/>
            <v:imagedata o:title=""/>
            <o:lock v:ext="edit"/>
          </v:line>
        </w:pict>
      </w:r>
    </w:p>
    <w:p w14:paraId="0A7CD011">
      <w:r>
        <w:pict>
          <v:rect id="_x0000_s2084" o:spid="_x0000_s2084" o:spt="1" style="position:absolute;left:0pt;margin-left:94.6pt;margin-top:0.75pt;height:31.2pt;width:135pt;z-index:251723776;mso-width-relative:page;mso-height-relative:page;" coordsize="21600,21600" o:gfxdata="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h&#10;Vk9G1gAAAAgBAAAPAAAAAAAAAAEAIAAAACIAAABkcnMvZG93bnJldi54bWxQSwECFAAUAAAACACH&#10;TuJAOVkm/+0BAADfAwAADgAAAAAAAAABACAAAAAlAQAAZHJzL2Uyb0RvYy54bWxQSwUGAAAAAAYA&#10;BgBZAQAAhAUAAAAA&#10;">
            <v:path/>
            <v:fill focussize="0,0"/>
            <v:stroke/>
            <v:imagedata o:title=""/>
            <o:lock v:ext="edit"/>
            <v:textbox>
              <w:txbxContent>
                <w:p w14:paraId="51C01C15">
                  <w:pPr>
                    <w:jc w:val="center"/>
                  </w:pPr>
                  <w:r>
                    <w:rPr>
                      <w:rFonts w:hint="eastAsia"/>
                    </w:rPr>
                    <w:t>应急结束</w:t>
                  </w:r>
                </w:p>
              </w:txbxContent>
            </v:textbox>
          </v:rect>
        </w:pict>
      </w:r>
    </w:p>
    <w:p w14:paraId="1D6C1FA3">
      <w:r>
        <w:pict>
          <v:line id="_x0000_s2083" o:spid="_x0000_s2083" o:spt="20" style="position:absolute;left:0pt;margin-left:160.05pt;margin-top:3.25pt;height:27pt;width:0.05pt;z-index:251734016;mso-width-relative:page;mso-height-relative:page;" coordsize="21600,21600" o:gfxdata="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l2dAn1wAA&#10;AAgBAAAPAAAAAAAAAAEAIAAAACIAAABkcnMvZG93bnJldi54bWxQSwECFAAUAAAACACHTuJAfVfh&#10;g+YBAACfAwAADgAAAAAAAAABACAAAAAmAQAAZHJzL2Uyb0RvYy54bWxQSwUGAAAAAAYABgBZAQAA&#10;fgUAAAAA&#10;">
            <v:path arrowok="t"/>
            <v:fill focussize="0,0"/>
            <v:stroke endarrow="block"/>
            <v:imagedata o:title=""/>
            <o:lock v:ext="edit"/>
          </v:line>
        </w:pict>
      </w:r>
    </w:p>
    <w:p w14:paraId="74628896">
      <w:r>
        <w:pict>
          <v:rect id="_x0000_s2082" o:spid="_x0000_s2082" o:spt="1" style="position:absolute;left:0pt;margin-left:89.4pt;margin-top:1.55pt;height:37.35pt;width:140.2pt;z-index:251724800;mso-width-relative:page;mso-height-relative:page;" coordsize="21600,21600" o:gfxdata="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CK+k9YA&#10;AAAIAQAADwAAAAAAAAABACAAAAAiAAAAZHJzL2Rvd25yZXYueG1sUEsBAhQAFAAAAAgAh07iQFPR&#10;QCToAQAA3wMAAA4AAAAAAAAAAQAgAAAAJQEAAGRycy9lMm9Eb2MueG1sUEsFBgAAAAAGAAYAWQEA&#10;AH8FAAAAAA==&#10;">
            <v:path/>
            <v:fill focussize="0,0"/>
            <v:stroke/>
            <v:imagedata o:title=""/>
            <o:lock v:ext="edit"/>
            <v:textbox>
              <w:txbxContent>
                <w:p w14:paraId="1D6BFA97">
                  <w:pPr>
                    <w:jc w:val="center"/>
                  </w:pPr>
                  <w:r>
                    <w:rPr>
                      <w:rFonts w:hint="eastAsia"/>
                    </w:rPr>
                    <w:t>善后处理</w:t>
                  </w:r>
                </w:p>
              </w:txbxContent>
            </v:textbox>
          </v:rect>
        </w:pict>
      </w:r>
    </w:p>
    <w:p w14:paraId="4638C7C1">
      <w:pPr>
        <w:tabs>
          <w:tab w:val="left" w:pos="1264"/>
        </w:tabs>
        <w:spacing w:line="240" w:lineRule="exact"/>
      </w:pPr>
    </w:p>
    <w:p w14:paraId="6810F2B9">
      <w:pPr>
        <w:spacing w:beforeLines="100" w:afterLines="100" w:line="56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烟台高新区特种设备安全事故专项应急预案</w:t>
      </w:r>
    </w:p>
    <w:p w14:paraId="685F2855">
      <w:pPr>
        <w:spacing w:line="560" w:lineRule="exact"/>
        <w:ind w:firstLine="632" w:firstLineChars="200"/>
        <w:rPr>
          <w:rFonts w:ascii="黑体" w:hAnsi="黑体" w:eastAsia="黑体"/>
          <w:sz w:val="32"/>
          <w:szCs w:val="32"/>
        </w:rPr>
      </w:pPr>
      <w:r>
        <w:rPr>
          <w:rFonts w:hint="eastAsia" w:ascii="黑体" w:hAnsi="黑体" w:eastAsia="黑体" w:cs="黑体"/>
          <w:sz w:val="32"/>
          <w:szCs w:val="32"/>
        </w:rPr>
        <w:t>一、总则</w:t>
      </w:r>
    </w:p>
    <w:p w14:paraId="1ACFDFBA">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（一）编制目的</w:t>
      </w:r>
    </w:p>
    <w:p w14:paraId="70C908CA">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为进一步规范特种设备安全事故应急管理，完善应急救援体系，增强事故预防和处置能力，及时有效地控制和消除突发性灾害，最大限度地减少人员伤亡、财产损失，维护人民群众的生命安全和社会稳定，结合高新区实际，制定本预案。</w:t>
      </w:r>
    </w:p>
    <w:p w14:paraId="3BB62BC7">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（二）</w:t>
      </w:r>
      <w:r>
        <w:rPr>
          <w:rFonts w:hint="eastAsia" w:ascii="楷体_GB2312" w:hAnsi="楷体_GB2312" w:eastAsia="楷体_GB2312" w:cs="楷体_GB2312"/>
          <w:sz w:val="32"/>
          <w:szCs w:val="32"/>
        </w:rPr>
        <w:t>编制依据</w:t>
      </w:r>
    </w:p>
    <w:p w14:paraId="34D15B82">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《中华人民共和国突发事件应对法》《中华人民共和国安全生产法》《中华人民共和国特种设备安全法》《特种设备安全监察条例》等法律法规及有关规范性文件。</w:t>
      </w:r>
    </w:p>
    <w:p w14:paraId="0E272898">
      <w:pPr>
        <w:numPr>
          <w:ilvl w:val="0"/>
          <w:numId w:val="7"/>
        </w:numPr>
        <w:spacing w:line="560" w:lineRule="exact"/>
        <w:ind w:firstLine="632" w:firstLineChars="200"/>
        <w:rPr>
          <w:rFonts w:ascii="楷体_GB2312" w:hAnsi="楷体_GB2312" w:eastAsia="楷体_GB2312"/>
          <w:sz w:val="32"/>
          <w:szCs w:val="32"/>
        </w:rPr>
      </w:pPr>
      <w:r>
        <w:rPr>
          <w:rFonts w:hint="eastAsia" w:ascii="楷体_GB2312" w:hAnsi="楷体_GB2312" w:eastAsia="楷体_GB2312" w:cs="楷体_GB2312"/>
          <w:sz w:val="32"/>
          <w:szCs w:val="32"/>
        </w:rPr>
        <w:t>工作原则</w:t>
      </w:r>
    </w:p>
    <w:p w14:paraId="67DB85B0">
      <w:pPr>
        <w:spacing w:line="560" w:lineRule="exact"/>
        <w:ind w:firstLine="632"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以人为本，预防为主。在应急工作中，始终把保障人民群众生命安全和身体健康作为应急工作的首要任务，同时加强应急人员的安全防护，最大限度地预防和减少事故造成的人员伤亡、财产损失和公共危害。</w:t>
      </w:r>
    </w:p>
    <w:p w14:paraId="4049F078">
      <w:pPr>
        <w:spacing w:line="560" w:lineRule="exact"/>
        <w:ind w:firstLine="632"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统一领导，属地为主。在区管委的统一领导下，有关部门及单位各负其责，动员社会力量，全力实施应急。区管委为事故应急处置的主体。</w:t>
      </w:r>
    </w:p>
    <w:p w14:paraId="4948970F">
      <w:pPr>
        <w:spacing w:line="560" w:lineRule="exact"/>
        <w:ind w:firstLine="632"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完善体系，有效衔接。区管委专项预案、有关部门预案、使用单位特种设备事故应急预案应有效衔接，形成完善的应急体系。</w:t>
      </w:r>
    </w:p>
    <w:p w14:paraId="60FB2CAB">
      <w:pPr>
        <w:spacing w:line="560" w:lineRule="exact"/>
        <w:ind w:firstLine="632"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科学救援，依法规范。在应急工作中，尊重科学和专业，尊重专家的意见，充分发挥专家的作用。依靠科技进步，不断改进和完善应急装备、设施和手段。依法规范和完善应急工作，不断提高应急工作的科学性、有效性和规范性。</w:t>
      </w:r>
    </w:p>
    <w:p w14:paraId="7E5C5B65">
      <w:pPr>
        <w:spacing w:line="560" w:lineRule="exact"/>
        <w:ind w:firstLine="632" w:firstLineChars="200"/>
        <w:rPr>
          <w:rFonts w:ascii="??_GB2312" w:eastAsia="Times New Roman"/>
          <w:sz w:val="32"/>
          <w:szCs w:val="32"/>
        </w:rPr>
      </w:pPr>
      <w:r>
        <w:rPr>
          <w:rFonts w:hint="eastAsia" w:ascii="楷体_GB2312" w:eastAsia="楷体_GB2312" w:cs="楷体_GB2312"/>
          <w:sz w:val="32"/>
          <w:szCs w:val="32"/>
        </w:rPr>
        <w:t>（四）适用范围</w:t>
      </w:r>
    </w:p>
    <w:p w14:paraId="7FCB253F">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本预案适用于烟台高新区区域内发生的一般及以上特种设备安全事故的应对工作。特种设备事故分类详见《特种设备事故分级》（附件</w:t>
      </w:r>
      <w:r>
        <w:rPr>
          <w:rFonts w:ascii="仿宋_GB2312" w:eastAsia="仿宋_GB2312" w:cs="仿宋_GB2312"/>
          <w:sz w:val="32"/>
          <w:szCs w:val="32"/>
        </w:rPr>
        <w:t>1</w:t>
      </w:r>
      <w:r>
        <w:rPr>
          <w:rFonts w:hint="eastAsia" w:ascii="仿宋_GB2312" w:eastAsia="仿宋_GB2312" w:cs="仿宋_GB2312"/>
          <w:sz w:val="32"/>
          <w:szCs w:val="32"/>
        </w:rPr>
        <w:t>）</w:t>
      </w:r>
    </w:p>
    <w:p w14:paraId="686D708A">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（五）危险目标的确定</w:t>
      </w:r>
    </w:p>
    <w:p w14:paraId="78BA7589">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根据我区实际，易发生特种设备安全事故的目标主要有：</w:t>
      </w:r>
    </w:p>
    <w:p w14:paraId="7AF57DE4">
      <w:pPr>
        <w:spacing w:line="560" w:lineRule="exact"/>
        <w:ind w:firstLine="632"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锅炉；</w:t>
      </w:r>
    </w:p>
    <w:p w14:paraId="735713B3">
      <w:pPr>
        <w:spacing w:line="560" w:lineRule="exact"/>
        <w:ind w:firstLine="632"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企业盛装易燃、易爆、有毒介质的压力容器；</w:t>
      </w:r>
    </w:p>
    <w:p w14:paraId="05F9E522">
      <w:pPr>
        <w:spacing w:line="560" w:lineRule="exact"/>
        <w:ind w:firstLine="632"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输送有毒、易燃、易爆的工艺介质的工业压力管道；</w:t>
      </w:r>
    </w:p>
    <w:p w14:paraId="0F003ED9">
      <w:pPr>
        <w:spacing w:line="560" w:lineRule="exact"/>
        <w:ind w:firstLine="632"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涉及公共安全的客运电梯等。</w:t>
      </w:r>
    </w:p>
    <w:p w14:paraId="0442BC9F">
      <w:pPr>
        <w:spacing w:line="560" w:lineRule="exact"/>
        <w:ind w:firstLine="632" w:firstLineChars="200"/>
        <w:rPr>
          <w:rFonts w:ascii="黑体" w:hAnsi="黑体" w:eastAsia="黑体"/>
          <w:sz w:val="32"/>
          <w:szCs w:val="32"/>
        </w:rPr>
      </w:pPr>
      <w:r>
        <w:rPr>
          <w:rFonts w:hint="eastAsia" w:ascii="黑体" w:hAnsi="黑体" w:eastAsia="黑体" w:cs="黑体"/>
          <w:sz w:val="32"/>
          <w:szCs w:val="32"/>
        </w:rPr>
        <w:t>二、组织指挥体系及职责</w:t>
      </w:r>
    </w:p>
    <w:p w14:paraId="20B0E84C">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（一）应急领导小组</w:t>
      </w:r>
    </w:p>
    <w:p w14:paraId="130E8101">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在高新区工委、管委的统一领导下，成立烟台高新区特种设备安全事故应急领导小组，区管委分管副主任担任组长，成员由马山街道办事处、金山湾管理处、区综合管理部、党群工作部、财政金融部、公安分局、市场监管分局、生态环境分局、卫生健康管理办公室、应急管理分局、消防大队等单位分管负责人组成。</w:t>
      </w:r>
    </w:p>
    <w:p w14:paraId="780DA7BD">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应急领导小组职责：宣布特种设备一般事故应急预案应急响应启动（终止）等事项，建立和完善应急组织体系和应急预案，及时了解掌握企业特种设备安全事故情况，及时向区管委和上级业务主管部门报告事故情况，组织协调、调动有关部门和社会各界力量参与救援，调配所需的救援物资</w:t>
      </w:r>
      <w:r>
        <w:rPr>
          <w:rFonts w:ascii="仿宋_GB2312" w:eastAsia="仿宋_GB2312" w:cs="仿宋_GB2312"/>
          <w:sz w:val="32"/>
          <w:szCs w:val="32"/>
        </w:rPr>
        <w:t>,</w:t>
      </w:r>
      <w:r>
        <w:rPr>
          <w:rFonts w:hint="eastAsia" w:ascii="仿宋_GB2312" w:eastAsia="仿宋_GB2312" w:cs="仿宋_GB2312"/>
          <w:sz w:val="32"/>
          <w:szCs w:val="32"/>
        </w:rPr>
        <w:t>组织开展应急预案宣传教育工作。</w:t>
      </w:r>
    </w:p>
    <w:p w14:paraId="14C6DC9D">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（二）应急领导小组办公室</w:t>
      </w:r>
    </w:p>
    <w:p w14:paraId="507B33FB">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应急领导小组办公室设在市场监管分局，由市场监管分局局长兼任办公室主任。</w:t>
      </w:r>
    </w:p>
    <w:p w14:paraId="06D217B7">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应急领导小组办公室职责：具体负责联络协调和承办领导小组交办的有关事项及应急救援预案的制定、修改和演练等工作。</w:t>
      </w:r>
    </w:p>
    <w:p w14:paraId="1D0EBF34">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（三）成员单位职责</w:t>
      </w:r>
    </w:p>
    <w:p w14:paraId="55378D1C">
      <w:pPr>
        <w:spacing w:line="560" w:lineRule="exact"/>
        <w:ind w:firstLine="632"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综合管理部：负责向市政府办公室及有关领导上报事故信息，接受传达市政府办公室的重要指示；指导事故调查处置部门及时发布权威信息；负责适时发布有关信息，对媒体关于突发事件的报道进行引导，把握正确舆论导向；</w:t>
      </w:r>
    </w:p>
    <w:p w14:paraId="50AE7EAA">
      <w:pPr>
        <w:spacing w:line="560" w:lineRule="exact"/>
        <w:ind w:firstLine="632"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市场监管分局：负责组织特种设备专家对应急现场处置、证据保全进行专业技术指导，分析事故和灾害情况，提出救援的技术措施，为救援指挥部决策提出科学的意见和建议；</w:t>
      </w:r>
    </w:p>
    <w:p w14:paraId="50CCFA59">
      <w:pPr>
        <w:spacing w:line="560" w:lineRule="exact"/>
        <w:ind w:firstLine="632"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区公安分局：负责组织、维持事故现场秩序，参与事故调查；</w:t>
      </w:r>
    </w:p>
    <w:p w14:paraId="065A6C05">
      <w:pPr>
        <w:spacing w:line="560" w:lineRule="exact"/>
        <w:ind w:firstLine="632"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消防大队：负责组织消防救援人员先期到达事故现场，制定先期救援处置方案并组织实施；</w:t>
      </w:r>
    </w:p>
    <w:p w14:paraId="5C25EC51">
      <w:pPr>
        <w:spacing w:line="560" w:lineRule="exact"/>
        <w:ind w:firstLine="632" w:firstLineChars="200"/>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生态环境分局：负责对事故现场及周围环境进行应急监测，提供专业建议；</w:t>
      </w:r>
    </w:p>
    <w:p w14:paraId="61070D3D">
      <w:pPr>
        <w:spacing w:line="560" w:lineRule="exact"/>
        <w:ind w:firstLine="632" w:firstLineChars="200"/>
        <w:rPr>
          <w:rFonts w:ascii="仿宋_GB2312" w:eastAsia="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卫生健康管理办公室：负责组织专家及医疗队伍对受伤人员进行医疗救治；</w:t>
      </w:r>
    </w:p>
    <w:p w14:paraId="3719B30D">
      <w:pPr>
        <w:spacing w:line="560" w:lineRule="exact"/>
        <w:ind w:firstLine="632" w:firstLineChars="200"/>
        <w:rPr>
          <w:rFonts w:ascii="仿宋_GB2312" w:eastAsia="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应急管理分局：负责参与特种设备事故的应急救援及调查事故处理工作；</w:t>
      </w:r>
    </w:p>
    <w:p w14:paraId="0909F8D2">
      <w:pPr>
        <w:spacing w:line="560" w:lineRule="exact"/>
        <w:ind w:firstLine="632" w:firstLineChars="200"/>
        <w:rPr>
          <w:rFonts w:ascii="仿宋_GB2312" w:eastAsia="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马山街道办事处、金山湾管理处、党群工作部、财政金融部及有关保险机构：负责对事故中伤亡人员及家属按国家政策规定进行安抚、抚恤、理赔等善后处理工作。</w:t>
      </w:r>
    </w:p>
    <w:p w14:paraId="50156B9A">
      <w:pPr>
        <w:spacing w:line="560" w:lineRule="exact"/>
        <w:ind w:firstLine="632" w:firstLineChars="200"/>
        <w:rPr>
          <w:rFonts w:ascii="黑体" w:hAnsi="黑体" w:eastAsia="黑体"/>
          <w:sz w:val="32"/>
          <w:szCs w:val="32"/>
        </w:rPr>
      </w:pPr>
      <w:r>
        <w:rPr>
          <w:rFonts w:hint="eastAsia" w:ascii="黑体" w:hAnsi="黑体" w:eastAsia="黑体" w:cs="黑体"/>
          <w:sz w:val="32"/>
          <w:szCs w:val="32"/>
        </w:rPr>
        <w:t>三、预测预警</w:t>
      </w:r>
    </w:p>
    <w:p w14:paraId="63CFD861">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市场监管分局应掌握辖区内的特种设备分布等基本情况，并定期分析、研判辖区内的特种设备安全状况，对特种设备生产使用单位的重大安全隐患督促其落实整改，不断提高特种设备安全的保障水平。</w:t>
      </w:r>
    </w:p>
    <w:p w14:paraId="793DC228">
      <w:pPr>
        <w:spacing w:line="560" w:lineRule="exact"/>
        <w:ind w:firstLine="632" w:firstLineChars="200"/>
        <w:rPr>
          <w:rFonts w:ascii="黑体" w:hAnsi="黑体" w:eastAsia="黑体"/>
          <w:sz w:val="32"/>
          <w:szCs w:val="32"/>
        </w:rPr>
      </w:pPr>
      <w:r>
        <w:rPr>
          <w:rFonts w:hint="eastAsia" w:ascii="黑体" w:hAnsi="黑体" w:eastAsia="黑体" w:cs="黑体"/>
          <w:sz w:val="32"/>
          <w:szCs w:val="32"/>
        </w:rPr>
        <w:t>四、事故应急处置</w:t>
      </w:r>
    </w:p>
    <w:p w14:paraId="2EFBB4B5">
      <w:pPr>
        <w:spacing w:line="560" w:lineRule="exact"/>
        <w:ind w:firstLine="632" w:firstLineChars="200"/>
        <w:rPr>
          <w:rFonts w:ascii="黑体" w:hAnsi="黑体" w:eastAsia="黑体"/>
          <w:sz w:val="32"/>
          <w:szCs w:val="32"/>
        </w:rPr>
      </w:pPr>
      <w:r>
        <w:rPr>
          <w:rFonts w:hint="eastAsia" w:ascii="楷体_GB2312" w:eastAsia="楷体_GB2312" w:cs="楷体_GB2312"/>
          <w:sz w:val="32"/>
          <w:szCs w:val="32"/>
        </w:rPr>
        <w:t>（一）事故报告</w:t>
      </w:r>
    </w:p>
    <w:p w14:paraId="386733A2">
      <w:pPr>
        <w:spacing w:line="560" w:lineRule="exact"/>
        <w:ind w:firstLine="632"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发生特种设备事故后，事故发生单位应立即报告区市场监管分局和负有安全生产监督管理职责的部门。</w:t>
      </w:r>
    </w:p>
    <w:p w14:paraId="077FB31B">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区市场监管分局和负有安全生产监督管理职责的部门应尽快核实情况，并立即报告区应急管理分局，同时上报区综合管理部；发生特种设备一般以上事故后，区市场监管分局、应急管理分局应当于30分钟内将事故报告上报市市场监管局、市应急管理局。</w:t>
      </w:r>
    </w:p>
    <w:p w14:paraId="7D13E2DD">
      <w:pPr>
        <w:spacing w:line="560" w:lineRule="exact"/>
        <w:ind w:firstLine="632"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事故报告的主要内容：事故发生单位的名称、地址、性质等基本情况；事故发生的时间、地点以及事故现场情况；发生事故设备的有关参数；事故的简要经过、已经造成或者可能造成的伤亡人数（包括下落不明的人数）和初步估计的直接经济损失；事故原因、性质的初步判断；事故抢救处理的情况和采取的措施；需要有关部门单位协助事故抢救和处理的有关事宜；事故报告单位、签发人、报告时间、报告人联系电话。</w:t>
      </w:r>
    </w:p>
    <w:p w14:paraId="67728353">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事故快报的内容可以适当简化，具体情况不清楚的，可以先报告事故总体情况。</w:t>
      </w:r>
    </w:p>
    <w:p w14:paraId="1273F2ED">
      <w:pPr>
        <w:spacing w:line="560" w:lineRule="exact"/>
        <w:ind w:firstLine="632"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事故报告电话：区管委值班室：</w:t>
      </w:r>
      <w:r>
        <w:rPr>
          <w:rFonts w:ascii="仿宋_GB2312" w:eastAsia="仿宋_GB2312" w:cs="仿宋_GB2312"/>
          <w:sz w:val="32"/>
          <w:szCs w:val="32"/>
        </w:rPr>
        <w:t>6922001</w:t>
      </w:r>
      <w:r>
        <w:rPr>
          <w:rFonts w:hint="eastAsia" w:ascii="仿宋_GB2312" w:eastAsia="仿宋_GB2312" w:cs="仿宋_GB2312"/>
          <w:sz w:val="32"/>
          <w:szCs w:val="32"/>
        </w:rPr>
        <w:t>；区市场监管分局值班室：</w:t>
      </w:r>
      <w:r>
        <w:rPr>
          <w:rFonts w:ascii="仿宋_GB2312" w:eastAsia="仿宋_GB2312" w:cs="仿宋_GB2312"/>
          <w:sz w:val="32"/>
          <w:szCs w:val="32"/>
        </w:rPr>
        <w:t>692</w:t>
      </w:r>
      <w:r>
        <w:rPr>
          <w:rFonts w:hint="eastAsia" w:ascii="仿宋_GB2312" w:eastAsia="仿宋_GB2312" w:cs="仿宋_GB2312"/>
          <w:sz w:val="32"/>
          <w:szCs w:val="32"/>
        </w:rPr>
        <w:t>5395；区应急管理分局值班室：</w:t>
      </w:r>
      <w:r>
        <w:rPr>
          <w:rFonts w:ascii="仿宋_GB2312" w:eastAsia="仿宋_GB2312" w:cs="仿宋_GB2312"/>
          <w:sz w:val="32"/>
          <w:szCs w:val="32"/>
        </w:rPr>
        <w:t>6755119</w:t>
      </w:r>
      <w:r>
        <w:rPr>
          <w:rFonts w:hint="eastAsia" w:ascii="仿宋_GB2312" w:eastAsia="仿宋_GB2312" w:cs="仿宋_GB2312"/>
          <w:sz w:val="32"/>
          <w:szCs w:val="32"/>
        </w:rPr>
        <w:t>、</w:t>
      </w:r>
      <w:r>
        <w:rPr>
          <w:rFonts w:ascii="仿宋_GB2312" w:eastAsia="仿宋_GB2312" w:cs="仿宋_GB2312"/>
          <w:sz w:val="32"/>
          <w:szCs w:val="32"/>
        </w:rPr>
        <w:t>6922119</w:t>
      </w:r>
      <w:r>
        <w:rPr>
          <w:rFonts w:hint="eastAsia" w:ascii="仿宋_GB2312" w:eastAsia="仿宋_GB2312" w:cs="仿宋_GB2312"/>
          <w:sz w:val="32"/>
          <w:szCs w:val="32"/>
        </w:rPr>
        <w:t>；市市场监督管理局应急值班电话：</w:t>
      </w:r>
      <w:r>
        <w:rPr>
          <w:rFonts w:ascii="仿宋_GB2312" w:eastAsia="仿宋_GB2312" w:cs="仿宋_GB2312"/>
          <w:sz w:val="32"/>
          <w:szCs w:val="32"/>
        </w:rPr>
        <w:t>6920111</w:t>
      </w:r>
      <w:r>
        <w:rPr>
          <w:rFonts w:hint="eastAsia" w:ascii="仿宋_GB2312" w:eastAsia="仿宋_GB2312" w:cs="仿宋_GB2312"/>
          <w:sz w:val="32"/>
          <w:szCs w:val="32"/>
        </w:rPr>
        <w:t>。</w:t>
      </w:r>
    </w:p>
    <w:p w14:paraId="59778BAD">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（二）启动预案响应</w:t>
      </w:r>
    </w:p>
    <w:p w14:paraId="15753695">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应急领导小组办公室接到特种设备安全事故报告后，根据情况认为有必要启动本应急预案响应的，立即向领导小组请示启动应急预案响应。响应后按照本预案的要求，领导小组各成员单位赶赴现场，开展相关工作。</w:t>
      </w:r>
    </w:p>
    <w:p w14:paraId="6AC911C1">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）涉及特种设备的危化品、燃气、交通、建筑施工等事故，已经启动了相关事故应急预案进行处置的，不再启动本预案。</w:t>
      </w:r>
    </w:p>
    <w:p w14:paraId="35547712">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（三）应急响应与实施</w:t>
      </w:r>
    </w:p>
    <w:p w14:paraId="78382097">
      <w:pPr>
        <w:spacing w:line="560" w:lineRule="exact"/>
        <w:ind w:firstLine="632"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应急响应</w:t>
      </w:r>
    </w:p>
    <w:p w14:paraId="3CC955B7">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本预案启动后，由应急领导小组办公室（区市场监管分局）立即通知各成员单位赶赴现场，成立应急救援指挥部，指挥开展应急救援工作；同时第一时间联系上报市市场监管局，成立专家技术组，对应急及现场处置进行专业技术指导，分析事故和灾害情况，为救援指挥部决策提出科学的意见和建议，提出救援的技术措施和控制、防止事故扩大的措施。</w:t>
      </w:r>
    </w:p>
    <w:p w14:paraId="2C8606AB">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）应急救援指挥部制定救援实施方案，下达救援指令。各有关成员单位、有关专家根据救援实施方案，按照职责分工，开展救援工作。</w:t>
      </w:r>
    </w:p>
    <w:p w14:paraId="26B3C58E">
      <w:pPr>
        <w:spacing w:line="560" w:lineRule="exact"/>
        <w:ind w:firstLine="632"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救援开展</w:t>
      </w:r>
    </w:p>
    <w:p w14:paraId="1224F13B">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）封锁事故现场。对事故现场及周边环境进行评估，划定警戒范围，封锁事故现场。开通应急特别通道，确保应急救援队伍和物资尽快到达事故现场。</w:t>
      </w:r>
    </w:p>
    <w:p w14:paraId="193B3A1E">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）紧急疏散。根据事故的危害程度，及时组织可能受到事故波及的人员，迅速撤离出危险区域或可能受到危害的区域，同时做好自救与互救工作。</w:t>
      </w:r>
    </w:p>
    <w:p w14:paraId="756A37AD">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）抢救人员。组织人员抢救事故现场人员脱离事故现场，对受伤人员进行救护。</w:t>
      </w:r>
    </w:p>
    <w:p w14:paraId="51FD6F42">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危险控制与消除。根据发生事故的特种设备结构和工艺特点以及所发生事故的类型，迅速展开必要的技术检验、检测工作，确认危险物质的类型和特性，制定处置方案，对险情进行控制与消除，防止次生灾害的发生。对特种设备事故引发的危险介质泄漏应设立</w:t>
      </w:r>
      <w:r>
        <w:rPr>
          <w:rFonts w:ascii="仿宋_GB2312" w:eastAsia="仿宋_GB2312" w:cs="仿宋_GB2312"/>
          <w:sz w:val="32"/>
          <w:szCs w:val="32"/>
        </w:rPr>
        <w:t>3</w:t>
      </w:r>
      <w:r>
        <w:rPr>
          <w:rFonts w:hint="eastAsia" w:ascii="仿宋_GB2312" w:eastAsia="仿宋_GB2312" w:cs="仿宋_GB2312"/>
          <w:sz w:val="32"/>
          <w:szCs w:val="32"/>
        </w:rPr>
        <w:t>类工作区域，即危险区域、缓冲区域和安全区域。</w:t>
      </w:r>
    </w:p>
    <w:p w14:paraId="39164DED">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事故现场保护。在抢险救援时，因抢救人员、防止事故扩大以及疏通交通等原因，需要移动事故现场物件的，负责移动的单位或者相关人员应当做出标志，绘制现场图并做出书面记录，妥善保存现场重要痕迹、物证。有条件的，应当现场制作视听资料。配合事故调查组开展事故调查与取证，初步分析事故原因。</w:t>
      </w:r>
    </w:p>
    <w:p w14:paraId="34A56B97">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6</w:t>
      </w:r>
      <w:r>
        <w:rPr>
          <w:rFonts w:hint="eastAsia" w:ascii="仿宋_GB2312" w:eastAsia="仿宋_GB2312" w:cs="仿宋_GB2312"/>
          <w:sz w:val="32"/>
          <w:szCs w:val="32"/>
        </w:rPr>
        <w:t>）清理事故现场。针对事故对人体、动植物、土壤、水源、空气等造成的现实危害和可能发生的危害，迅速采取封闭、隔离、清洗、化学中和等技术措施进行事故后处理，防止继续对人体危害和环境污染。按照国家有关标准，对事故造成的环境危害进行监测并提出处置意见。</w:t>
      </w:r>
    </w:p>
    <w:p w14:paraId="7E7B17D6">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7</w:t>
      </w:r>
      <w:r>
        <w:rPr>
          <w:rFonts w:hint="eastAsia" w:ascii="仿宋_GB2312" w:eastAsia="仿宋_GB2312" w:cs="仿宋_GB2312"/>
          <w:sz w:val="32"/>
          <w:szCs w:val="32"/>
        </w:rPr>
        <w:t>）情况报告。应及时向救援指挥部报告各自应急救援进展情况，救援工作结束由救援指挥部作出撤离现场，结束救援工作的决定。</w:t>
      </w:r>
    </w:p>
    <w:p w14:paraId="1EE764A5">
      <w:pPr>
        <w:spacing w:line="560" w:lineRule="exact"/>
        <w:ind w:firstLine="632"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应急救援结束</w:t>
      </w:r>
    </w:p>
    <w:p w14:paraId="5422DD6A">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在事故险情得以控制，次生、衍生事故隐患已被消除，伤亡人员得到有效救治，承担事件处置工作的各相关部门和现场救援指挥部报请领导小组批准后，作出同意应急结束的决定。</w:t>
      </w:r>
    </w:p>
    <w:p w14:paraId="239505E2">
      <w:pPr>
        <w:spacing w:line="560" w:lineRule="exact"/>
        <w:ind w:firstLine="632"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应急救援处置流程（见附件</w:t>
      </w:r>
      <w:r>
        <w:rPr>
          <w:rFonts w:ascii="仿宋_GB2312" w:eastAsia="仿宋_GB2312" w:cs="仿宋_GB2312"/>
          <w:sz w:val="32"/>
          <w:szCs w:val="32"/>
        </w:rPr>
        <w:t>3</w:t>
      </w:r>
      <w:r>
        <w:rPr>
          <w:rFonts w:hint="eastAsia" w:ascii="仿宋_GB2312" w:eastAsia="仿宋_GB2312" w:cs="仿宋_GB2312"/>
          <w:sz w:val="32"/>
          <w:szCs w:val="32"/>
        </w:rPr>
        <w:t>）。</w:t>
      </w:r>
    </w:p>
    <w:p w14:paraId="4F3D135B">
      <w:pPr>
        <w:spacing w:line="560" w:lineRule="exact"/>
        <w:ind w:firstLine="632" w:firstLineChars="200"/>
        <w:rPr>
          <w:rFonts w:ascii="黑体" w:hAnsi="黑体" w:eastAsia="黑体"/>
          <w:sz w:val="32"/>
          <w:szCs w:val="32"/>
        </w:rPr>
      </w:pPr>
      <w:r>
        <w:rPr>
          <w:rFonts w:hint="eastAsia" w:ascii="黑体" w:hAnsi="黑体" w:eastAsia="黑体" w:cs="黑体"/>
          <w:sz w:val="32"/>
          <w:szCs w:val="32"/>
        </w:rPr>
        <w:t>五、后期处置</w:t>
      </w:r>
    </w:p>
    <w:p w14:paraId="4AC25D35">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（一）善后处置</w:t>
      </w:r>
    </w:p>
    <w:p w14:paraId="1EB72B08">
      <w:pPr>
        <w:spacing w:line="560" w:lineRule="exact"/>
        <w:ind w:firstLine="632"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事故的善后处置工作，由马山街道办事处、金山湾管理处、区综合管理部、党群工作部、卫生健康管理办公室等相关部门参加，组成善后工作处置小组，负责处置灾后重建、疫病控制、物资和劳务征用、人员安置及赔偿等善后工作。</w:t>
      </w:r>
    </w:p>
    <w:p w14:paraId="7A59C4F3">
      <w:pPr>
        <w:spacing w:line="560" w:lineRule="exact"/>
        <w:ind w:firstLine="632"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事故发生单位应当组织有资质的单位对特种设备进行全面检修，经检验合格后方可重新投入使用。严重损毁、无维修价值的，应当予以报废。涉及到毒性介质泄漏、污染或邻近设备设施损坏的，应经生态环境分局、市场监管分局等部门检查并提出意见后，方可开展修复工作。</w:t>
      </w:r>
    </w:p>
    <w:p w14:paraId="74E3B3A6">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（二）事故调查</w:t>
      </w:r>
    </w:p>
    <w:p w14:paraId="638B1202">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按照事故调查的权限，由区市场监管分局牵头组织联合调查组或配合上级事故调查组，对事故的起因、性质、影响、责任、经验教训等进行调查，事故责任单位要予以配合，形成调查报告，报区管委和应急管理分局。</w:t>
      </w:r>
    </w:p>
    <w:p w14:paraId="370A9E27">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（三）总结与评估</w:t>
      </w:r>
    </w:p>
    <w:p w14:paraId="4978C9CA">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区应急领导小组办公室负责收集、整理应急救援工作的记录、方案、文件等资料，对应急救援预案的启动、决策、指挥和后勤保障等全过程进行评估，分析总结应急救援经验教训，提出改进的意见和建议。应急工作总结由区管委汇总、归档备案，并向市政府报告。</w:t>
      </w:r>
    </w:p>
    <w:p w14:paraId="135A42C3">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（四）新闻发布与报道</w:t>
      </w:r>
    </w:p>
    <w:p w14:paraId="016CE972">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事故发生后，一般事故，由区应急领导小组审核同意后，统一向社会发布有关信息，其余事故按规定上报，由市一级审核和发布。区综合管理部负责对事故现场媒体活动实施管理、协调和指导。</w:t>
      </w:r>
    </w:p>
    <w:p w14:paraId="058E3CA1">
      <w:pPr>
        <w:spacing w:line="560" w:lineRule="exact"/>
        <w:ind w:firstLine="632" w:firstLineChars="200"/>
        <w:rPr>
          <w:rFonts w:ascii="黑体" w:hAnsi="黑体" w:eastAsia="黑体"/>
          <w:sz w:val="32"/>
          <w:szCs w:val="32"/>
        </w:rPr>
      </w:pPr>
      <w:r>
        <w:rPr>
          <w:rFonts w:hint="eastAsia" w:ascii="黑体" w:hAnsi="黑体" w:eastAsia="黑体" w:cs="黑体"/>
          <w:sz w:val="32"/>
          <w:szCs w:val="32"/>
        </w:rPr>
        <w:t>六、保障措施</w:t>
      </w:r>
    </w:p>
    <w:p w14:paraId="50964F38">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（一）通信与信息保障</w:t>
      </w:r>
    </w:p>
    <w:p w14:paraId="137F1813">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各成员单位要加强值班电话管理，实行</w:t>
      </w:r>
      <w:r>
        <w:rPr>
          <w:rFonts w:ascii="仿宋_GB2312" w:eastAsia="仿宋_GB2312" w:cs="仿宋_GB2312"/>
          <w:sz w:val="32"/>
          <w:szCs w:val="32"/>
        </w:rPr>
        <w:t>24</w:t>
      </w:r>
      <w:r>
        <w:rPr>
          <w:rFonts w:hint="eastAsia" w:ascii="仿宋_GB2312" w:eastAsia="仿宋_GB2312" w:cs="仿宋_GB2312"/>
          <w:sz w:val="32"/>
          <w:szCs w:val="32"/>
        </w:rPr>
        <w:t>小时值守制度，随时接收、处理事故应急救援信息（见附件</w:t>
      </w:r>
      <w:r>
        <w:rPr>
          <w:rFonts w:ascii="仿宋_GB2312" w:eastAsia="仿宋_GB2312" w:cs="仿宋_GB2312"/>
          <w:sz w:val="32"/>
          <w:szCs w:val="32"/>
        </w:rPr>
        <w:t>2</w:t>
      </w:r>
      <w:r>
        <w:rPr>
          <w:rFonts w:hint="eastAsia" w:ascii="仿宋_GB2312" w:eastAsia="仿宋_GB2312" w:cs="仿宋_GB2312"/>
          <w:sz w:val="32"/>
          <w:szCs w:val="32"/>
        </w:rPr>
        <w:t>）。</w:t>
      </w:r>
    </w:p>
    <w:p w14:paraId="1F31FCA5">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（二）应急救援队伍保障</w:t>
      </w:r>
    </w:p>
    <w:p w14:paraId="20091266">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区消防大队是事故应急救援的主要力量，各企业应急救援队伍是事故应急救援的辅助力量。没有条件组建专业应急救援队伍的企业，要建立兼职救援队伍或指定专门的应急救援人员。</w:t>
      </w:r>
    </w:p>
    <w:p w14:paraId="3C3B2D89">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（三）应急救援装备及物资保障</w:t>
      </w:r>
    </w:p>
    <w:p w14:paraId="2CD64042">
      <w:pPr>
        <w:spacing w:line="560" w:lineRule="exact"/>
        <w:ind w:firstLine="632"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救援装备和物资保障</w:t>
      </w:r>
    </w:p>
    <w:p w14:paraId="5A44186E">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各专业部门和企业应急救援队伍必须按标准配齐应急救援装备和防护装备，建立相应的维护保养制度，保障各种相关灾害事件的抢险和救援。</w:t>
      </w:r>
    </w:p>
    <w:p w14:paraId="0937C307">
      <w:pPr>
        <w:spacing w:line="560" w:lineRule="exact"/>
        <w:ind w:firstLine="632"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应急救援资金保障</w:t>
      </w:r>
    </w:p>
    <w:p w14:paraId="7C92494A">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各企业应做好必要的应急救援资金储备，应急救援资金首先由事故责任单位承担。</w:t>
      </w:r>
    </w:p>
    <w:p w14:paraId="7E567C86">
      <w:pPr>
        <w:spacing w:line="560" w:lineRule="exact"/>
        <w:ind w:firstLine="632" w:firstLineChars="200"/>
        <w:rPr>
          <w:rFonts w:ascii="楷体_GB2312" w:hAnsi="楷体_GB2312" w:eastAsia="楷体_GB2312"/>
          <w:sz w:val="32"/>
          <w:szCs w:val="32"/>
        </w:rPr>
      </w:pPr>
      <w:r>
        <w:rPr>
          <w:rFonts w:hint="eastAsia" w:ascii="楷体_GB2312" w:hAnsi="楷体_GB2312" w:eastAsia="楷体_GB2312" w:cs="楷体_GB2312"/>
          <w:kern w:val="0"/>
          <w:sz w:val="32"/>
          <w:szCs w:val="32"/>
        </w:rPr>
        <w:t>（四）医疗保障</w:t>
      </w:r>
      <w:r>
        <w:rPr>
          <w:rFonts w:ascii="楷体_GB2312" w:hAnsi="楷体_GB2312" w:eastAsia="楷体_GB2312" w:cs="楷体_GB2312"/>
          <w:kern w:val="0"/>
          <w:sz w:val="32"/>
          <w:szCs w:val="32"/>
        </w:rPr>
        <w:t xml:space="preserve"> </w:t>
      </w:r>
    </w:p>
    <w:p w14:paraId="2B2A132E">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卫生健康管理办公室要负责加强医疗救援能力建设，强化应急救援培训，确保事故发生后能够及时有效开展医疗卫生救援工作。</w:t>
      </w:r>
    </w:p>
    <w:p w14:paraId="0F17D0C2">
      <w:pPr>
        <w:spacing w:line="560" w:lineRule="exact"/>
        <w:ind w:firstLine="632" w:firstLineChars="200"/>
        <w:rPr>
          <w:rFonts w:ascii="楷体_GB2312" w:hAnsi="楷体_GB2312" w:eastAsia="楷体_GB2312"/>
        </w:rPr>
      </w:pPr>
      <w:r>
        <w:rPr>
          <w:rFonts w:hint="eastAsia" w:ascii="楷体_GB2312" w:hAnsi="楷体_GB2312" w:eastAsia="楷体_GB2312" w:cs="楷体_GB2312"/>
          <w:kern w:val="0"/>
          <w:sz w:val="32"/>
          <w:szCs w:val="32"/>
        </w:rPr>
        <w:t>（五）治安保障</w:t>
      </w:r>
      <w:r>
        <w:rPr>
          <w:rFonts w:ascii="楷体_GB2312" w:hAnsi="楷体_GB2312" w:eastAsia="楷体_GB2312" w:cs="楷体_GB2312"/>
          <w:kern w:val="0"/>
          <w:sz w:val="32"/>
          <w:szCs w:val="32"/>
        </w:rPr>
        <w:t xml:space="preserve"> </w:t>
      </w:r>
    </w:p>
    <w:p w14:paraId="6697DCF6">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公安分局负责应急处置工作中的治安维护。事故发生地街道办事处（管理处）和有关单位要积极组织群众，协助公安部门维护治安秩序。</w:t>
      </w:r>
    </w:p>
    <w:p w14:paraId="35F2C5E2">
      <w:pPr>
        <w:spacing w:line="560" w:lineRule="exact"/>
        <w:ind w:firstLine="632" w:firstLineChars="200"/>
        <w:rPr>
          <w:rFonts w:ascii="黑体" w:hAnsi="黑体" w:eastAsia="黑体"/>
          <w:sz w:val="32"/>
          <w:szCs w:val="32"/>
        </w:rPr>
      </w:pPr>
      <w:r>
        <w:rPr>
          <w:rFonts w:hint="eastAsia" w:ascii="黑体" w:hAnsi="黑体" w:eastAsia="黑体" w:cs="黑体"/>
          <w:sz w:val="32"/>
          <w:szCs w:val="32"/>
        </w:rPr>
        <w:t>七、宣传、培训和演练</w:t>
      </w:r>
    </w:p>
    <w:p w14:paraId="1BFC7B1D">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（一）宣传</w:t>
      </w:r>
    </w:p>
    <w:p w14:paraId="0EAFB953">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应急领导小组各成员单位、相关部门和工矿企业要加强应急救援工作的宣传、教育力度，广泛宣传应急救援常识及事故的预防、避险、自救、互救等科学知识，增强应急救援人员和从业人员的应急救援意识。</w:t>
      </w:r>
    </w:p>
    <w:p w14:paraId="4BD0A4AE">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（二）培训</w:t>
      </w:r>
    </w:p>
    <w:p w14:paraId="7E6E35D7">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应急领导小组各相关成员单位，消防大队、特种设备使用单位等应急救援队伍的负责人和应急救援人员应按照有关规定参加岗前和常规性技能培训和战备训练，提高应急队伍的综合素质，确保救援队伍的战斗力。</w:t>
      </w:r>
    </w:p>
    <w:p w14:paraId="1F91AD1C">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（三）演练</w:t>
      </w:r>
    </w:p>
    <w:p w14:paraId="6AF3E213">
      <w:pPr>
        <w:spacing w:line="560" w:lineRule="exact"/>
        <w:ind w:firstLine="632"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企业应当根据本单位特点，按照国家规定定期组织本单位的特种设备安全事故应急救援预案演练，每年至少一次。</w:t>
      </w:r>
    </w:p>
    <w:p w14:paraId="382CC2FD">
      <w:pPr>
        <w:spacing w:line="560" w:lineRule="exact"/>
        <w:ind w:firstLine="632"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演练结束后，应及时进行总结评估，评价演练效果，评审应急预案的充分性和有效性，并把演练评审报告上报主管部门和市场监管分局。</w:t>
      </w:r>
    </w:p>
    <w:p w14:paraId="1C83D034">
      <w:pPr>
        <w:spacing w:line="560" w:lineRule="exact"/>
        <w:ind w:firstLine="632" w:firstLineChars="200"/>
        <w:rPr>
          <w:rFonts w:ascii="黑体" w:hAnsi="黑体" w:eastAsia="黑体"/>
          <w:sz w:val="32"/>
          <w:szCs w:val="32"/>
        </w:rPr>
      </w:pPr>
      <w:r>
        <w:rPr>
          <w:rFonts w:hint="eastAsia" w:ascii="黑体" w:hAnsi="黑体" w:eastAsia="黑体" w:cs="黑体"/>
          <w:sz w:val="32"/>
          <w:szCs w:val="32"/>
        </w:rPr>
        <w:t>八、附则</w:t>
      </w:r>
    </w:p>
    <w:p w14:paraId="47F83DC3">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（一）预案管理</w:t>
      </w:r>
    </w:p>
    <w:p w14:paraId="1BD92B2A">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本预案所依据的法律法规、所涉及的机构和职能发生重大改变，或在执行中发现不足，由区市场监管分局组织成员单位修订。</w:t>
      </w:r>
    </w:p>
    <w:p w14:paraId="4FA67E7B">
      <w:pPr>
        <w:spacing w:line="560" w:lineRule="exact"/>
        <w:ind w:firstLine="632" w:firstLineChars="200"/>
        <w:rPr>
          <w:rFonts w:ascii="楷体_GB2312" w:eastAsia="楷体_GB2312"/>
          <w:sz w:val="32"/>
          <w:szCs w:val="32"/>
        </w:rPr>
      </w:pPr>
      <w:r>
        <w:rPr>
          <w:rFonts w:hint="eastAsia" w:ascii="楷体_GB2312" w:eastAsia="楷体_GB2312" w:cs="楷体_GB2312"/>
          <w:sz w:val="32"/>
          <w:szCs w:val="32"/>
        </w:rPr>
        <w:t>（二）预案解释部门</w:t>
      </w:r>
    </w:p>
    <w:p w14:paraId="715124AF">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本预案由区市场监管分局负责解释。</w:t>
      </w:r>
    </w:p>
    <w:p w14:paraId="1F553BF5">
      <w:pPr>
        <w:spacing w:line="560" w:lineRule="exact"/>
        <w:ind w:firstLine="632" w:firstLineChars="200"/>
        <w:rPr>
          <w:rFonts w:ascii="??_GB2312" w:eastAsia="Times New Roman"/>
          <w:sz w:val="32"/>
          <w:szCs w:val="32"/>
        </w:rPr>
      </w:pPr>
    </w:p>
    <w:p w14:paraId="07064CCC">
      <w:pPr>
        <w:spacing w:line="560" w:lineRule="exact"/>
        <w:ind w:firstLine="632" w:firstLineChars="200"/>
        <w:rPr>
          <w:rFonts w:ascii="仿宋_GB2312" w:eastAsia="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1.</w:t>
      </w:r>
      <w:r>
        <w:rPr>
          <w:rFonts w:hint="eastAsia" w:ascii="仿宋_GB2312" w:eastAsia="仿宋_GB2312" w:cs="仿宋_GB2312"/>
          <w:sz w:val="32"/>
          <w:szCs w:val="32"/>
        </w:rPr>
        <w:t>特种设备事故分级</w:t>
      </w:r>
    </w:p>
    <w:p w14:paraId="0B63A940">
      <w:pPr>
        <w:spacing w:line="560" w:lineRule="exact"/>
        <w:ind w:firstLine="632" w:firstLineChars="200"/>
        <w:rPr>
          <w:rFonts w:ascii="仿宋_GB2312" w:eastAsia="仿宋_GB2312"/>
          <w:sz w:val="32"/>
          <w:szCs w:val="32"/>
        </w:rPr>
      </w:pPr>
      <w:r>
        <w:rPr>
          <w:rFonts w:ascii="仿宋_GB2312" w:eastAsia="仿宋_GB2312" w:cs="仿宋_GB2312"/>
          <w:sz w:val="32"/>
          <w:szCs w:val="32"/>
        </w:rPr>
        <w:t xml:space="preserve">      2.</w:t>
      </w:r>
      <w:r>
        <w:rPr>
          <w:rFonts w:hint="eastAsia" w:ascii="仿宋_GB2312" w:eastAsia="仿宋_GB2312" w:cs="仿宋_GB2312"/>
          <w:sz w:val="32"/>
          <w:szCs w:val="32"/>
        </w:rPr>
        <w:t>各成员单位应急值班通讯录</w:t>
      </w:r>
    </w:p>
    <w:p w14:paraId="7BF3D1A7">
      <w:pPr>
        <w:spacing w:line="560" w:lineRule="exact"/>
        <w:ind w:firstLine="632" w:firstLineChars="200"/>
        <w:rPr>
          <w:rFonts w:ascii="仿宋_GB2312" w:eastAsia="仿宋_GB2312"/>
          <w:sz w:val="32"/>
          <w:szCs w:val="32"/>
        </w:rPr>
      </w:pPr>
      <w:r>
        <w:rPr>
          <w:rFonts w:ascii="仿宋_GB2312" w:eastAsia="仿宋_GB2312" w:cs="仿宋_GB2312"/>
          <w:sz w:val="32"/>
          <w:szCs w:val="32"/>
        </w:rPr>
        <w:t xml:space="preserve">      3.</w:t>
      </w:r>
      <w:r>
        <w:rPr>
          <w:rFonts w:hint="eastAsia" w:ascii="仿宋_GB2312" w:eastAsia="仿宋_GB2312" w:cs="仿宋_GB2312"/>
          <w:sz w:val="32"/>
          <w:szCs w:val="32"/>
        </w:rPr>
        <w:t>特种设备安全事故应急救援处置流程</w:t>
      </w:r>
    </w:p>
    <w:p w14:paraId="481E2AB9">
      <w:pPr>
        <w:autoSpaceDE w:val="0"/>
        <w:autoSpaceDN w:val="0"/>
        <w:adjustRightInd w:val="0"/>
        <w:spacing w:line="560" w:lineRule="exact"/>
        <w:ind w:firstLine="632" w:firstLineChars="200"/>
        <w:rPr>
          <w:rFonts w:ascii="??_GB2312" w:eastAsia="Times New Roman"/>
          <w:kern w:val="0"/>
          <w:sz w:val="32"/>
          <w:szCs w:val="32"/>
          <w:lang w:val="zh-CN"/>
        </w:rPr>
      </w:pPr>
    </w:p>
    <w:p w14:paraId="128C8159">
      <w:pPr>
        <w:autoSpaceDE w:val="0"/>
        <w:autoSpaceDN w:val="0"/>
        <w:adjustRightInd w:val="0"/>
        <w:spacing w:line="560" w:lineRule="exact"/>
        <w:ind w:firstLine="632" w:firstLineChars="200"/>
        <w:rPr>
          <w:rFonts w:ascii="??_GB2312"/>
          <w:kern w:val="0"/>
          <w:sz w:val="32"/>
          <w:szCs w:val="32"/>
          <w:lang w:val="zh-CN"/>
        </w:rPr>
      </w:pPr>
    </w:p>
    <w:p w14:paraId="19A5C535">
      <w:pPr>
        <w:autoSpaceDE w:val="0"/>
        <w:autoSpaceDN w:val="0"/>
        <w:adjustRightInd w:val="0"/>
        <w:spacing w:line="560" w:lineRule="exact"/>
        <w:ind w:firstLine="632" w:firstLineChars="200"/>
        <w:rPr>
          <w:rFonts w:ascii="??_GB2312" w:eastAsia="Times New Roman"/>
          <w:kern w:val="0"/>
          <w:sz w:val="32"/>
          <w:szCs w:val="32"/>
          <w:lang w:val="zh-CN"/>
        </w:rPr>
      </w:pPr>
    </w:p>
    <w:p w14:paraId="34565EDB">
      <w:pPr>
        <w:autoSpaceDE w:val="0"/>
        <w:autoSpaceDN w:val="0"/>
        <w:adjustRightInd w:val="0"/>
        <w:spacing w:line="560" w:lineRule="exact"/>
        <w:ind w:firstLine="632" w:firstLineChars="200"/>
        <w:rPr>
          <w:rFonts w:ascii="??_GB2312" w:eastAsia="Times New Roman"/>
          <w:kern w:val="0"/>
          <w:sz w:val="32"/>
          <w:szCs w:val="32"/>
          <w:lang w:val="zh-CN"/>
        </w:rPr>
      </w:pPr>
    </w:p>
    <w:p w14:paraId="0DB4DA79">
      <w:pPr>
        <w:autoSpaceDE w:val="0"/>
        <w:autoSpaceDN w:val="0"/>
        <w:adjustRightInd w:val="0"/>
        <w:spacing w:line="560" w:lineRule="exact"/>
        <w:ind w:firstLine="632" w:firstLineChars="200"/>
        <w:rPr>
          <w:rFonts w:ascii="??_GB2312" w:eastAsia="Times New Roman"/>
          <w:kern w:val="0"/>
          <w:sz w:val="32"/>
          <w:szCs w:val="32"/>
          <w:lang w:val="zh-CN"/>
        </w:rPr>
      </w:pPr>
    </w:p>
    <w:p w14:paraId="524FEE5E">
      <w:pPr>
        <w:autoSpaceDE w:val="0"/>
        <w:autoSpaceDN w:val="0"/>
        <w:adjustRightInd w:val="0"/>
        <w:spacing w:line="560" w:lineRule="exact"/>
        <w:ind w:firstLine="632" w:firstLineChars="200"/>
        <w:rPr>
          <w:rFonts w:ascii="??_GB2312" w:eastAsia="Times New Roman"/>
          <w:kern w:val="0"/>
          <w:sz w:val="32"/>
          <w:szCs w:val="32"/>
          <w:lang w:val="zh-CN"/>
        </w:rPr>
      </w:pPr>
    </w:p>
    <w:p w14:paraId="1709D4AC">
      <w:pPr>
        <w:autoSpaceDE w:val="0"/>
        <w:autoSpaceDN w:val="0"/>
        <w:adjustRightInd w:val="0"/>
        <w:spacing w:line="560" w:lineRule="exact"/>
        <w:ind w:firstLine="632" w:firstLineChars="200"/>
        <w:rPr>
          <w:rFonts w:ascii="??_GB2312" w:eastAsia="Times New Roman"/>
          <w:kern w:val="0"/>
          <w:sz w:val="32"/>
          <w:szCs w:val="32"/>
          <w:lang w:val="zh-CN"/>
        </w:rPr>
      </w:pPr>
    </w:p>
    <w:p w14:paraId="2E70ACAE">
      <w:pPr>
        <w:autoSpaceDE w:val="0"/>
        <w:autoSpaceDN w:val="0"/>
        <w:adjustRightInd w:val="0"/>
        <w:spacing w:line="560" w:lineRule="exact"/>
        <w:ind w:firstLine="632" w:firstLineChars="200"/>
        <w:rPr>
          <w:rFonts w:ascii="??_GB2312" w:eastAsia="Times New Roman"/>
          <w:kern w:val="0"/>
          <w:sz w:val="32"/>
          <w:szCs w:val="32"/>
          <w:lang w:val="zh-CN"/>
        </w:rPr>
      </w:pPr>
    </w:p>
    <w:p w14:paraId="4ECF727E">
      <w:pPr>
        <w:autoSpaceDE w:val="0"/>
        <w:autoSpaceDN w:val="0"/>
        <w:adjustRightInd w:val="0"/>
        <w:spacing w:line="560" w:lineRule="exact"/>
        <w:ind w:firstLine="632" w:firstLineChars="200"/>
        <w:rPr>
          <w:rFonts w:ascii="??_GB2312" w:eastAsia="Times New Roman"/>
          <w:kern w:val="0"/>
          <w:sz w:val="32"/>
          <w:szCs w:val="32"/>
          <w:lang w:val="zh-CN"/>
        </w:rPr>
      </w:pPr>
    </w:p>
    <w:p w14:paraId="25B848B3">
      <w:pPr>
        <w:autoSpaceDE w:val="0"/>
        <w:autoSpaceDN w:val="0"/>
        <w:adjustRightInd w:val="0"/>
        <w:spacing w:line="560" w:lineRule="exact"/>
        <w:ind w:firstLine="632" w:firstLineChars="200"/>
        <w:rPr>
          <w:rFonts w:ascii="??_GB2312" w:eastAsia="Times New Roman"/>
          <w:kern w:val="0"/>
          <w:sz w:val="32"/>
          <w:szCs w:val="32"/>
          <w:lang w:val="zh-CN"/>
        </w:rPr>
      </w:pPr>
    </w:p>
    <w:p w14:paraId="0C41150A">
      <w:pPr>
        <w:autoSpaceDE w:val="0"/>
        <w:autoSpaceDN w:val="0"/>
        <w:adjustRightInd w:val="0"/>
        <w:spacing w:line="560" w:lineRule="exact"/>
        <w:ind w:firstLine="632" w:firstLineChars="200"/>
        <w:rPr>
          <w:rFonts w:ascii="??_GB2312" w:eastAsia="Times New Roman"/>
          <w:kern w:val="0"/>
          <w:sz w:val="32"/>
          <w:szCs w:val="32"/>
          <w:lang w:val="zh-CN"/>
        </w:rPr>
      </w:pPr>
    </w:p>
    <w:p w14:paraId="1C92EA0D">
      <w:pPr>
        <w:autoSpaceDE w:val="0"/>
        <w:autoSpaceDN w:val="0"/>
        <w:adjustRightInd w:val="0"/>
        <w:spacing w:line="560" w:lineRule="exact"/>
        <w:ind w:firstLine="632" w:firstLineChars="200"/>
        <w:rPr>
          <w:rFonts w:ascii="??_GB2312" w:eastAsia="Times New Roman"/>
          <w:kern w:val="0"/>
          <w:sz w:val="32"/>
          <w:szCs w:val="32"/>
          <w:lang w:val="zh-CN"/>
        </w:rPr>
      </w:pPr>
    </w:p>
    <w:p w14:paraId="4092A46A">
      <w:pPr>
        <w:autoSpaceDE w:val="0"/>
        <w:autoSpaceDN w:val="0"/>
        <w:adjustRightInd w:val="0"/>
        <w:spacing w:line="560" w:lineRule="exact"/>
        <w:ind w:firstLine="632" w:firstLineChars="200"/>
        <w:rPr>
          <w:rFonts w:ascii="??_GB2312" w:eastAsia="Times New Roman"/>
          <w:kern w:val="0"/>
          <w:sz w:val="32"/>
          <w:szCs w:val="32"/>
          <w:lang w:val="zh-CN"/>
        </w:rPr>
      </w:pPr>
    </w:p>
    <w:p w14:paraId="5ECD704E">
      <w:pPr>
        <w:autoSpaceDE w:val="0"/>
        <w:autoSpaceDN w:val="0"/>
        <w:adjustRightInd w:val="0"/>
        <w:spacing w:line="560" w:lineRule="exact"/>
        <w:rPr>
          <w:rFonts w:ascii="黑体" w:hAnsi="黑体" w:eastAsia="黑体" w:cs="黑体"/>
          <w:kern w:val="0"/>
          <w:sz w:val="32"/>
          <w:szCs w:val="32"/>
        </w:rPr>
      </w:pPr>
      <w:r>
        <w:rPr>
          <w:rFonts w:hint="eastAsia" w:ascii="黑体" w:hAnsi="黑体" w:eastAsia="黑体" w:cs="黑体"/>
          <w:kern w:val="0"/>
          <w:sz w:val="32"/>
          <w:szCs w:val="32"/>
          <w:lang w:val="zh-CN"/>
        </w:rPr>
        <w:t>附件</w:t>
      </w:r>
      <w:r>
        <w:rPr>
          <w:rFonts w:hint="eastAsia" w:ascii="黑体" w:hAnsi="黑体" w:eastAsia="黑体" w:cs="黑体"/>
          <w:kern w:val="0"/>
          <w:sz w:val="32"/>
          <w:szCs w:val="32"/>
        </w:rPr>
        <w:t>1</w:t>
      </w:r>
    </w:p>
    <w:p w14:paraId="5D73B347">
      <w:pPr>
        <w:autoSpaceDE w:val="0"/>
        <w:autoSpaceDN w:val="0"/>
        <w:adjustRightInd w:val="0"/>
        <w:spacing w:beforeLines="50" w:afterLines="50" w:line="560" w:lineRule="exact"/>
        <w:jc w:val="center"/>
        <w:rPr>
          <w:rFonts w:eastAsia="方正小标宋简体"/>
          <w:sz w:val="44"/>
          <w:szCs w:val="44"/>
        </w:rPr>
      </w:pPr>
      <w:r>
        <w:rPr>
          <w:rFonts w:hint="eastAsia" w:ascii="方正小标宋简体" w:eastAsia="方正小标宋简体" w:cs="方正小标宋简体"/>
          <w:sz w:val="44"/>
          <w:szCs w:val="44"/>
        </w:rPr>
        <w:t>特种设备事故分级</w:t>
      </w:r>
    </w:p>
    <w:p w14:paraId="786222E9">
      <w:pPr>
        <w:shd w:val="clear" w:color="auto" w:fill="FFFFFF"/>
        <w:spacing w:line="560" w:lineRule="exact"/>
        <w:ind w:firstLine="632" w:firstLineChars="200"/>
        <w:rPr>
          <w:rFonts w:ascii="黑体" w:hAnsi="Arial" w:eastAsia="黑体"/>
          <w:kern w:val="0"/>
          <w:sz w:val="32"/>
          <w:szCs w:val="32"/>
        </w:rPr>
      </w:pPr>
      <w:r>
        <w:rPr>
          <w:rFonts w:hint="eastAsia" w:ascii="黑体" w:hAnsi="Arial" w:eastAsia="黑体" w:cs="黑体"/>
          <w:kern w:val="0"/>
          <w:sz w:val="32"/>
          <w:szCs w:val="32"/>
        </w:rPr>
        <w:t>一、有下列情形之一的为</w:t>
      </w:r>
      <w:r>
        <w:fldChar w:fldCharType="begin"/>
      </w:r>
      <w:r>
        <w:instrText xml:space="preserve"> HYPERLINK "http://baike.baidu.com/view/2455608.htm" </w:instrText>
      </w:r>
      <w:r>
        <w:fldChar w:fldCharType="separate"/>
      </w:r>
      <w:r>
        <w:rPr>
          <w:rStyle w:val="15"/>
          <w:rFonts w:hint="eastAsia" w:ascii="黑体" w:hAnsi="Arial" w:eastAsia="黑体" w:cs="黑体"/>
          <w:color w:val="auto"/>
          <w:kern w:val="0"/>
          <w:sz w:val="32"/>
          <w:szCs w:val="32"/>
          <w:u w:val="none"/>
        </w:rPr>
        <w:t>特别重大事故</w:t>
      </w:r>
      <w:r>
        <w:rPr>
          <w:rStyle w:val="15"/>
          <w:rFonts w:hint="eastAsia" w:ascii="黑体" w:hAnsi="Arial" w:eastAsia="黑体" w:cs="黑体"/>
          <w:color w:val="auto"/>
          <w:kern w:val="0"/>
          <w:sz w:val="32"/>
          <w:szCs w:val="32"/>
          <w:u w:val="none"/>
        </w:rPr>
        <w:fldChar w:fldCharType="end"/>
      </w:r>
    </w:p>
    <w:p w14:paraId="6AC5AFC6">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（一）特种设备事故造成</w:t>
      </w:r>
      <w:r>
        <w:rPr>
          <w:rFonts w:ascii="仿宋_GB2312" w:hAnsi="Arial" w:eastAsia="仿宋_GB2312" w:cs="仿宋_GB2312"/>
          <w:kern w:val="0"/>
          <w:sz w:val="32"/>
          <w:szCs w:val="32"/>
        </w:rPr>
        <w:t>30</w:t>
      </w:r>
      <w:r>
        <w:rPr>
          <w:rFonts w:hint="eastAsia" w:ascii="仿宋_GB2312" w:hAnsi="Arial" w:eastAsia="仿宋_GB2312" w:cs="仿宋_GB2312"/>
          <w:kern w:val="0"/>
          <w:sz w:val="32"/>
          <w:szCs w:val="32"/>
        </w:rPr>
        <w:t>人以上死亡，或者</w:t>
      </w:r>
      <w:r>
        <w:rPr>
          <w:rFonts w:ascii="仿宋_GB2312" w:hAnsi="Arial" w:eastAsia="仿宋_GB2312" w:cs="仿宋_GB2312"/>
          <w:kern w:val="0"/>
          <w:sz w:val="32"/>
          <w:szCs w:val="32"/>
        </w:rPr>
        <w:t>100</w:t>
      </w:r>
      <w:r>
        <w:rPr>
          <w:rFonts w:hint="eastAsia" w:ascii="仿宋_GB2312" w:hAnsi="Arial" w:eastAsia="仿宋_GB2312" w:cs="仿宋_GB2312"/>
          <w:kern w:val="0"/>
          <w:sz w:val="32"/>
          <w:szCs w:val="32"/>
        </w:rPr>
        <w:t>人以上重伤（包括急性工业中毒，下同），或者</w:t>
      </w:r>
      <w:r>
        <w:rPr>
          <w:rFonts w:ascii="仿宋_GB2312" w:hAnsi="Arial" w:eastAsia="仿宋_GB2312" w:cs="仿宋_GB2312"/>
          <w:kern w:val="0"/>
          <w:sz w:val="32"/>
          <w:szCs w:val="32"/>
        </w:rPr>
        <w:t>1</w:t>
      </w:r>
      <w:r>
        <w:rPr>
          <w:rFonts w:hint="eastAsia" w:ascii="仿宋_GB2312" w:hAnsi="Arial" w:eastAsia="仿宋_GB2312" w:cs="仿宋_GB2312"/>
          <w:kern w:val="0"/>
          <w:sz w:val="32"/>
          <w:szCs w:val="32"/>
        </w:rPr>
        <w:t>亿元以上</w:t>
      </w:r>
      <w:r>
        <w:fldChar w:fldCharType="begin"/>
      </w:r>
      <w:r>
        <w:instrText xml:space="preserve"> HYPERLINK "http://baike.baidu.com/view/1298491.htm" </w:instrText>
      </w:r>
      <w:r>
        <w:fldChar w:fldCharType="separate"/>
      </w:r>
      <w:r>
        <w:rPr>
          <w:rStyle w:val="15"/>
          <w:rFonts w:hint="eastAsia" w:ascii="仿宋_GB2312" w:hAnsi="Arial" w:eastAsia="仿宋_GB2312" w:cs="仿宋_GB2312"/>
          <w:color w:val="auto"/>
          <w:kern w:val="0"/>
          <w:sz w:val="32"/>
          <w:szCs w:val="32"/>
          <w:u w:val="none"/>
        </w:rPr>
        <w:t>直接经济损失</w:t>
      </w:r>
      <w:r>
        <w:rPr>
          <w:rStyle w:val="15"/>
          <w:rFonts w:hint="eastAsia" w:ascii="仿宋_GB2312" w:hAnsi="Arial" w:eastAsia="仿宋_GB2312" w:cs="仿宋_GB2312"/>
          <w:color w:val="auto"/>
          <w:kern w:val="0"/>
          <w:sz w:val="32"/>
          <w:szCs w:val="32"/>
          <w:u w:val="none"/>
        </w:rPr>
        <w:fldChar w:fldCharType="end"/>
      </w:r>
      <w:r>
        <w:rPr>
          <w:rFonts w:hint="eastAsia" w:ascii="仿宋_GB2312" w:hAnsi="Arial" w:eastAsia="仿宋_GB2312" w:cs="仿宋_GB2312"/>
          <w:kern w:val="0"/>
          <w:sz w:val="32"/>
          <w:szCs w:val="32"/>
        </w:rPr>
        <w:t>的；</w:t>
      </w:r>
    </w:p>
    <w:p w14:paraId="71454C91">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（二）</w:t>
      </w:r>
      <w:r>
        <w:rPr>
          <w:rFonts w:ascii="仿宋_GB2312" w:hAnsi="Arial" w:eastAsia="仿宋_GB2312" w:cs="仿宋_GB2312"/>
          <w:kern w:val="0"/>
          <w:sz w:val="32"/>
          <w:szCs w:val="32"/>
        </w:rPr>
        <w:t>600</w:t>
      </w:r>
      <w:r>
        <w:rPr>
          <w:rFonts w:hint="eastAsia" w:ascii="仿宋_GB2312" w:hAnsi="Arial" w:eastAsia="仿宋_GB2312" w:cs="仿宋_GB2312"/>
          <w:kern w:val="0"/>
          <w:sz w:val="32"/>
          <w:szCs w:val="32"/>
        </w:rPr>
        <w:t>兆瓦以上锅炉爆炸的；</w:t>
      </w:r>
    </w:p>
    <w:p w14:paraId="13E6C089">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（三）压力容器、压力管道有毒介质泄漏，造成</w:t>
      </w:r>
      <w:r>
        <w:rPr>
          <w:rFonts w:ascii="仿宋_GB2312" w:hAnsi="Arial" w:eastAsia="仿宋_GB2312" w:cs="仿宋_GB2312"/>
          <w:kern w:val="0"/>
          <w:sz w:val="32"/>
          <w:szCs w:val="32"/>
        </w:rPr>
        <w:t>15</w:t>
      </w:r>
      <w:r>
        <w:rPr>
          <w:rFonts w:hint="eastAsia" w:ascii="仿宋_GB2312" w:hAnsi="Arial" w:eastAsia="仿宋_GB2312" w:cs="仿宋_GB2312"/>
          <w:kern w:val="0"/>
          <w:sz w:val="32"/>
          <w:szCs w:val="32"/>
        </w:rPr>
        <w:t>万人以上转移的；</w:t>
      </w:r>
    </w:p>
    <w:p w14:paraId="0FD3DCCE">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（四）客运索道、大型游乐设施高空滞留</w:t>
      </w:r>
      <w:r>
        <w:rPr>
          <w:rFonts w:ascii="仿宋_GB2312" w:hAnsi="Arial" w:eastAsia="仿宋_GB2312" w:cs="仿宋_GB2312"/>
          <w:kern w:val="0"/>
          <w:sz w:val="32"/>
          <w:szCs w:val="32"/>
        </w:rPr>
        <w:t>100</w:t>
      </w:r>
      <w:r>
        <w:rPr>
          <w:rFonts w:hint="eastAsia" w:ascii="仿宋_GB2312" w:hAnsi="Arial" w:eastAsia="仿宋_GB2312" w:cs="仿宋_GB2312"/>
          <w:kern w:val="0"/>
          <w:sz w:val="32"/>
          <w:szCs w:val="32"/>
        </w:rPr>
        <w:t>人以上并且时间在</w:t>
      </w:r>
      <w:r>
        <w:rPr>
          <w:rFonts w:ascii="仿宋_GB2312" w:hAnsi="Arial" w:eastAsia="仿宋_GB2312" w:cs="仿宋_GB2312"/>
          <w:kern w:val="0"/>
          <w:sz w:val="32"/>
          <w:szCs w:val="32"/>
        </w:rPr>
        <w:t>48</w:t>
      </w:r>
      <w:r>
        <w:rPr>
          <w:rFonts w:hint="eastAsia" w:ascii="仿宋_GB2312" w:hAnsi="Arial" w:eastAsia="仿宋_GB2312" w:cs="仿宋_GB2312"/>
          <w:kern w:val="0"/>
          <w:sz w:val="32"/>
          <w:szCs w:val="32"/>
        </w:rPr>
        <w:t>小时以上的。</w:t>
      </w:r>
    </w:p>
    <w:p w14:paraId="7FE3907D">
      <w:pPr>
        <w:shd w:val="clear" w:color="auto" w:fill="FFFFFF"/>
        <w:spacing w:line="560" w:lineRule="exact"/>
        <w:ind w:firstLine="632" w:firstLineChars="200"/>
        <w:rPr>
          <w:rFonts w:ascii="黑体" w:hAnsi="Arial" w:eastAsia="黑体"/>
          <w:kern w:val="0"/>
          <w:sz w:val="32"/>
          <w:szCs w:val="32"/>
        </w:rPr>
      </w:pPr>
      <w:r>
        <w:rPr>
          <w:rFonts w:hint="eastAsia" w:ascii="黑体" w:hAnsi="Arial" w:eastAsia="黑体" w:cs="黑体"/>
          <w:kern w:val="0"/>
          <w:sz w:val="32"/>
          <w:szCs w:val="32"/>
        </w:rPr>
        <w:t>二、有下列情形之一的为重大事故</w:t>
      </w:r>
    </w:p>
    <w:p w14:paraId="29F69AF6">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（一）特种设备事故造成</w:t>
      </w:r>
      <w:r>
        <w:rPr>
          <w:rFonts w:ascii="仿宋_GB2312" w:hAnsi="Arial" w:eastAsia="仿宋_GB2312" w:cs="仿宋_GB2312"/>
          <w:kern w:val="0"/>
          <w:sz w:val="32"/>
          <w:szCs w:val="32"/>
        </w:rPr>
        <w:t>10</w:t>
      </w:r>
      <w:r>
        <w:rPr>
          <w:rFonts w:hint="eastAsia" w:ascii="仿宋_GB2312" w:hAnsi="Arial" w:eastAsia="仿宋_GB2312" w:cs="仿宋_GB2312"/>
          <w:kern w:val="0"/>
          <w:sz w:val="32"/>
          <w:szCs w:val="32"/>
        </w:rPr>
        <w:t>人以上</w:t>
      </w:r>
      <w:r>
        <w:rPr>
          <w:rFonts w:ascii="仿宋_GB2312" w:hAnsi="Arial" w:eastAsia="仿宋_GB2312" w:cs="仿宋_GB2312"/>
          <w:kern w:val="0"/>
          <w:sz w:val="32"/>
          <w:szCs w:val="32"/>
        </w:rPr>
        <w:t>30</w:t>
      </w:r>
      <w:r>
        <w:rPr>
          <w:rFonts w:hint="eastAsia" w:ascii="仿宋_GB2312" w:hAnsi="Arial" w:eastAsia="仿宋_GB2312" w:cs="仿宋_GB2312"/>
          <w:kern w:val="0"/>
          <w:sz w:val="32"/>
          <w:szCs w:val="32"/>
        </w:rPr>
        <w:t>人以下死亡，或者</w:t>
      </w:r>
      <w:r>
        <w:rPr>
          <w:rFonts w:ascii="仿宋_GB2312" w:hAnsi="Arial" w:eastAsia="仿宋_GB2312" w:cs="仿宋_GB2312"/>
          <w:kern w:val="0"/>
          <w:sz w:val="32"/>
          <w:szCs w:val="32"/>
        </w:rPr>
        <w:t>50</w:t>
      </w:r>
      <w:r>
        <w:rPr>
          <w:rFonts w:hint="eastAsia" w:ascii="仿宋_GB2312" w:hAnsi="Arial" w:eastAsia="仿宋_GB2312" w:cs="仿宋_GB2312"/>
          <w:kern w:val="0"/>
          <w:sz w:val="32"/>
          <w:szCs w:val="32"/>
        </w:rPr>
        <w:t>人以上</w:t>
      </w:r>
      <w:r>
        <w:rPr>
          <w:rFonts w:ascii="仿宋_GB2312" w:hAnsi="Arial" w:eastAsia="仿宋_GB2312" w:cs="仿宋_GB2312"/>
          <w:kern w:val="0"/>
          <w:sz w:val="32"/>
          <w:szCs w:val="32"/>
        </w:rPr>
        <w:t>100</w:t>
      </w:r>
      <w:r>
        <w:rPr>
          <w:rFonts w:hint="eastAsia" w:ascii="仿宋_GB2312" w:hAnsi="Arial" w:eastAsia="仿宋_GB2312" w:cs="仿宋_GB2312"/>
          <w:kern w:val="0"/>
          <w:sz w:val="32"/>
          <w:szCs w:val="32"/>
        </w:rPr>
        <w:t>人以下重伤，或者</w:t>
      </w:r>
      <w:r>
        <w:rPr>
          <w:rFonts w:ascii="仿宋_GB2312" w:hAnsi="Arial" w:eastAsia="仿宋_GB2312" w:cs="仿宋_GB2312"/>
          <w:kern w:val="0"/>
          <w:sz w:val="32"/>
          <w:szCs w:val="32"/>
        </w:rPr>
        <w:t>5000</w:t>
      </w:r>
      <w:r>
        <w:rPr>
          <w:rFonts w:hint="eastAsia" w:ascii="仿宋_GB2312" w:hAnsi="Arial" w:eastAsia="仿宋_GB2312" w:cs="仿宋_GB2312"/>
          <w:kern w:val="0"/>
          <w:sz w:val="32"/>
          <w:szCs w:val="32"/>
        </w:rPr>
        <w:t>万元以上</w:t>
      </w:r>
      <w:r>
        <w:rPr>
          <w:rFonts w:ascii="仿宋_GB2312" w:hAnsi="Arial" w:eastAsia="仿宋_GB2312" w:cs="仿宋_GB2312"/>
          <w:kern w:val="0"/>
          <w:sz w:val="32"/>
          <w:szCs w:val="32"/>
        </w:rPr>
        <w:t>1</w:t>
      </w:r>
      <w:r>
        <w:rPr>
          <w:rFonts w:hint="eastAsia" w:ascii="仿宋_GB2312" w:hAnsi="Arial" w:eastAsia="仿宋_GB2312" w:cs="仿宋_GB2312"/>
          <w:kern w:val="0"/>
          <w:sz w:val="32"/>
          <w:szCs w:val="32"/>
        </w:rPr>
        <w:t>亿元以下直接经济损失的；</w:t>
      </w:r>
    </w:p>
    <w:p w14:paraId="2172A7A8">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（二）</w:t>
      </w:r>
      <w:r>
        <w:rPr>
          <w:rFonts w:ascii="仿宋_GB2312" w:hAnsi="Arial" w:eastAsia="仿宋_GB2312" w:cs="仿宋_GB2312"/>
          <w:kern w:val="0"/>
          <w:sz w:val="32"/>
          <w:szCs w:val="32"/>
        </w:rPr>
        <w:t>600</w:t>
      </w:r>
      <w:r>
        <w:rPr>
          <w:rFonts w:hint="eastAsia" w:ascii="仿宋_GB2312" w:hAnsi="Arial" w:eastAsia="仿宋_GB2312" w:cs="仿宋_GB2312"/>
          <w:kern w:val="0"/>
          <w:sz w:val="32"/>
          <w:szCs w:val="32"/>
        </w:rPr>
        <w:t>兆瓦以上锅炉因安全故障中断运行</w:t>
      </w:r>
      <w:r>
        <w:rPr>
          <w:rFonts w:ascii="仿宋_GB2312" w:hAnsi="Arial" w:eastAsia="仿宋_GB2312" w:cs="仿宋_GB2312"/>
          <w:kern w:val="0"/>
          <w:sz w:val="32"/>
          <w:szCs w:val="32"/>
        </w:rPr>
        <w:t>240</w:t>
      </w:r>
      <w:r>
        <w:rPr>
          <w:rFonts w:hint="eastAsia" w:ascii="仿宋_GB2312" w:hAnsi="Arial" w:eastAsia="仿宋_GB2312" w:cs="仿宋_GB2312"/>
          <w:kern w:val="0"/>
          <w:sz w:val="32"/>
          <w:szCs w:val="32"/>
        </w:rPr>
        <w:t>小时以上的；</w:t>
      </w:r>
    </w:p>
    <w:p w14:paraId="1189383C">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（三）压力容器、压力管道有毒介质泄漏，造成</w:t>
      </w:r>
      <w:r>
        <w:rPr>
          <w:rFonts w:ascii="仿宋_GB2312" w:hAnsi="Arial" w:eastAsia="仿宋_GB2312" w:cs="仿宋_GB2312"/>
          <w:kern w:val="0"/>
          <w:sz w:val="32"/>
          <w:szCs w:val="32"/>
        </w:rPr>
        <w:t>5</w:t>
      </w:r>
      <w:r>
        <w:rPr>
          <w:rFonts w:hint="eastAsia" w:ascii="仿宋_GB2312" w:hAnsi="Arial" w:eastAsia="仿宋_GB2312" w:cs="仿宋_GB2312"/>
          <w:kern w:val="0"/>
          <w:sz w:val="32"/>
          <w:szCs w:val="32"/>
        </w:rPr>
        <w:t>万人以上</w:t>
      </w:r>
      <w:r>
        <w:rPr>
          <w:rFonts w:ascii="仿宋_GB2312" w:hAnsi="Arial" w:eastAsia="仿宋_GB2312" w:cs="仿宋_GB2312"/>
          <w:kern w:val="0"/>
          <w:sz w:val="32"/>
          <w:szCs w:val="32"/>
        </w:rPr>
        <w:t>15</w:t>
      </w:r>
      <w:r>
        <w:rPr>
          <w:rFonts w:hint="eastAsia" w:ascii="仿宋_GB2312" w:hAnsi="Arial" w:eastAsia="仿宋_GB2312" w:cs="仿宋_GB2312"/>
          <w:kern w:val="0"/>
          <w:sz w:val="32"/>
          <w:szCs w:val="32"/>
        </w:rPr>
        <w:t>万人以下转移的；</w:t>
      </w:r>
    </w:p>
    <w:p w14:paraId="2767752D">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（四）客运索道、大型游乐设施高空滞留</w:t>
      </w:r>
      <w:r>
        <w:rPr>
          <w:rFonts w:ascii="仿宋_GB2312" w:hAnsi="Arial" w:eastAsia="仿宋_GB2312" w:cs="仿宋_GB2312"/>
          <w:kern w:val="0"/>
          <w:sz w:val="32"/>
          <w:szCs w:val="32"/>
        </w:rPr>
        <w:t>100</w:t>
      </w:r>
      <w:r>
        <w:rPr>
          <w:rFonts w:hint="eastAsia" w:ascii="仿宋_GB2312" w:hAnsi="Arial" w:eastAsia="仿宋_GB2312" w:cs="仿宋_GB2312"/>
          <w:kern w:val="0"/>
          <w:sz w:val="32"/>
          <w:szCs w:val="32"/>
        </w:rPr>
        <w:t>人以上并且时间在</w:t>
      </w:r>
      <w:r>
        <w:rPr>
          <w:rFonts w:ascii="仿宋_GB2312" w:hAnsi="Arial" w:eastAsia="仿宋_GB2312" w:cs="仿宋_GB2312"/>
          <w:kern w:val="0"/>
          <w:sz w:val="32"/>
          <w:szCs w:val="32"/>
        </w:rPr>
        <w:t>24</w:t>
      </w:r>
      <w:r>
        <w:rPr>
          <w:rFonts w:hint="eastAsia" w:ascii="仿宋_GB2312" w:hAnsi="Arial" w:eastAsia="仿宋_GB2312" w:cs="仿宋_GB2312"/>
          <w:kern w:val="0"/>
          <w:sz w:val="32"/>
          <w:szCs w:val="32"/>
        </w:rPr>
        <w:t>小时以上</w:t>
      </w:r>
      <w:r>
        <w:rPr>
          <w:rFonts w:ascii="仿宋_GB2312" w:hAnsi="Arial" w:eastAsia="仿宋_GB2312" w:cs="仿宋_GB2312"/>
          <w:kern w:val="0"/>
          <w:sz w:val="32"/>
          <w:szCs w:val="32"/>
        </w:rPr>
        <w:t>48</w:t>
      </w:r>
      <w:r>
        <w:rPr>
          <w:rFonts w:hint="eastAsia" w:ascii="仿宋_GB2312" w:hAnsi="Arial" w:eastAsia="仿宋_GB2312" w:cs="仿宋_GB2312"/>
          <w:kern w:val="0"/>
          <w:sz w:val="32"/>
          <w:szCs w:val="32"/>
        </w:rPr>
        <w:t>小时以下的。</w:t>
      </w:r>
    </w:p>
    <w:p w14:paraId="3F4B913C">
      <w:pPr>
        <w:shd w:val="clear" w:color="auto" w:fill="FFFFFF"/>
        <w:spacing w:line="560" w:lineRule="exact"/>
        <w:ind w:firstLine="632" w:firstLineChars="200"/>
        <w:rPr>
          <w:rFonts w:ascii="黑体" w:hAnsi="Arial" w:eastAsia="黑体"/>
          <w:kern w:val="0"/>
          <w:sz w:val="32"/>
          <w:szCs w:val="32"/>
        </w:rPr>
      </w:pPr>
      <w:r>
        <w:rPr>
          <w:rFonts w:hint="eastAsia" w:ascii="黑体" w:hAnsi="Arial" w:eastAsia="黑体" w:cs="黑体"/>
          <w:kern w:val="0"/>
          <w:sz w:val="32"/>
          <w:szCs w:val="32"/>
        </w:rPr>
        <w:t>三、有下列情形之一的为较大事故</w:t>
      </w:r>
    </w:p>
    <w:p w14:paraId="6998081C">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（一）特种设备事故造成</w:t>
      </w:r>
      <w:r>
        <w:rPr>
          <w:rFonts w:ascii="仿宋_GB2312" w:hAnsi="Arial" w:eastAsia="仿宋_GB2312" w:cs="仿宋_GB2312"/>
          <w:kern w:val="0"/>
          <w:sz w:val="32"/>
          <w:szCs w:val="32"/>
        </w:rPr>
        <w:t>3</w:t>
      </w:r>
      <w:r>
        <w:rPr>
          <w:rFonts w:hint="eastAsia" w:ascii="仿宋_GB2312" w:hAnsi="Arial" w:eastAsia="仿宋_GB2312" w:cs="仿宋_GB2312"/>
          <w:kern w:val="0"/>
          <w:sz w:val="32"/>
          <w:szCs w:val="32"/>
        </w:rPr>
        <w:t>人以上</w:t>
      </w:r>
      <w:r>
        <w:rPr>
          <w:rFonts w:ascii="仿宋_GB2312" w:hAnsi="Arial" w:eastAsia="仿宋_GB2312" w:cs="仿宋_GB2312"/>
          <w:kern w:val="0"/>
          <w:sz w:val="32"/>
          <w:szCs w:val="32"/>
        </w:rPr>
        <w:t>10</w:t>
      </w:r>
      <w:r>
        <w:rPr>
          <w:rFonts w:hint="eastAsia" w:ascii="仿宋_GB2312" w:hAnsi="Arial" w:eastAsia="仿宋_GB2312" w:cs="仿宋_GB2312"/>
          <w:kern w:val="0"/>
          <w:sz w:val="32"/>
          <w:szCs w:val="32"/>
        </w:rPr>
        <w:t>人以下死亡，或者</w:t>
      </w:r>
      <w:r>
        <w:rPr>
          <w:rFonts w:ascii="仿宋_GB2312" w:hAnsi="Arial" w:eastAsia="仿宋_GB2312" w:cs="仿宋_GB2312"/>
          <w:kern w:val="0"/>
          <w:sz w:val="32"/>
          <w:szCs w:val="32"/>
        </w:rPr>
        <w:t>10</w:t>
      </w:r>
      <w:r>
        <w:rPr>
          <w:rFonts w:hint="eastAsia" w:ascii="仿宋_GB2312" w:hAnsi="Arial" w:eastAsia="仿宋_GB2312" w:cs="仿宋_GB2312"/>
          <w:kern w:val="0"/>
          <w:sz w:val="32"/>
          <w:szCs w:val="32"/>
        </w:rPr>
        <w:t>人以上</w:t>
      </w:r>
      <w:r>
        <w:rPr>
          <w:rFonts w:ascii="仿宋_GB2312" w:hAnsi="Arial" w:eastAsia="仿宋_GB2312" w:cs="仿宋_GB2312"/>
          <w:kern w:val="0"/>
          <w:sz w:val="32"/>
          <w:szCs w:val="32"/>
        </w:rPr>
        <w:t>50</w:t>
      </w:r>
      <w:r>
        <w:rPr>
          <w:rFonts w:hint="eastAsia" w:ascii="仿宋_GB2312" w:hAnsi="Arial" w:eastAsia="仿宋_GB2312" w:cs="仿宋_GB2312"/>
          <w:kern w:val="0"/>
          <w:sz w:val="32"/>
          <w:szCs w:val="32"/>
        </w:rPr>
        <w:t>人以下重伤，或者</w:t>
      </w:r>
      <w:r>
        <w:rPr>
          <w:rFonts w:ascii="仿宋_GB2312" w:hAnsi="Arial" w:eastAsia="仿宋_GB2312" w:cs="仿宋_GB2312"/>
          <w:kern w:val="0"/>
          <w:sz w:val="32"/>
          <w:szCs w:val="32"/>
        </w:rPr>
        <w:t>1000</w:t>
      </w:r>
      <w:r>
        <w:rPr>
          <w:rFonts w:hint="eastAsia" w:ascii="仿宋_GB2312" w:hAnsi="Arial" w:eastAsia="仿宋_GB2312" w:cs="仿宋_GB2312"/>
          <w:kern w:val="0"/>
          <w:sz w:val="32"/>
          <w:szCs w:val="32"/>
        </w:rPr>
        <w:t>万元以上</w:t>
      </w:r>
      <w:r>
        <w:rPr>
          <w:rFonts w:ascii="仿宋_GB2312" w:hAnsi="Arial" w:eastAsia="仿宋_GB2312" w:cs="仿宋_GB2312"/>
          <w:kern w:val="0"/>
          <w:sz w:val="32"/>
          <w:szCs w:val="32"/>
        </w:rPr>
        <w:t>5000</w:t>
      </w:r>
      <w:r>
        <w:rPr>
          <w:rFonts w:hint="eastAsia" w:ascii="仿宋_GB2312" w:hAnsi="Arial" w:eastAsia="仿宋_GB2312" w:cs="仿宋_GB2312"/>
          <w:kern w:val="0"/>
          <w:sz w:val="32"/>
          <w:szCs w:val="32"/>
        </w:rPr>
        <w:t>万元以下直接经济损失的；</w:t>
      </w:r>
    </w:p>
    <w:p w14:paraId="3D981375">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（二）锅炉、压力容器、压力管道爆炸的；</w:t>
      </w:r>
    </w:p>
    <w:p w14:paraId="18EB5792">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（三）压力容器、压力管道有毒介质泄漏，造成</w:t>
      </w:r>
      <w:r>
        <w:rPr>
          <w:rFonts w:ascii="仿宋_GB2312" w:hAnsi="Arial" w:eastAsia="仿宋_GB2312" w:cs="仿宋_GB2312"/>
          <w:kern w:val="0"/>
          <w:sz w:val="32"/>
          <w:szCs w:val="32"/>
        </w:rPr>
        <w:t>1</w:t>
      </w:r>
      <w:r>
        <w:rPr>
          <w:rFonts w:hint="eastAsia" w:ascii="仿宋_GB2312" w:hAnsi="Arial" w:eastAsia="仿宋_GB2312" w:cs="仿宋_GB2312"/>
          <w:kern w:val="0"/>
          <w:sz w:val="32"/>
          <w:szCs w:val="32"/>
        </w:rPr>
        <w:t>万人以上</w:t>
      </w:r>
      <w:r>
        <w:rPr>
          <w:rFonts w:ascii="仿宋_GB2312" w:hAnsi="Arial" w:eastAsia="仿宋_GB2312" w:cs="仿宋_GB2312"/>
          <w:kern w:val="0"/>
          <w:sz w:val="32"/>
          <w:szCs w:val="32"/>
        </w:rPr>
        <w:t>5</w:t>
      </w:r>
      <w:r>
        <w:rPr>
          <w:rFonts w:hint="eastAsia" w:ascii="仿宋_GB2312" w:hAnsi="Arial" w:eastAsia="仿宋_GB2312" w:cs="仿宋_GB2312"/>
          <w:kern w:val="0"/>
          <w:sz w:val="32"/>
          <w:szCs w:val="32"/>
        </w:rPr>
        <w:t>万人以下转移的；</w:t>
      </w:r>
    </w:p>
    <w:p w14:paraId="4A5FFE2C">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（四）起重机械整体倾覆的；</w:t>
      </w:r>
    </w:p>
    <w:p w14:paraId="16FE5344">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（五）客运索道、大型游乐设施高空滞留人员</w:t>
      </w:r>
      <w:r>
        <w:rPr>
          <w:rFonts w:ascii="仿宋_GB2312" w:hAnsi="Arial" w:eastAsia="仿宋_GB2312" w:cs="仿宋_GB2312"/>
          <w:kern w:val="0"/>
          <w:sz w:val="32"/>
          <w:szCs w:val="32"/>
        </w:rPr>
        <w:t>12</w:t>
      </w:r>
      <w:r>
        <w:rPr>
          <w:rFonts w:hint="eastAsia" w:ascii="仿宋_GB2312" w:hAnsi="Arial" w:eastAsia="仿宋_GB2312" w:cs="仿宋_GB2312"/>
          <w:kern w:val="0"/>
          <w:sz w:val="32"/>
          <w:szCs w:val="32"/>
        </w:rPr>
        <w:t>小时以上的。</w:t>
      </w:r>
    </w:p>
    <w:p w14:paraId="57872ED9">
      <w:pPr>
        <w:shd w:val="clear" w:color="auto" w:fill="FFFFFF"/>
        <w:spacing w:line="560" w:lineRule="exact"/>
        <w:ind w:firstLine="632" w:firstLineChars="200"/>
        <w:rPr>
          <w:rFonts w:ascii="黑体" w:hAnsi="黑体" w:eastAsia="黑体"/>
          <w:kern w:val="0"/>
          <w:sz w:val="32"/>
          <w:szCs w:val="32"/>
        </w:rPr>
      </w:pPr>
      <w:r>
        <w:rPr>
          <w:rFonts w:hint="eastAsia" w:ascii="黑体" w:hAnsi="黑体" w:eastAsia="黑体" w:cs="黑体"/>
          <w:sz w:val="32"/>
          <w:szCs w:val="32"/>
        </w:rPr>
        <w:t>四</w:t>
      </w:r>
      <w:r>
        <w:rPr>
          <w:rFonts w:hint="eastAsia" w:ascii="黑体" w:hAnsi="黑体" w:eastAsia="黑体" w:cs="黑体"/>
          <w:kern w:val="0"/>
          <w:sz w:val="32"/>
          <w:szCs w:val="32"/>
        </w:rPr>
        <w:t>、有下列情形之一的为一般事故</w:t>
      </w:r>
    </w:p>
    <w:p w14:paraId="1E8A47D9">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（一）特种设备事故造成</w:t>
      </w:r>
      <w:r>
        <w:rPr>
          <w:rFonts w:ascii="仿宋_GB2312" w:hAnsi="Arial" w:eastAsia="仿宋_GB2312" w:cs="仿宋_GB2312"/>
          <w:kern w:val="0"/>
          <w:sz w:val="32"/>
          <w:szCs w:val="32"/>
        </w:rPr>
        <w:t>3</w:t>
      </w:r>
      <w:r>
        <w:rPr>
          <w:rFonts w:hint="eastAsia" w:ascii="仿宋_GB2312" w:hAnsi="Arial" w:eastAsia="仿宋_GB2312" w:cs="仿宋_GB2312"/>
          <w:kern w:val="0"/>
          <w:sz w:val="32"/>
          <w:szCs w:val="32"/>
        </w:rPr>
        <w:t>人以下死亡，或者</w:t>
      </w:r>
      <w:r>
        <w:rPr>
          <w:rFonts w:ascii="仿宋_GB2312" w:hAnsi="Arial" w:eastAsia="仿宋_GB2312" w:cs="仿宋_GB2312"/>
          <w:kern w:val="0"/>
          <w:sz w:val="32"/>
          <w:szCs w:val="32"/>
        </w:rPr>
        <w:t>10</w:t>
      </w:r>
      <w:r>
        <w:rPr>
          <w:rFonts w:hint="eastAsia" w:ascii="仿宋_GB2312" w:hAnsi="Arial" w:eastAsia="仿宋_GB2312" w:cs="仿宋_GB2312"/>
          <w:kern w:val="0"/>
          <w:sz w:val="32"/>
          <w:szCs w:val="32"/>
        </w:rPr>
        <w:t>人以下重伤，或者</w:t>
      </w:r>
      <w:r>
        <w:rPr>
          <w:rFonts w:ascii="仿宋_GB2312" w:hAnsi="Arial" w:eastAsia="仿宋_GB2312" w:cs="仿宋_GB2312"/>
          <w:kern w:val="0"/>
          <w:sz w:val="32"/>
          <w:szCs w:val="32"/>
        </w:rPr>
        <w:t>1</w:t>
      </w:r>
      <w:r>
        <w:rPr>
          <w:rFonts w:hint="eastAsia" w:ascii="仿宋_GB2312" w:hAnsi="Arial" w:eastAsia="仿宋_GB2312" w:cs="仿宋_GB2312"/>
          <w:kern w:val="0"/>
          <w:sz w:val="32"/>
          <w:szCs w:val="32"/>
        </w:rPr>
        <w:t>万元以上</w:t>
      </w:r>
      <w:r>
        <w:rPr>
          <w:rFonts w:ascii="仿宋_GB2312" w:hAnsi="Arial" w:eastAsia="仿宋_GB2312" w:cs="仿宋_GB2312"/>
          <w:kern w:val="0"/>
          <w:sz w:val="32"/>
          <w:szCs w:val="32"/>
        </w:rPr>
        <w:t>1000</w:t>
      </w:r>
      <w:r>
        <w:rPr>
          <w:rFonts w:hint="eastAsia" w:ascii="仿宋_GB2312" w:hAnsi="Arial" w:eastAsia="仿宋_GB2312" w:cs="仿宋_GB2312"/>
          <w:kern w:val="0"/>
          <w:sz w:val="32"/>
          <w:szCs w:val="32"/>
        </w:rPr>
        <w:t>万元以下直接经济损失的；</w:t>
      </w:r>
    </w:p>
    <w:p w14:paraId="17817BD8">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（二）压力容器、压力管道有毒介质泄漏，造成</w:t>
      </w:r>
      <w:r>
        <w:rPr>
          <w:rFonts w:ascii="仿宋_GB2312" w:hAnsi="Arial" w:eastAsia="仿宋_GB2312" w:cs="仿宋_GB2312"/>
          <w:kern w:val="0"/>
          <w:sz w:val="32"/>
          <w:szCs w:val="32"/>
        </w:rPr>
        <w:t>500</w:t>
      </w:r>
      <w:r>
        <w:rPr>
          <w:rFonts w:hint="eastAsia" w:ascii="仿宋_GB2312" w:hAnsi="Arial" w:eastAsia="仿宋_GB2312" w:cs="仿宋_GB2312"/>
          <w:kern w:val="0"/>
          <w:sz w:val="32"/>
          <w:szCs w:val="32"/>
        </w:rPr>
        <w:t>人以上</w:t>
      </w:r>
      <w:r>
        <w:rPr>
          <w:rFonts w:ascii="仿宋_GB2312" w:hAnsi="Arial" w:eastAsia="仿宋_GB2312" w:cs="仿宋_GB2312"/>
          <w:kern w:val="0"/>
          <w:sz w:val="32"/>
          <w:szCs w:val="32"/>
        </w:rPr>
        <w:t>1</w:t>
      </w:r>
      <w:r>
        <w:rPr>
          <w:rFonts w:hint="eastAsia" w:ascii="仿宋_GB2312" w:hAnsi="Arial" w:eastAsia="仿宋_GB2312" w:cs="仿宋_GB2312"/>
          <w:kern w:val="0"/>
          <w:sz w:val="32"/>
          <w:szCs w:val="32"/>
        </w:rPr>
        <w:t>万人以下转移的；</w:t>
      </w:r>
    </w:p>
    <w:p w14:paraId="1E77C25E">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（三）电梯轿厢滞留人员</w:t>
      </w:r>
      <w:r>
        <w:rPr>
          <w:rFonts w:ascii="仿宋_GB2312" w:hAnsi="Arial" w:eastAsia="仿宋_GB2312" w:cs="仿宋_GB2312"/>
          <w:kern w:val="0"/>
          <w:sz w:val="32"/>
          <w:szCs w:val="32"/>
        </w:rPr>
        <w:t>2</w:t>
      </w:r>
      <w:r>
        <w:rPr>
          <w:rFonts w:hint="eastAsia" w:ascii="仿宋_GB2312" w:hAnsi="Arial" w:eastAsia="仿宋_GB2312" w:cs="仿宋_GB2312"/>
          <w:kern w:val="0"/>
          <w:sz w:val="32"/>
          <w:szCs w:val="32"/>
        </w:rPr>
        <w:t>小时以上的；</w:t>
      </w:r>
    </w:p>
    <w:p w14:paraId="449298D4">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（四）起重机械主要受力结构件折断或者起升机构坠落的；</w:t>
      </w:r>
    </w:p>
    <w:p w14:paraId="24836B30">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（五）客运索道高空滞留人员</w:t>
      </w:r>
      <w:r>
        <w:rPr>
          <w:rFonts w:ascii="仿宋_GB2312" w:hAnsi="Arial" w:eastAsia="仿宋_GB2312" w:cs="仿宋_GB2312"/>
          <w:kern w:val="0"/>
          <w:sz w:val="32"/>
          <w:szCs w:val="32"/>
        </w:rPr>
        <w:t>3.5</w:t>
      </w:r>
      <w:r>
        <w:rPr>
          <w:rFonts w:hint="eastAsia" w:ascii="仿宋_GB2312" w:hAnsi="Arial" w:eastAsia="仿宋_GB2312" w:cs="仿宋_GB2312"/>
          <w:kern w:val="0"/>
          <w:sz w:val="32"/>
          <w:szCs w:val="32"/>
        </w:rPr>
        <w:t>小时以上</w:t>
      </w:r>
      <w:r>
        <w:rPr>
          <w:rFonts w:ascii="仿宋_GB2312" w:hAnsi="Arial" w:eastAsia="仿宋_GB2312" w:cs="仿宋_GB2312"/>
          <w:kern w:val="0"/>
          <w:sz w:val="32"/>
          <w:szCs w:val="32"/>
        </w:rPr>
        <w:t>12</w:t>
      </w:r>
      <w:r>
        <w:rPr>
          <w:rFonts w:hint="eastAsia" w:ascii="仿宋_GB2312" w:hAnsi="Arial" w:eastAsia="仿宋_GB2312" w:cs="仿宋_GB2312"/>
          <w:kern w:val="0"/>
          <w:sz w:val="32"/>
          <w:szCs w:val="32"/>
        </w:rPr>
        <w:t>小时以下的；</w:t>
      </w:r>
    </w:p>
    <w:p w14:paraId="4703BCD5">
      <w:pPr>
        <w:shd w:val="clear" w:color="auto" w:fill="FFFFFF"/>
        <w:spacing w:line="560" w:lineRule="exact"/>
        <w:ind w:firstLine="632" w:firstLineChars="200"/>
        <w:rPr>
          <w:rFonts w:ascii="仿宋_GB2312" w:hAnsi="Arial" w:eastAsia="仿宋_GB2312"/>
          <w:kern w:val="0"/>
          <w:sz w:val="32"/>
          <w:szCs w:val="32"/>
        </w:rPr>
      </w:pPr>
      <w:r>
        <w:rPr>
          <w:rFonts w:hint="eastAsia" w:ascii="仿宋_GB2312" w:hAnsi="Arial" w:eastAsia="仿宋_GB2312" w:cs="仿宋_GB2312"/>
          <w:kern w:val="0"/>
          <w:sz w:val="32"/>
          <w:szCs w:val="32"/>
        </w:rPr>
        <w:t>（六）大型游乐设施高空滞留人员</w:t>
      </w:r>
      <w:r>
        <w:rPr>
          <w:rFonts w:ascii="仿宋_GB2312" w:hAnsi="Arial" w:eastAsia="仿宋_GB2312" w:cs="仿宋_GB2312"/>
          <w:kern w:val="0"/>
          <w:sz w:val="32"/>
          <w:szCs w:val="32"/>
        </w:rPr>
        <w:t>1</w:t>
      </w:r>
      <w:r>
        <w:rPr>
          <w:rFonts w:hint="eastAsia" w:ascii="仿宋_GB2312" w:hAnsi="Arial" w:eastAsia="仿宋_GB2312" w:cs="仿宋_GB2312"/>
          <w:kern w:val="0"/>
          <w:sz w:val="32"/>
          <w:szCs w:val="32"/>
        </w:rPr>
        <w:t>小时上</w:t>
      </w:r>
      <w:r>
        <w:rPr>
          <w:rFonts w:ascii="仿宋_GB2312" w:hAnsi="Arial" w:eastAsia="仿宋_GB2312" w:cs="仿宋_GB2312"/>
          <w:kern w:val="0"/>
          <w:sz w:val="32"/>
          <w:szCs w:val="32"/>
        </w:rPr>
        <w:t>12</w:t>
      </w:r>
      <w:r>
        <w:rPr>
          <w:rFonts w:hint="eastAsia" w:ascii="仿宋_GB2312" w:hAnsi="Arial" w:eastAsia="仿宋_GB2312" w:cs="仿宋_GB2312"/>
          <w:kern w:val="0"/>
          <w:sz w:val="32"/>
          <w:szCs w:val="32"/>
        </w:rPr>
        <w:t>小时以下的。</w:t>
      </w:r>
    </w:p>
    <w:p w14:paraId="5F47082F">
      <w:pPr>
        <w:spacing w:line="560" w:lineRule="exact"/>
        <w:rPr>
          <w:rFonts w:ascii="??_GB2312" w:eastAsia="Times New Roman"/>
          <w:sz w:val="32"/>
          <w:szCs w:val="32"/>
        </w:rPr>
      </w:pPr>
    </w:p>
    <w:p w14:paraId="5838ECE8">
      <w:pPr>
        <w:spacing w:line="560" w:lineRule="exact"/>
        <w:rPr>
          <w:rFonts w:ascii="??_GB2312" w:eastAsia="Times New Roman"/>
          <w:sz w:val="32"/>
          <w:szCs w:val="32"/>
        </w:rPr>
      </w:pPr>
    </w:p>
    <w:p w14:paraId="56DCF7AC">
      <w:pPr>
        <w:spacing w:line="560" w:lineRule="exact"/>
        <w:rPr>
          <w:rFonts w:ascii="??_GB2312" w:eastAsia="Times New Roman"/>
          <w:sz w:val="32"/>
          <w:szCs w:val="32"/>
        </w:rPr>
      </w:pPr>
    </w:p>
    <w:p w14:paraId="20F0BE1D">
      <w:pPr>
        <w:spacing w:line="560" w:lineRule="exact"/>
        <w:rPr>
          <w:rFonts w:ascii="??_GB2312" w:eastAsia="Times New Roman"/>
          <w:sz w:val="32"/>
          <w:szCs w:val="32"/>
        </w:rPr>
      </w:pPr>
    </w:p>
    <w:p w14:paraId="2E7B3475">
      <w:pPr>
        <w:spacing w:line="560" w:lineRule="exact"/>
        <w:rPr>
          <w:rFonts w:ascii="??_GB2312" w:eastAsia="Times New Roman"/>
          <w:sz w:val="32"/>
          <w:szCs w:val="32"/>
        </w:rPr>
      </w:pPr>
      <w:r>
        <w:rPr>
          <w:rFonts w:hint="eastAsia" w:ascii="黑体" w:hAnsi="黑体" w:eastAsia="黑体" w:cs="黑体"/>
          <w:sz w:val="32"/>
          <w:szCs w:val="32"/>
        </w:rPr>
        <w:t>附件2</w:t>
      </w:r>
    </w:p>
    <w:p w14:paraId="370FAE3C">
      <w:pPr>
        <w:spacing w:beforeLines="100" w:afterLines="10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lang w:val="zh-CN"/>
        </w:rPr>
        <w:t>各成员单位应急值班通讯录</w:t>
      </w:r>
    </w:p>
    <w:tbl>
      <w:tblPr>
        <w:tblStyle w:val="12"/>
        <w:tblW w:w="93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3538"/>
        <w:gridCol w:w="2438"/>
        <w:gridCol w:w="1616"/>
      </w:tblGrid>
      <w:tr w14:paraId="6C33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802" w:type="dxa"/>
            <w:vAlign w:val="center"/>
          </w:tcPr>
          <w:p w14:paraId="3E4E1B83">
            <w:pPr>
              <w:autoSpaceDE w:val="0"/>
              <w:autoSpaceDN w:val="0"/>
              <w:adjustRightInd w:val="0"/>
              <w:spacing w:line="560" w:lineRule="exact"/>
              <w:jc w:val="center"/>
              <w:rPr>
                <w:rFonts w:ascii="??_GB2312" w:hAnsi="??_GB2312" w:eastAsia="Times New Roman"/>
                <w:kern w:val="0"/>
                <w:sz w:val="32"/>
                <w:szCs w:val="32"/>
                <w:lang w:val="zh-CN"/>
              </w:rPr>
            </w:pPr>
            <w:r>
              <w:rPr>
                <w:rFonts w:hint="eastAsia" w:ascii="宋体" w:hAnsi="宋体" w:cs="宋体"/>
                <w:kern w:val="0"/>
                <w:sz w:val="32"/>
                <w:szCs w:val="32"/>
                <w:lang w:val="zh-CN"/>
              </w:rPr>
              <w:t>序号</w:t>
            </w:r>
          </w:p>
        </w:tc>
        <w:tc>
          <w:tcPr>
            <w:tcW w:w="3538" w:type="dxa"/>
            <w:vAlign w:val="center"/>
          </w:tcPr>
          <w:p w14:paraId="08C10E79">
            <w:pPr>
              <w:autoSpaceDE w:val="0"/>
              <w:autoSpaceDN w:val="0"/>
              <w:adjustRightInd w:val="0"/>
              <w:spacing w:line="560" w:lineRule="exact"/>
              <w:jc w:val="center"/>
              <w:rPr>
                <w:rFonts w:ascii="??_GB2312" w:hAnsi="??_GB2312" w:eastAsia="Times New Roman"/>
                <w:kern w:val="0"/>
                <w:sz w:val="32"/>
                <w:szCs w:val="32"/>
                <w:lang w:val="zh-CN"/>
              </w:rPr>
            </w:pPr>
            <w:r>
              <w:rPr>
                <w:rFonts w:hint="eastAsia" w:ascii="宋体" w:hAnsi="宋体" w:cs="宋体"/>
                <w:kern w:val="0"/>
                <w:sz w:val="32"/>
                <w:szCs w:val="32"/>
                <w:lang w:val="zh-CN"/>
              </w:rPr>
              <w:t>成员单位</w:t>
            </w:r>
          </w:p>
        </w:tc>
        <w:tc>
          <w:tcPr>
            <w:tcW w:w="2438" w:type="dxa"/>
            <w:vAlign w:val="center"/>
          </w:tcPr>
          <w:p w14:paraId="01B5954F">
            <w:pPr>
              <w:autoSpaceDE w:val="0"/>
              <w:autoSpaceDN w:val="0"/>
              <w:adjustRightInd w:val="0"/>
              <w:spacing w:line="560" w:lineRule="exact"/>
              <w:jc w:val="center"/>
              <w:rPr>
                <w:rFonts w:ascii="??_GB2312" w:hAnsi="??_GB2312" w:eastAsia="Times New Roman"/>
                <w:kern w:val="0"/>
                <w:sz w:val="32"/>
                <w:szCs w:val="32"/>
                <w:lang w:val="zh-CN"/>
              </w:rPr>
            </w:pPr>
            <w:r>
              <w:rPr>
                <w:rFonts w:hint="eastAsia" w:ascii="宋体" w:hAnsi="宋体" w:cs="宋体"/>
                <w:kern w:val="0"/>
                <w:sz w:val="32"/>
                <w:szCs w:val="32"/>
                <w:lang w:val="zh-CN"/>
              </w:rPr>
              <w:t>值班电话</w:t>
            </w:r>
          </w:p>
        </w:tc>
        <w:tc>
          <w:tcPr>
            <w:tcW w:w="1616" w:type="dxa"/>
            <w:vAlign w:val="center"/>
          </w:tcPr>
          <w:p w14:paraId="0AE8A709">
            <w:pPr>
              <w:autoSpaceDE w:val="0"/>
              <w:autoSpaceDN w:val="0"/>
              <w:adjustRightInd w:val="0"/>
              <w:spacing w:line="560" w:lineRule="exact"/>
              <w:jc w:val="center"/>
              <w:rPr>
                <w:rFonts w:ascii="??_GB2312" w:hAnsi="??_GB2312" w:eastAsia="Times New Roman"/>
                <w:kern w:val="0"/>
                <w:sz w:val="32"/>
                <w:szCs w:val="32"/>
                <w:lang w:val="zh-CN"/>
              </w:rPr>
            </w:pPr>
            <w:r>
              <w:rPr>
                <w:rFonts w:hint="eastAsia" w:ascii="宋体" w:hAnsi="宋体" w:cs="宋体"/>
                <w:kern w:val="0"/>
                <w:sz w:val="32"/>
                <w:szCs w:val="32"/>
                <w:lang w:val="zh-CN"/>
              </w:rPr>
              <w:t>备注</w:t>
            </w:r>
          </w:p>
        </w:tc>
      </w:tr>
      <w:tr w14:paraId="76EE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802" w:type="dxa"/>
            <w:vAlign w:val="center"/>
          </w:tcPr>
          <w:p w14:paraId="31E12A26">
            <w:pPr>
              <w:autoSpaceDE w:val="0"/>
              <w:autoSpaceDN w:val="0"/>
              <w:adjustRightInd w:val="0"/>
              <w:spacing w:line="560" w:lineRule="exact"/>
              <w:jc w:val="center"/>
              <w:rPr>
                <w:rFonts w:ascii="??_GB2312" w:hAnsi="??_GB2312" w:eastAsia="Times New Roman"/>
                <w:kern w:val="0"/>
                <w:sz w:val="32"/>
                <w:szCs w:val="32"/>
              </w:rPr>
            </w:pPr>
            <w:r>
              <w:rPr>
                <w:rFonts w:ascii="??_GB2312" w:hAnsi="??_GB2312" w:eastAsia="Times New Roman"/>
                <w:kern w:val="0"/>
                <w:sz w:val="32"/>
                <w:szCs w:val="32"/>
              </w:rPr>
              <w:t>1</w:t>
            </w:r>
          </w:p>
        </w:tc>
        <w:tc>
          <w:tcPr>
            <w:tcW w:w="3538" w:type="dxa"/>
            <w:vAlign w:val="center"/>
          </w:tcPr>
          <w:p w14:paraId="1C6B8347">
            <w:pPr>
              <w:autoSpaceDE w:val="0"/>
              <w:autoSpaceDN w:val="0"/>
              <w:adjustRightInd w:val="0"/>
              <w:spacing w:line="560" w:lineRule="exact"/>
              <w:jc w:val="center"/>
              <w:rPr>
                <w:rFonts w:ascii="宋体" w:cs="宋体"/>
                <w:kern w:val="0"/>
                <w:sz w:val="32"/>
                <w:szCs w:val="32"/>
                <w:lang w:val="zh-CN"/>
              </w:rPr>
            </w:pPr>
            <w:r>
              <w:rPr>
                <w:rFonts w:hint="eastAsia" w:ascii="宋体" w:hAnsi="宋体" w:cs="宋体"/>
                <w:kern w:val="0"/>
                <w:sz w:val="32"/>
                <w:szCs w:val="32"/>
                <w:lang w:val="zh-CN"/>
              </w:rPr>
              <w:t>马山街道办事处</w:t>
            </w:r>
          </w:p>
        </w:tc>
        <w:tc>
          <w:tcPr>
            <w:tcW w:w="2438" w:type="dxa"/>
            <w:vAlign w:val="center"/>
          </w:tcPr>
          <w:p w14:paraId="46C090D8">
            <w:pPr>
              <w:autoSpaceDE w:val="0"/>
              <w:autoSpaceDN w:val="0"/>
              <w:adjustRightInd w:val="0"/>
              <w:spacing w:line="560" w:lineRule="exact"/>
              <w:jc w:val="center"/>
              <w:rPr>
                <w:rFonts w:ascii="宋体" w:cs="宋体"/>
                <w:kern w:val="0"/>
                <w:sz w:val="32"/>
                <w:szCs w:val="32"/>
                <w:lang w:val="zh-CN"/>
              </w:rPr>
            </w:pPr>
            <w:r>
              <w:rPr>
                <w:rFonts w:ascii="??_GB2312" w:hAnsi="??_GB2312" w:eastAsia="Times New Roman"/>
                <w:kern w:val="0"/>
                <w:sz w:val="32"/>
                <w:szCs w:val="32"/>
              </w:rPr>
              <w:t>6922971</w:t>
            </w:r>
          </w:p>
        </w:tc>
        <w:tc>
          <w:tcPr>
            <w:tcW w:w="1616" w:type="dxa"/>
            <w:vAlign w:val="center"/>
          </w:tcPr>
          <w:p w14:paraId="0B2A3572">
            <w:pPr>
              <w:autoSpaceDE w:val="0"/>
              <w:autoSpaceDN w:val="0"/>
              <w:adjustRightInd w:val="0"/>
              <w:spacing w:line="560" w:lineRule="exact"/>
              <w:jc w:val="center"/>
              <w:rPr>
                <w:rFonts w:ascii="宋体" w:cs="宋体"/>
                <w:kern w:val="0"/>
                <w:sz w:val="32"/>
                <w:szCs w:val="32"/>
                <w:lang w:val="zh-CN"/>
              </w:rPr>
            </w:pPr>
          </w:p>
        </w:tc>
      </w:tr>
      <w:tr w14:paraId="061B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802" w:type="dxa"/>
            <w:vAlign w:val="center"/>
          </w:tcPr>
          <w:p w14:paraId="1692396E">
            <w:pPr>
              <w:autoSpaceDE w:val="0"/>
              <w:autoSpaceDN w:val="0"/>
              <w:adjustRightInd w:val="0"/>
              <w:spacing w:line="560" w:lineRule="exact"/>
              <w:jc w:val="center"/>
              <w:rPr>
                <w:rFonts w:ascii="??_GB2312" w:hAnsi="??_GB2312" w:eastAsia="Times New Roman"/>
                <w:kern w:val="0"/>
                <w:sz w:val="32"/>
                <w:szCs w:val="32"/>
              </w:rPr>
            </w:pPr>
            <w:r>
              <w:rPr>
                <w:rFonts w:ascii="??_GB2312" w:hAnsi="??_GB2312" w:eastAsia="Times New Roman"/>
                <w:kern w:val="0"/>
                <w:sz w:val="32"/>
                <w:szCs w:val="32"/>
              </w:rPr>
              <w:t>2</w:t>
            </w:r>
          </w:p>
        </w:tc>
        <w:tc>
          <w:tcPr>
            <w:tcW w:w="3538" w:type="dxa"/>
            <w:vAlign w:val="center"/>
          </w:tcPr>
          <w:p w14:paraId="3AA3B84D">
            <w:pPr>
              <w:autoSpaceDE w:val="0"/>
              <w:autoSpaceDN w:val="0"/>
              <w:adjustRightInd w:val="0"/>
              <w:spacing w:line="560" w:lineRule="exact"/>
              <w:jc w:val="center"/>
              <w:rPr>
                <w:rFonts w:ascii="宋体" w:cs="宋体"/>
                <w:kern w:val="0"/>
                <w:sz w:val="32"/>
                <w:szCs w:val="32"/>
                <w:lang w:val="zh-CN"/>
              </w:rPr>
            </w:pPr>
            <w:r>
              <w:rPr>
                <w:rFonts w:hint="eastAsia" w:ascii="宋体" w:hAnsi="宋体" w:cs="宋体"/>
                <w:kern w:val="0"/>
                <w:sz w:val="32"/>
                <w:szCs w:val="32"/>
                <w:lang w:val="zh-CN"/>
              </w:rPr>
              <w:t>金山湾管理处</w:t>
            </w:r>
          </w:p>
        </w:tc>
        <w:tc>
          <w:tcPr>
            <w:tcW w:w="2438" w:type="dxa"/>
            <w:vAlign w:val="center"/>
          </w:tcPr>
          <w:p w14:paraId="35E54C46">
            <w:pPr>
              <w:autoSpaceDE w:val="0"/>
              <w:autoSpaceDN w:val="0"/>
              <w:adjustRightInd w:val="0"/>
              <w:spacing w:line="560" w:lineRule="exact"/>
              <w:jc w:val="center"/>
              <w:rPr>
                <w:rFonts w:ascii="宋体" w:cs="宋体"/>
                <w:kern w:val="0"/>
                <w:sz w:val="32"/>
                <w:szCs w:val="32"/>
                <w:lang w:val="zh-CN"/>
              </w:rPr>
            </w:pPr>
            <w:r>
              <w:rPr>
                <w:rFonts w:ascii="??_GB2312" w:hAnsi="??_GB2312" w:eastAsia="Times New Roman"/>
                <w:kern w:val="0"/>
                <w:sz w:val="32"/>
                <w:szCs w:val="32"/>
              </w:rPr>
              <w:t>8209518</w:t>
            </w:r>
          </w:p>
        </w:tc>
        <w:tc>
          <w:tcPr>
            <w:tcW w:w="1616" w:type="dxa"/>
            <w:vAlign w:val="center"/>
          </w:tcPr>
          <w:p w14:paraId="0561FFFD">
            <w:pPr>
              <w:autoSpaceDE w:val="0"/>
              <w:autoSpaceDN w:val="0"/>
              <w:adjustRightInd w:val="0"/>
              <w:spacing w:line="560" w:lineRule="exact"/>
              <w:jc w:val="center"/>
              <w:rPr>
                <w:rFonts w:ascii="宋体" w:cs="宋体"/>
                <w:kern w:val="0"/>
                <w:sz w:val="32"/>
                <w:szCs w:val="32"/>
                <w:lang w:val="zh-CN"/>
              </w:rPr>
            </w:pPr>
          </w:p>
        </w:tc>
      </w:tr>
      <w:tr w14:paraId="4511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802" w:type="dxa"/>
            <w:vAlign w:val="center"/>
          </w:tcPr>
          <w:p w14:paraId="4DF5F14C">
            <w:pPr>
              <w:autoSpaceDE w:val="0"/>
              <w:autoSpaceDN w:val="0"/>
              <w:adjustRightInd w:val="0"/>
              <w:spacing w:line="560" w:lineRule="exact"/>
              <w:jc w:val="center"/>
              <w:rPr>
                <w:rFonts w:ascii="??_GB2312" w:hAnsi="??_GB2312" w:eastAsia="Times New Roman"/>
                <w:kern w:val="0"/>
                <w:sz w:val="32"/>
                <w:szCs w:val="32"/>
              </w:rPr>
            </w:pPr>
            <w:r>
              <w:rPr>
                <w:rFonts w:ascii="??_GB2312" w:hAnsi="??_GB2312" w:eastAsia="Times New Roman"/>
                <w:kern w:val="0"/>
                <w:sz w:val="32"/>
                <w:szCs w:val="32"/>
              </w:rPr>
              <w:t>3</w:t>
            </w:r>
          </w:p>
        </w:tc>
        <w:tc>
          <w:tcPr>
            <w:tcW w:w="3538" w:type="dxa"/>
            <w:vAlign w:val="center"/>
          </w:tcPr>
          <w:p w14:paraId="2E0338B2">
            <w:pPr>
              <w:autoSpaceDE w:val="0"/>
              <w:autoSpaceDN w:val="0"/>
              <w:adjustRightInd w:val="0"/>
              <w:spacing w:line="560" w:lineRule="exact"/>
              <w:jc w:val="center"/>
              <w:rPr>
                <w:rFonts w:ascii="??_GB2312" w:hAnsi="??_GB2312" w:eastAsia="Times New Roman"/>
                <w:kern w:val="0"/>
                <w:sz w:val="32"/>
                <w:szCs w:val="32"/>
                <w:lang w:val="zh-CN"/>
              </w:rPr>
            </w:pPr>
            <w:r>
              <w:rPr>
                <w:rFonts w:hint="eastAsia" w:ascii="宋体" w:hAnsi="宋体" w:cs="宋体"/>
                <w:kern w:val="0"/>
                <w:sz w:val="32"/>
                <w:szCs w:val="32"/>
                <w:lang w:val="zh-CN"/>
              </w:rPr>
              <w:t>区综合管理部</w:t>
            </w:r>
          </w:p>
        </w:tc>
        <w:tc>
          <w:tcPr>
            <w:tcW w:w="2438" w:type="dxa"/>
            <w:vAlign w:val="center"/>
          </w:tcPr>
          <w:p w14:paraId="6A47582F">
            <w:pPr>
              <w:autoSpaceDE w:val="0"/>
              <w:autoSpaceDN w:val="0"/>
              <w:adjustRightInd w:val="0"/>
              <w:spacing w:line="560" w:lineRule="exact"/>
              <w:jc w:val="center"/>
              <w:rPr>
                <w:rFonts w:ascii="??_GB2312" w:hAnsi="??_GB2312" w:eastAsia="Times New Roman"/>
                <w:kern w:val="0"/>
                <w:sz w:val="32"/>
                <w:szCs w:val="32"/>
              </w:rPr>
            </w:pPr>
            <w:r>
              <w:rPr>
                <w:rFonts w:ascii="??_GB2312" w:hAnsi="??_GB2312" w:eastAsia="Times New Roman"/>
                <w:kern w:val="0"/>
                <w:sz w:val="32"/>
                <w:szCs w:val="32"/>
              </w:rPr>
              <w:t>6922001</w:t>
            </w:r>
          </w:p>
        </w:tc>
        <w:tc>
          <w:tcPr>
            <w:tcW w:w="1616" w:type="dxa"/>
            <w:vAlign w:val="center"/>
          </w:tcPr>
          <w:p w14:paraId="0EA917E8">
            <w:pPr>
              <w:autoSpaceDE w:val="0"/>
              <w:autoSpaceDN w:val="0"/>
              <w:adjustRightInd w:val="0"/>
              <w:spacing w:line="560" w:lineRule="exact"/>
              <w:jc w:val="center"/>
              <w:rPr>
                <w:rFonts w:ascii="??_GB2312" w:hAnsi="??_GB2312" w:eastAsia="Times New Roman"/>
                <w:kern w:val="0"/>
                <w:sz w:val="32"/>
                <w:szCs w:val="32"/>
                <w:lang w:val="zh-CN"/>
              </w:rPr>
            </w:pPr>
          </w:p>
        </w:tc>
      </w:tr>
      <w:tr w14:paraId="7503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802" w:type="dxa"/>
            <w:vAlign w:val="center"/>
          </w:tcPr>
          <w:p w14:paraId="1816D3BD">
            <w:pPr>
              <w:autoSpaceDE w:val="0"/>
              <w:autoSpaceDN w:val="0"/>
              <w:adjustRightInd w:val="0"/>
              <w:spacing w:line="560" w:lineRule="exact"/>
              <w:jc w:val="center"/>
              <w:rPr>
                <w:rFonts w:ascii="??_GB2312" w:hAnsi="??_GB2312" w:eastAsia="Times New Roman"/>
                <w:kern w:val="0"/>
                <w:sz w:val="32"/>
                <w:szCs w:val="32"/>
              </w:rPr>
            </w:pPr>
            <w:r>
              <w:rPr>
                <w:rFonts w:ascii="??_GB2312" w:hAnsi="??_GB2312" w:eastAsia="Times New Roman"/>
                <w:kern w:val="0"/>
                <w:sz w:val="32"/>
                <w:szCs w:val="32"/>
              </w:rPr>
              <w:t>4</w:t>
            </w:r>
          </w:p>
        </w:tc>
        <w:tc>
          <w:tcPr>
            <w:tcW w:w="3538" w:type="dxa"/>
            <w:vAlign w:val="center"/>
          </w:tcPr>
          <w:p w14:paraId="074F5ACE">
            <w:pPr>
              <w:autoSpaceDE w:val="0"/>
              <w:autoSpaceDN w:val="0"/>
              <w:adjustRightInd w:val="0"/>
              <w:spacing w:line="560" w:lineRule="exact"/>
              <w:jc w:val="center"/>
              <w:rPr>
                <w:rFonts w:ascii="??_GB2312" w:hAnsi="??_GB2312" w:eastAsia="Times New Roman"/>
                <w:kern w:val="0"/>
                <w:sz w:val="32"/>
                <w:szCs w:val="32"/>
                <w:lang w:val="zh-CN"/>
              </w:rPr>
            </w:pPr>
            <w:r>
              <w:rPr>
                <w:rFonts w:hint="eastAsia" w:ascii="宋体" w:hAnsi="宋体" w:cs="宋体"/>
                <w:kern w:val="0"/>
                <w:sz w:val="32"/>
                <w:szCs w:val="32"/>
                <w:lang w:val="zh-CN"/>
              </w:rPr>
              <w:t>区党群工作部</w:t>
            </w:r>
          </w:p>
        </w:tc>
        <w:tc>
          <w:tcPr>
            <w:tcW w:w="2438" w:type="dxa"/>
            <w:vAlign w:val="center"/>
          </w:tcPr>
          <w:p w14:paraId="083A60AF">
            <w:pPr>
              <w:autoSpaceDE w:val="0"/>
              <w:autoSpaceDN w:val="0"/>
              <w:adjustRightInd w:val="0"/>
              <w:spacing w:line="560" w:lineRule="exact"/>
              <w:jc w:val="center"/>
              <w:rPr>
                <w:rFonts w:ascii="??_GB2312" w:hAnsi="??_GB2312" w:eastAsia="Times New Roman"/>
                <w:kern w:val="0"/>
                <w:sz w:val="32"/>
                <w:szCs w:val="32"/>
              </w:rPr>
            </w:pPr>
            <w:r>
              <w:rPr>
                <w:rFonts w:ascii="??_GB2312" w:hAnsi="??_GB2312" w:eastAsia="Times New Roman"/>
                <w:kern w:val="0"/>
                <w:sz w:val="32"/>
                <w:szCs w:val="32"/>
              </w:rPr>
              <w:t>6922030</w:t>
            </w:r>
          </w:p>
        </w:tc>
        <w:tc>
          <w:tcPr>
            <w:tcW w:w="1616" w:type="dxa"/>
            <w:vAlign w:val="center"/>
          </w:tcPr>
          <w:p w14:paraId="5419DDDB">
            <w:pPr>
              <w:autoSpaceDE w:val="0"/>
              <w:autoSpaceDN w:val="0"/>
              <w:adjustRightInd w:val="0"/>
              <w:spacing w:line="560" w:lineRule="exact"/>
              <w:jc w:val="center"/>
              <w:rPr>
                <w:rFonts w:ascii="??_GB2312" w:hAnsi="??_GB2312" w:eastAsia="Times New Roman"/>
                <w:kern w:val="0"/>
                <w:sz w:val="32"/>
                <w:szCs w:val="32"/>
                <w:lang w:val="zh-CN"/>
              </w:rPr>
            </w:pPr>
          </w:p>
        </w:tc>
      </w:tr>
      <w:tr w14:paraId="6AA3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802" w:type="dxa"/>
            <w:vAlign w:val="center"/>
          </w:tcPr>
          <w:p w14:paraId="5F437AB1">
            <w:pPr>
              <w:autoSpaceDE w:val="0"/>
              <w:autoSpaceDN w:val="0"/>
              <w:adjustRightInd w:val="0"/>
              <w:spacing w:line="560" w:lineRule="exact"/>
              <w:jc w:val="center"/>
              <w:rPr>
                <w:rFonts w:ascii="??_GB2312" w:hAnsi="??_GB2312" w:eastAsia="Times New Roman"/>
                <w:kern w:val="0"/>
                <w:sz w:val="32"/>
                <w:szCs w:val="32"/>
              </w:rPr>
            </w:pPr>
            <w:r>
              <w:rPr>
                <w:rFonts w:ascii="??_GB2312" w:hAnsi="??_GB2312" w:eastAsia="Times New Roman"/>
                <w:kern w:val="0"/>
                <w:sz w:val="32"/>
                <w:szCs w:val="32"/>
              </w:rPr>
              <w:t>5</w:t>
            </w:r>
          </w:p>
        </w:tc>
        <w:tc>
          <w:tcPr>
            <w:tcW w:w="3538" w:type="dxa"/>
            <w:vAlign w:val="center"/>
          </w:tcPr>
          <w:p w14:paraId="7276A3AC">
            <w:pPr>
              <w:autoSpaceDE w:val="0"/>
              <w:autoSpaceDN w:val="0"/>
              <w:adjustRightInd w:val="0"/>
              <w:spacing w:line="560" w:lineRule="exact"/>
              <w:jc w:val="center"/>
              <w:rPr>
                <w:rFonts w:ascii="??_GB2312" w:hAnsi="??_GB2312" w:eastAsia="Times New Roman"/>
                <w:kern w:val="0"/>
                <w:sz w:val="32"/>
                <w:szCs w:val="32"/>
                <w:lang w:val="zh-CN"/>
              </w:rPr>
            </w:pPr>
            <w:r>
              <w:rPr>
                <w:rFonts w:hint="eastAsia" w:ascii="宋体" w:hAnsi="宋体" w:cs="宋体"/>
                <w:kern w:val="0"/>
                <w:sz w:val="32"/>
                <w:szCs w:val="32"/>
                <w:lang w:val="zh-CN"/>
              </w:rPr>
              <w:t>区财政金融部</w:t>
            </w:r>
          </w:p>
        </w:tc>
        <w:tc>
          <w:tcPr>
            <w:tcW w:w="2438" w:type="dxa"/>
            <w:vAlign w:val="center"/>
          </w:tcPr>
          <w:p w14:paraId="2DD80714">
            <w:pPr>
              <w:autoSpaceDE w:val="0"/>
              <w:autoSpaceDN w:val="0"/>
              <w:adjustRightInd w:val="0"/>
              <w:spacing w:line="560" w:lineRule="exact"/>
              <w:jc w:val="center"/>
              <w:rPr>
                <w:rFonts w:ascii="??_GB2312" w:hAnsi="??_GB2312" w:eastAsia="Times New Roman"/>
                <w:kern w:val="0"/>
                <w:sz w:val="32"/>
                <w:szCs w:val="32"/>
              </w:rPr>
            </w:pPr>
            <w:r>
              <w:rPr>
                <w:rFonts w:ascii="??_GB2312" w:hAnsi="??_GB2312" w:eastAsia="Times New Roman"/>
                <w:kern w:val="0"/>
                <w:sz w:val="32"/>
                <w:szCs w:val="32"/>
              </w:rPr>
              <w:t>6922060</w:t>
            </w:r>
          </w:p>
        </w:tc>
        <w:tc>
          <w:tcPr>
            <w:tcW w:w="1616" w:type="dxa"/>
            <w:vAlign w:val="center"/>
          </w:tcPr>
          <w:p w14:paraId="713712AC">
            <w:pPr>
              <w:autoSpaceDE w:val="0"/>
              <w:autoSpaceDN w:val="0"/>
              <w:adjustRightInd w:val="0"/>
              <w:spacing w:line="560" w:lineRule="exact"/>
              <w:jc w:val="center"/>
              <w:rPr>
                <w:rFonts w:ascii="??_GB2312" w:hAnsi="??_GB2312" w:eastAsia="Times New Roman"/>
                <w:kern w:val="0"/>
                <w:sz w:val="32"/>
                <w:szCs w:val="32"/>
                <w:lang w:val="zh-CN"/>
              </w:rPr>
            </w:pPr>
          </w:p>
        </w:tc>
      </w:tr>
      <w:tr w14:paraId="6362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802" w:type="dxa"/>
            <w:vAlign w:val="center"/>
          </w:tcPr>
          <w:p w14:paraId="50439DA5">
            <w:pPr>
              <w:autoSpaceDE w:val="0"/>
              <w:autoSpaceDN w:val="0"/>
              <w:adjustRightInd w:val="0"/>
              <w:spacing w:line="560" w:lineRule="exact"/>
              <w:jc w:val="center"/>
              <w:rPr>
                <w:rFonts w:ascii="??_GB2312" w:hAnsi="??_GB2312" w:eastAsia="Times New Roman"/>
                <w:kern w:val="0"/>
                <w:sz w:val="32"/>
                <w:szCs w:val="32"/>
              </w:rPr>
            </w:pPr>
            <w:r>
              <w:rPr>
                <w:rFonts w:ascii="??_GB2312" w:hAnsi="??_GB2312" w:eastAsia="Times New Roman"/>
                <w:kern w:val="0"/>
                <w:sz w:val="32"/>
                <w:szCs w:val="32"/>
              </w:rPr>
              <w:t>6</w:t>
            </w:r>
          </w:p>
        </w:tc>
        <w:tc>
          <w:tcPr>
            <w:tcW w:w="3538" w:type="dxa"/>
            <w:vAlign w:val="center"/>
          </w:tcPr>
          <w:p w14:paraId="6FD0797A">
            <w:pPr>
              <w:autoSpaceDE w:val="0"/>
              <w:autoSpaceDN w:val="0"/>
              <w:adjustRightInd w:val="0"/>
              <w:spacing w:line="560" w:lineRule="exact"/>
              <w:jc w:val="center"/>
              <w:rPr>
                <w:rFonts w:ascii="??_GB2312" w:hAnsi="??_GB2312" w:eastAsia="Times New Roman"/>
                <w:kern w:val="0"/>
                <w:sz w:val="32"/>
                <w:szCs w:val="32"/>
                <w:lang w:val="zh-CN"/>
              </w:rPr>
            </w:pPr>
            <w:r>
              <w:rPr>
                <w:rFonts w:hint="eastAsia" w:ascii="宋体" w:hAnsi="宋体" w:cs="宋体"/>
                <w:kern w:val="0"/>
                <w:sz w:val="32"/>
                <w:szCs w:val="32"/>
                <w:lang w:val="zh-CN"/>
              </w:rPr>
              <w:t>区公安分局</w:t>
            </w:r>
          </w:p>
        </w:tc>
        <w:tc>
          <w:tcPr>
            <w:tcW w:w="2438" w:type="dxa"/>
            <w:vAlign w:val="center"/>
          </w:tcPr>
          <w:p w14:paraId="614C7AD2">
            <w:pPr>
              <w:autoSpaceDE w:val="0"/>
              <w:autoSpaceDN w:val="0"/>
              <w:adjustRightInd w:val="0"/>
              <w:spacing w:line="560" w:lineRule="exact"/>
              <w:jc w:val="center"/>
              <w:rPr>
                <w:rFonts w:ascii="??_GB2312" w:hAnsi="??_GB2312" w:eastAsia="Times New Roman"/>
                <w:kern w:val="0"/>
                <w:sz w:val="32"/>
                <w:szCs w:val="32"/>
              </w:rPr>
            </w:pPr>
            <w:r>
              <w:rPr>
                <w:rFonts w:ascii="??_GB2312" w:hAnsi="??_GB2312" w:eastAsia="Times New Roman"/>
                <w:kern w:val="0"/>
                <w:sz w:val="32"/>
                <w:szCs w:val="32"/>
              </w:rPr>
              <w:t>6760110</w:t>
            </w:r>
          </w:p>
        </w:tc>
        <w:tc>
          <w:tcPr>
            <w:tcW w:w="1616" w:type="dxa"/>
            <w:vAlign w:val="center"/>
          </w:tcPr>
          <w:p w14:paraId="79413EB2">
            <w:pPr>
              <w:autoSpaceDE w:val="0"/>
              <w:autoSpaceDN w:val="0"/>
              <w:adjustRightInd w:val="0"/>
              <w:spacing w:line="560" w:lineRule="exact"/>
              <w:jc w:val="center"/>
              <w:rPr>
                <w:rFonts w:ascii="??_GB2312" w:hAnsi="??_GB2312" w:eastAsia="Times New Roman"/>
                <w:kern w:val="0"/>
                <w:sz w:val="32"/>
                <w:szCs w:val="32"/>
                <w:lang w:val="zh-CN"/>
              </w:rPr>
            </w:pPr>
          </w:p>
        </w:tc>
      </w:tr>
      <w:tr w14:paraId="2A5A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802" w:type="dxa"/>
            <w:vAlign w:val="center"/>
          </w:tcPr>
          <w:p w14:paraId="11C0E58E">
            <w:pPr>
              <w:autoSpaceDE w:val="0"/>
              <w:autoSpaceDN w:val="0"/>
              <w:adjustRightInd w:val="0"/>
              <w:spacing w:line="560" w:lineRule="exact"/>
              <w:jc w:val="center"/>
              <w:rPr>
                <w:rFonts w:ascii="??_GB2312" w:hAnsi="??_GB2312" w:eastAsia="Times New Roman"/>
                <w:kern w:val="0"/>
                <w:sz w:val="32"/>
                <w:szCs w:val="32"/>
              </w:rPr>
            </w:pPr>
            <w:r>
              <w:rPr>
                <w:rFonts w:ascii="??_GB2312" w:hAnsi="??_GB2312" w:eastAsia="Times New Roman"/>
                <w:kern w:val="0"/>
                <w:sz w:val="32"/>
                <w:szCs w:val="32"/>
              </w:rPr>
              <w:t>7</w:t>
            </w:r>
          </w:p>
        </w:tc>
        <w:tc>
          <w:tcPr>
            <w:tcW w:w="3538" w:type="dxa"/>
            <w:vAlign w:val="center"/>
          </w:tcPr>
          <w:p w14:paraId="7FE7CE1B">
            <w:pPr>
              <w:autoSpaceDE w:val="0"/>
              <w:autoSpaceDN w:val="0"/>
              <w:adjustRightInd w:val="0"/>
              <w:spacing w:line="560" w:lineRule="exact"/>
              <w:jc w:val="center"/>
              <w:rPr>
                <w:rFonts w:ascii="??_GB2312" w:hAnsi="??_GB2312" w:eastAsia="Times New Roman"/>
                <w:kern w:val="0"/>
                <w:sz w:val="32"/>
                <w:szCs w:val="32"/>
                <w:lang w:val="zh-CN"/>
              </w:rPr>
            </w:pPr>
            <w:r>
              <w:rPr>
                <w:rFonts w:hint="eastAsia" w:ascii="宋体" w:hAnsi="宋体" w:cs="宋体"/>
                <w:kern w:val="0"/>
                <w:sz w:val="32"/>
                <w:szCs w:val="32"/>
                <w:lang w:val="zh-CN"/>
              </w:rPr>
              <w:t>区市场监管分局</w:t>
            </w:r>
          </w:p>
        </w:tc>
        <w:tc>
          <w:tcPr>
            <w:tcW w:w="2438" w:type="dxa"/>
            <w:vAlign w:val="center"/>
          </w:tcPr>
          <w:p w14:paraId="7CB85DFE">
            <w:pPr>
              <w:autoSpaceDE w:val="0"/>
              <w:autoSpaceDN w:val="0"/>
              <w:adjustRightInd w:val="0"/>
              <w:spacing w:line="560" w:lineRule="exact"/>
              <w:jc w:val="center"/>
              <w:rPr>
                <w:rFonts w:ascii="??_GB2312" w:hAnsi="??_GB2312"/>
                <w:kern w:val="0"/>
                <w:sz w:val="32"/>
                <w:szCs w:val="32"/>
              </w:rPr>
            </w:pPr>
            <w:r>
              <w:rPr>
                <w:rFonts w:ascii="??_GB2312" w:hAnsi="??_GB2312" w:eastAsia="Times New Roman"/>
                <w:kern w:val="0"/>
                <w:sz w:val="32"/>
                <w:szCs w:val="32"/>
              </w:rPr>
              <w:t>692</w:t>
            </w:r>
            <w:r>
              <w:rPr>
                <w:rFonts w:hint="eastAsia" w:ascii="??_GB2312" w:hAnsi="??_GB2312"/>
                <w:kern w:val="0"/>
                <w:sz w:val="32"/>
                <w:szCs w:val="32"/>
              </w:rPr>
              <w:t>5395</w:t>
            </w:r>
          </w:p>
        </w:tc>
        <w:tc>
          <w:tcPr>
            <w:tcW w:w="1616" w:type="dxa"/>
            <w:vAlign w:val="center"/>
          </w:tcPr>
          <w:p w14:paraId="61B4D56E">
            <w:pPr>
              <w:autoSpaceDE w:val="0"/>
              <w:autoSpaceDN w:val="0"/>
              <w:adjustRightInd w:val="0"/>
              <w:spacing w:line="560" w:lineRule="exact"/>
              <w:jc w:val="center"/>
              <w:rPr>
                <w:rFonts w:ascii="??_GB2312" w:hAnsi="??_GB2312" w:eastAsia="Times New Roman"/>
                <w:kern w:val="0"/>
                <w:sz w:val="32"/>
                <w:szCs w:val="32"/>
                <w:lang w:val="zh-CN"/>
              </w:rPr>
            </w:pPr>
          </w:p>
        </w:tc>
      </w:tr>
      <w:tr w14:paraId="1A13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802" w:type="dxa"/>
            <w:vAlign w:val="center"/>
          </w:tcPr>
          <w:p w14:paraId="00E202AE">
            <w:pPr>
              <w:autoSpaceDE w:val="0"/>
              <w:autoSpaceDN w:val="0"/>
              <w:adjustRightInd w:val="0"/>
              <w:spacing w:line="560" w:lineRule="exact"/>
              <w:jc w:val="center"/>
              <w:rPr>
                <w:rFonts w:ascii="??_GB2312" w:hAnsi="??_GB2312" w:eastAsia="Times New Roman"/>
                <w:kern w:val="0"/>
                <w:sz w:val="32"/>
                <w:szCs w:val="32"/>
              </w:rPr>
            </w:pPr>
            <w:r>
              <w:rPr>
                <w:rFonts w:ascii="??_GB2312" w:hAnsi="??_GB2312" w:eastAsia="Times New Roman"/>
                <w:kern w:val="0"/>
                <w:sz w:val="32"/>
                <w:szCs w:val="32"/>
              </w:rPr>
              <w:t>8</w:t>
            </w:r>
          </w:p>
        </w:tc>
        <w:tc>
          <w:tcPr>
            <w:tcW w:w="3538" w:type="dxa"/>
            <w:vAlign w:val="center"/>
          </w:tcPr>
          <w:p w14:paraId="29A525F2">
            <w:pPr>
              <w:autoSpaceDE w:val="0"/>
              <w:autoSpaceDN w:val="0"/>
              <w:adjustRightInd w:val="0"/>
              <w:spacing w:line="560" w:lineRule="exact"/>
              <w:jc w:val="center"/>
              <w:rPr>
                <w:rFonts w:ascii="??_GB2312" w:hAnsi="??_GB2312" w:eastAsia="Times New Roman"/>
                <w:kern w:val="0"/>
                <w:sz w:val="32"/>
                <w:szCs w:val="32"/>
                <w:lang w:val="zh-CN"/>
              </w:rPr>
            </w:pPr>
            <w:r>
              <w:rPr>
                <w:rFonts w:hint="eastAsia" w:ascii="宋体" w:hAnsi="宋体" w:cs="宋体"/>
                <w:kern w:val="0"/>
                <w:sz w:val="32"/>
                <w:szCs w:val="32"/>
                <w:lang w:val="zh-CN"/>
              </w:rPr>
              <w:t>区生态环境分局</w:t>
            </w:r>
          </w:p>
        </w:tc>
        <w:tc>
          <w:tcPr>
            <w:tcW w:w="2438" w:type="dxa"/>
            <w:vAlign w:val="center"/>
          </w:tcPr>
          <w:p w14:paraId="28705ABF">
            <w:pPr>
              <w:autoSpaceDE w:val="0"/>
              <w:autoSpaceDN w:val="0"/>
              <w:adjustRightInd w:val="0"/>
              <w:spacing w:line="560" w:lineRule="exact"/>
              <w:jc w:val="center"/>
              <w:rPr>
                <w:rFonts w:ascii="??_GB2312" w:hAnsi="??_GB2312" w:eastAsia="Times New Roman"/>
                <w:kern w:val="0"/>
                <w:sz w:val="32"/>
                <w:szCs w:val="32"/>
              </w:rPr>
            </w:pPr>
            <w:r>
              <w:rPr>
                <w:rFonts w:ascii="??_GB2312" w:hAnsi="??_GB2312" w:eastAsia="Times New Roman"/>
                <w:kern w:val="0"/>
                <w:sz w:val="32"/>
                <w:szCs w:val="32"/>
              </w:rPr>
              <w:t>6922365</w:t>
            </w:r>
          </w:p>
        </w:tc>
        <w:tc>
          <w:tcPr>
            <w:tcW w:w="1616" w:type="dxa"/>
            <w:vAlign w:val="center"/>
          </w:tcPr>
          <w:p w14:paraId="3009EF54">
            <w:pPr>
              <w:autoSpaceDE w:val="0"/>
              <w:autoSpaceDN w:val="0"/>
              <w:adjustRightInd w:val="0"/>
              <w:spacing w:line="560" w:lineRule="exact"/>
              <w:jc w:val="center"/>
              <w:rPr>
                <w:rFonts w:ascii="??_GB2312" w:hAnsi="??_GB2312" w:eastAsia="Times New Roman"/>
                <w:kern w:val="0"/>
                <w:sz w:val="32"/>
                <w:szCs w:val="32"/>
                <w:lang w:val="zh-CN"/>
              </w:rPr>
            </w:pPr>
          </w:p>
        </w:tc>
      </w:tr>
      <w:tr w14:paraId="7AB4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802" w:type="dxa"/>
            <w:vAlign w:val="center"/>
          </w:tcPr>
          <w:p w14:paraId="20F6DAA3">
            <w:pPr>
              <w:autoSpaceDE w:val="0"/>
              <w:autoSpaceDN w:val="0"/>
              <w:adjustRightInd w:val="0"/>
              <w:spacing w:line="560" w:lineRule="exact"/>
              <w:jc w:val="center"/>
              <w:rPr>
                <w:rFonts w:ascii="??_GB2312" w:hAnsi="??_GB2312" w:eastAsia="Times New Roman"/>
                <w:kern w:val="0"/>
                <w:sz w:val="32"/>
                <w:szCs w:val="32"/>
              </w:rPr>
            </w:pPr>
            <w:r>
              <w:rPr>
                <w:rFonts w:ascii="??_GB2312" w:hAnsi="??_GB2312" w:eastAsia="Times New Roman"/>
                <w:kern w:val="0"/>
                <w:sz w:val="32"/>
                <w:szCs w:val="32"/>
              </w:rPr>
              <w:t>9</w:t>
            </w:r>
          </w:p>
        </w:tc>
        <w:tc>
          <w:tcPr>
            <w:tcW w:w="3538" w:type="dxa"/>
            <w:vAlign w:val="center"/>
          </w:tcPr>
          <w:p w14:paraId="01E1F9D9">
            <w:pPr>
              <w:autoSpaceDE w:val="0"/>
              <w:autoSpaceDN w:val="0"/>
              <w:adjustRightInd w:val="0"/>
              <w:spacing w:line="560" w:lineRule="exact"/>
              <w:jc w:val="center"/>
              <w:rPr>
                <w:rFonts w:ascii="??_GB2312" w:hAnsi="??_GB2312" w:eastAsia="Times New Roman"/>
                <w:kern w:val="0"/>
                <w:sz w:val="32"/>
                <w:szCs w:val="32"/>
                <w:lang w:val="zh-CN"/>
              </w:rPr>
            </w:pPr>
            <w:r>
              <w:rPr>
                <w:rFonts w:hint="eastAsia" w:ascii="宋体" w:hAnsi="宋体" w:cs="宋体"/>
                <w:kern w:val="0"/>
                <w:sz w:val="32"/>
                <w:szCs w:val="32"/>
                <w:lang w:val="zh-CN"/>
              </w:rPr>
              <w:t>区卫生健康管理办公室</w:t>
            </w:r>
          </w:p>
        </w:tc>
        <w:tc>
          <w:tcPr>
            <w:tcW w:w="2438" w:type="dxa"/>
            <w:vAlign w:val="center"/>
          </w:tcPr>
          <w:p w14:paraId="35C2AF32">
            <w:pPr>
              <w:autoSpaceDE w:val="0"/>
              <w:autoSpaceDN w:val="0"/>
              <w:adjustRightInd w:val="0"/>
              <w:spacing w:line="560" w:lineRule="exact"/>
              <w:jc w:val="center"/>
              <w:rPr>
                <w:rFonts w:ascii="??_GB2312" w:hAnsi="??_GB2312"/>
                <w:kern w:val="0"/>
                <w:sz w:val="32"/>
                <w:szCs w:val="32"/>
              </w:rPr>
            </w:pPr>
            <w:r>
              <w:rPr>
                <w:rFonts w:ascii="??_GB2312" w:hAnsi="??_GB2312" w:eastAsia="Times New Roman"/>
                <w:kern w:val="0"/>
                <w:sz w:val="32"/>
                <w:szCs w:val="32"/>
              </w:rPr>
              <w:t>692</w:t>
            </w:r>
            <w:r>
              <w:rPr>
                <w:rFonts w:hint="eastAsia" w:ascii="??_GB2312" w:hAnsi="??_GB2312"/>
                <w:kern w:val="0"/>
                <w:sz w:val="32"/>
                <w:szCs w:val="32"/>
              </w:rPr>
              <w:t>5280</w:t>
            </w:r>
          </w:p>
        </w:tc>
        <w:tc>
          <w:tcPr>
            <w:tcW w:w="1616" w:type="dxa"/>
            <w:vAlign w:val="center"/>
          </w:tcPr>
          <w:p w14:paraId="655C7BA1">
            <w:pPr>
              <w:autoSpaceDE w:val="0"/>
              <w:autoSpaceDN w:val="0"/>
              <w:adjustRightInd w:val="0"/>
              <w:spacing w:line="560" w:lineRule="exact"/>
              <w:jc w:val="center"/>
              <w:rPr>
                <w:rFonts w:ascii="??_GB2312" w:hAnsi="??_GB2312" w:eastAsia="Times New Roman"/>
                <w:kern w:val="0"/>
                <w:sz w:val="32"/>
                <w:szCs w:val="32"/>
                <w:lang w:val="zh-CN"/>
              </w:rPr>
            </w:pPr>
          </w:p>
        </w:tc>
      </w:tr>
      <w:tr w14:paraId="5CF7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802" w:type="dxa"/>
            <w:vAlign w:val="center"/>
          </w:tcPr>
          <w:p w14:paraId="1384D214">
            <w:pPr>
              <w:autoSpaceDE w:val="0"/>
              <w:autoSpaceDN w:val="0"/>
              <w:adjustRightInd w:val="0"/>
              <w:spacing w:line="560" w:lineRule="exact"/>
              <w:jc w:val="center"/>
              <w:rPr>
                <w:rFonts w:ascii="??_GB2312" w:hAnsi="??_GB2312" w:eastAsia="Times New Roman"/>
                <w:kern w:val="0"/>
                <w:sz w:val="32"/>
                <w:szCs w:val="32"/>
              </w:rPr>
            </w:pPr>
            <w:r>
              <w:rPr>
                <w:rFonts w:ascii="??_GB2312" w:hAnsi="??_GB2312" w:eastAsia="Times New Roman"/>
                <w:kern w:val="0"/>
                <w:sz w:val="32"/>
                <w:szCs w:val="32"/>
              </w:rPr>
              <w:t>10</w:t>
            </w:r>
          </w:p>
        </w:tc>
        <w:tc>
          <w:tcPr>
            <w:tcW w:w="3538" w:type="dxa"/>
            <w:vAlign w:val="center"/>
          </w:tcPr>
          <w:p w14:paraId="02B88FBE">
            <w:pPr>
              <w:autoSpaceDE w:val="0"/>
              <w:autoSpaceDN w:val="0"/>
              <w:adjustRightInd w:val="0"/>
              <w:spacing w:line="560" w:lineRule="exact"/>
              <w:jc w:val="center"/>
              <w:rPr>
                <w:rFonts w:ascii="??_GB2312" w:hAnsi="??_GB2312" w:eastAsia="Times New Roman"/>
                <w:kern w:val="0"/>
                <w:sz w:val="32"/>
                <w:szCs w:val="32"/>
                <w:lang w:val="zh-CN"/>
              </w:rPr>
            </w:pPr>
            <w:r>
              <w:rPr>
                <w:rFonts w:hint="eastAsia" w:ascii="宋体" w:hAnsi="宋体" w:cs="宋体"/>
                <w:kern w:val="0"/>
                <w:sz w:val="32"/>
                <w:szCs w:val="32"/>
                <w:lang w:val="zh-CN"/>
              </w:rPr>
              <w:t>区应急管理分局</w:t>
            </w:r>
          </w:p>
        </w:tc>
        <w:tc>
          <w:tcPr>
            <w:tcW w:w="2438" w:type="dxa"/>
            <w:vAlign w:val="center"/>
          </w:tcPr>
          <w:p w14:paraId="57E83D7A">
            <w:pPr>
              <w:autoSpaceDE w:val="0"/>
              <w:autoSpaceDN w:val="0"/>
              <w:adjustRightInd w:val="0"/>
              <w:spacing w:line="560" w:lineRule="exact"/>
              <w:jc w:val="center"/>
              <w:rPr>
                <w:rFonts w:ascii="??_GB2312" w:hAnsi="??_GB2312" w:eastAsia="Times New Roman"/>
                <w:kern w:val="0"/>
                <w:sz w:val="32"/>
                <w:szCs w:val="32"/>
              </w:rPr>
            </w:pPr>
            <w:r>
              <w:rPr>
                <w:rFonts w:ascii="??_GB2312" w:hAnsi="??_GB2312" w:eastAsia="Times New Roman"/>
                <w:kern w:val="0"/>
                <w:sz w:val="32"/>
                <w:szCs w:val="32"/>
              </w:rPr>
              <w:t>6755119</w:t>
            </w:r>
          </w:p>
        </w:tc>
        <w:tc>
          <w:tcPr>
            <w:tcW w:w="1616" w:type="dxa"/>
            <w:vAlign w:val="center"/>
          </w:tcPr>
          <w:p w14:paraId="695B87AE">
            <w:pPr>
              <w:autoSpaceDE w:val="0"/>
              <w:autoSpaceDN w:val="0"/>
              <w:adjustRightInd w:val="0"/>
              <w:spacing w:line="560" w:lineRule="exact"/>
              <w:jc w:val="center"/>
              <w:rPr>
                <w:rFonts w:ascii="??_GB2312" w:hAnsi="??_GB2312" w:eastAsia="Times New Roman"/>
                <w:kern w:val="0"/>
                <w:sz w:val="32"/>
                <w:szCs w:val="32"/>
                <w:lang w:val="zh-CN"/>
              </w:rPr>
            </w:pPr>
          </w:p>
        </w:tc>
      </w:tr>
      <w:tr w14:paraId="1B21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802" w:type="dxa"/>
            <w:vAlign w:val="center"/>
          </w:tcPr>
          <w:p w14:paraId="7E4C2C6E">
            <w:pPr>
              <w:autoSpaceDE w:val="0"/>
              <w:autoSpaceDN w:val="0"/>
              <w:adjustRightInd w:val="0"/>
              <w:spacing w:line="560" w:lineRule="exact"/>
              <w:jc w:val="center"/>
              <w:rPr>
                <w:rFonts w:ascii="??_GB2312" w:hAnsi="??_GB2312" w:cs="??_GB2312"/>
                <w:kern w:val="0"/>
                <w:sz w:val="32"/>
                <w:szCs w:val="32"/>
              </w:rPr>
            </w:pPr>
            <w:r>
              <w:rPr>
                <w:rFonts w:ascii="??_GB2312" w:hAnsi="??_GB2312" w:cs="??_GB2312"/>
                <w:kern w:val="0"/>
                <w:sz w:val="32"/>
                <w:szCs w:val="32"/>
              </w:rPr>
              <w:t>11</w:t>
            </w:r>
          </w:p>
        </w:tc>
        <w:tc>
          <w:tcPr>
            <w:tcW w:w="3538" w:type="dxa"/>
            <w:vAlign w:val="center"/>
          </w:tcPr>
          <w:p w14:paraId="5C98FB7D">
            <w:pPr>
              <w:autoSpaceDE w:val="0"/>
              <w:autoSpaceDN w:val="0"/>
              <w:adjustRightInd w:val="0"/>
              <w:spacing w:line="560" w:lineRule="exact"/>
              <w:jc w:val="center"/>
              <w:rPr>
                <w:rFonts w:ascii="??_GB2312" w:hAnsi="??_GB2312" w:eastAsia="Times New Roman"/>
                <w:kern w:val="0"/>
                <w:sz w:val="32"/>
                <w:szCs w:val="32"/>
                <w:lang w:val="zh-CN"/>
              </w:rPr>
            </w:pPr>
            <w:r>
              <w:rPr>
                <w:rFonts w:hint="eastAsia" w:ascii="宋体" w:hAnsi="宋体" w:cs="宋体"/>
                <w:kern w:val="0"/>
                <w:sz w:val="32"/>
                <w:szCs w:val="32"/>
                <w:lang w:val="zh-CN"/>
              </w:rPr>
              <w:t>区消防大队</w:t>
            </w:r>
          </w:p>
        </w:tc>
        <w:tc>
          <w:tcPr>
            <w:tcW w:w="2438" w:type="dxa"/>
            <w:vAlign w:val="center"/>
          </w:tcPr>
          <w:p w14:paraId="1D31CB3D">
            <w:pPr>
              <w:autoSpaceDE w:val="0"/>
              <w:autoSpaceDN w:val="0"/>
              <w:adjustRightInd w:val="0"/>
              <w:spacing w:line="560" w:lineRule="exact"/>
              <w:jc w:val="center"/>
              <w:rPr>
                <w:rFonts w:ascii="??_GB2312" w:hAnsi="??_GB2312" w:eastAsia="Times New Roman"/>
                <w:kern w:val="0"/>
                <w:sz w:val="32"/>
                <w:szCs w:val="32"/>
              </w:rPr>
            </w:pPr>
            <w:r>
              <w:rPr>
                <w:rFonts w:ascii="??_GB2312" w:hAnsi="??_GB2312" w:eastAsia="Times New Roman"/>
                <w:kern w:val="0"/>
                <w:sz w:val="32"/>
                <w:szCs w:val="32"/>
              </w:rPr>
              <w:t>6922620</w:t>
            </w:r>
          </w:p>
        </w:tc>
        <w:tc>
          <w:tcPr>
            <w:tcW w:w="1616" w:type="dxa"/>
            <w:vAlign w:val="center"/>
          </w:tcPr>
          <w:p w14:paraId="7C367308">
            <w:pPr>
              <w:autoSpaceDE w:val="0"/>
              <w:autoSpaceDN w:val="0"/>
              <w:adjustRightInd w:val="0"/>
              <w:spacing w:line="560" w:lineRule="exact"/>
              <w:jc w:val="center"/>
              <w:rPr>
                <w:rFonts w:ascii="??_GB2312" w:hAnsi="??_GB2312" w:eastAsia="Times New Roman"/>
                <w:kern w:val="0"/>
                <w:sz w:val="32"/>
                <w:szCs w:val="32"/>
                <w:lang w:val="zh-CN"/>
              </w:rPr>
            </w:pPr>
          </w:p>
        </w:tc>
      </w:tr>
    </w:tbl>
    <w:p w14:paraId="6D199225">
      <w:pPr>
        <w:autoSpaceDE w:val="0"/>
        <w:autoSpaceDN w:val="0"/>
        <w:adjustRightInd w:val="0"/>
        <w:spacing w:line="560" w:lineRule="exact"/>
        <w:jc w:val="left"/>
        <w:rPr>
          <w:rFonts w:ascii="??_GB2312" w:hAnsi="??_GB2312" w:eastAsia="Times New Roman"/>
          <w:kern w:val="0"/>
          <w:sz w:val="32"/>
          <w:szCs w:val="32"/>
          <w:lang w:val="zh-CN"/>
        </w:rPr>
      </w:pPr>
    </w:p>
    <w:p w14:paraId="5BC5410A">
      <w:pPr>
        <w:autoSpaceDE w:val="0"/>
        <w:autoSpaceDN w:val="0"/>
        <w:adjustRightInd w:val="0"/>
        <w:spacing w:line="560" w:lineRule="exact"/>
        <w:jc w:val="left"/>
        <w:rPr>
          <w:rFonts w:ascii="宋体" w:cs="宋体"/>
          <w:kern w:val="0"/>
          <w:sz w:val="32"/>
          <w:szCs w:val="32"/>
        </w:rPr>
      </w:pPr>
      <w:r>
        <w:rPr>
          <w:rFonts w:hint="eastAsia" w:ascii="黑体" w:hAnsi="黑体" w:eastAsia="黑体" w:cs="黑体"/>
          <w:kern w:val="0"/>
          <w:sz w:val="32"/>
          <w:szCs w:val="32"/>
          <w:lang w:val="zh-CN"/>
        </w:rPr>
        <w:t>附件</w:t>
      </w:r>
      <w:r>
        <w:rPr>
          <w:rFonts w:hint="eastAsia" w:ascii="黑体" w:hAnsi="黑体" w:eastAsia="黑体" w:cs="黑体"/>
          <w:kern w:val="0"/>
          <w:sz w:val="32"/>
          <w:szCs w:val="32"/>
        </w:rPr>
        <w:t>3</w:t>
      </w:r>
    </w:p>
    <w:p w14:paraId="5843DA38">
      <w:pPr>
        <w:autoSpaceDE w:val="0"/>
        <w:autoSpaceDN w:val="0"/>
        <w:adjustRightInd w:val="0"/>
        <w:spacing w:line="560" w:lineRule="exact"/>
        <w:jc w:val="center"/>
        <w:rPr>
          <w:rFonts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特种设备安全事故应急处置流程图</w:t>
      </w:r>
    </w:p>
    <w:p w14:paraId="2258D827">
      <w:pPr>
        <w:autoSpaceDE w:val="0"/>
        <w:autoSpaceDN w:val="0"/>
        <w:adjustRightInd w:val="0"/>
        <w:spacing w:line="560" w:lineRule="exact"/>
        <w:ind w:firstLine="824" w:firstLineChars="400"/>
        <w:jc w:val="left"/>
        <w:rPr>
          <w:rFonts w:ascii="华文中宋" w:hAnsi="华文中宋" w:eastAsia="华文中宋"/>
          <w:b/>
          <w:bCs/>
          <w:kern w:val="0"/>
          <w:sz w:val="36"/>
          <w:szCs w:val="36"/>
          <w:lang w:val="zh-CN"/>
        </w:rPr>
      </w:pPr>
      <w:r>
        <w:pict>
          <v:rect id="_x0000_s2081" o:spid="_x0000_s2081" o:spt="1" style="position:absolute;left:0pt;margin-left:226.6pt;margin-top:3.6pt;height:28.55pt;width:91.5pt;z-index:251741184;mso-width-relative:page;mso-height-relative:page;" coordsize="21600,21600" o:gfxdata="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4vLwvW&#10;AAAACAEAAA8AAAAAAAAAAQAgAAAAIgAAAGRycy9kb3ducmV2LnhtbFBLAQIUABQAAAAIAIdO4kB3&#10;E1Af6QEAAN8DAAAOAAAAAAAAAAEAIAAAACUBAABkcnMvZTJvRG9jLnhtbFBLBQYAAAAABgAGAFkB&#10;AACABQAAAAA=&#10;">
            <v:path/>
            <v:fill focussize="0,0"/>
            <v:stroke/>
            <v:imagedata o:title=""/>
            <o:lock v:ext="edit"/>
            <v:textbox>
              <w:txbxContent>
                <w:p w14:paraId="237708B9">
                  <w:pPr>
                    <w:spacing w:line="400" w:lineRule="exact"/>
                    <w:jc w:val="center"/>
                    <w:rPr>
                      <w:sz w:val="24"/>
                    </w:rPr>
                  </w:pPr>
                  <w:r>
                    <w:rPr>
                      <w:rFonts w:hint="eastAsia" w:cs="宋体"/>
                      <w:sz w:val="24"/>
                    </w:rPr>
                    <w:t>先期处置</w:t>
                  </w:r>
                </w:p>
              </w:txbxContent>
            </v:textbox>
          </v:rect>
        </w:pict>
      </w:r>
      <w:r>
        <w:pict>
          <v:line id="直线 3" o:spid="_x0000_s2080" o:spt="20" style="position:absolute;left:0pt;margin-left:175.1pt;margin-top:18.2pt;height:0.05pt;width:42.75pt;z-index:251754496;mso-width-relative:page;mso-height-relative:page;" coordsize="21600,21600" o:gfxdata="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A1lBtoAAAAJAQAADwAAAAAAAAAB&#10;ACAAAAAiAAAAZHJzL2Rvd25yZXYueG1sUEsBAhQAFAAAAAgAh07iQDY/DifVAQAAlAMAAA4AAAAA&#10;AAAAAQAgAAAAKQEAAGRycy9lMm9Eb2MueG1sUEsFBgAAAAAGAAYAWQEAAHAFAAAAAA==&#10;">
            <v:path arrowok="t"/>
            <v:fill focussize="0,0"/>
            <v:stroke endarrow="block"/>
            <v:imagedata o:title=""/>
            <o:lock v:ext="edit"/>
          </v:line>
        </w:pict>
      </w:r>
      <w:r>
        <w:pict>
          <v:rect id="矩形 4" o:spid="_x0000_s2079" o:spt="1" style="position:absolute;left:0pt;margin-left:30.9pt;margin-top:3.6pt;height:33.3pt;width:143.25pt;z-index:251740160;mso-width-relative:page;mso-height-relative:page;" coordsize="21600,21600" o:gfxdata="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juexLV&#10;AAAABwEAAA8AAAAAAAAAAQAgAAAAIgAAAGRycy9kb3ducmV2LnhtbFBLAQIUABQAAAAIAIdO4kBo&#10;Vp3E6gEAAN0DAAAOAAAAAAAAAAEAIAAAACQBAABkcnMvZTJvRG9jLnhtbFBLBQYAAAAABgAGAFkB&#10;AACABQAAAAA=&#10;">
            <v:path/>
            <v:fill focussize="0,0"/>
            <v:stroke/>
            <v:imagedata o:title=""/>
            <o:lock v:ext="edit"/>
            <v:textbox>
              <w:txbxContent>
                <w:p w14:paraId="13A0C370">
                  <w:pPr>
                    <w:jc w:val="center"/>
                    <w:rPr>
                      <w:sz w:val="24"/>
                    </w:rPr>
                  </w:pPr>
                  <w:r>
                    <w:rPr>
                      <w:rFonts w:hint="eastAsia" w:cs="宋体"/>
                      <w:sz w:val="24"/>
                    </w:rPr>
                    <w:t>事故单位</w:t>
                  </w:r>
                </w:p>
              </w:txbxContent>
            </v:textbox>
          </v:rect>
        </w:pict>
      </w:r>
    </w:p>
    <w:p w14:paraId="30F8656B">
      <w:pPr>
        <w:autoSpaceDE w:val="0"/>
        <w:autoSpaceDN w:val="0"/>
        <w:adjustRightInd w:val="0"/>
        <w:spacing w:line="560" w:lineRule="exact"/>
        <w:jc w:val="left"/>
        <w:rPr>
          <w:rFonts w:ascii="华文中宋" w:hAnsi="华文中宋" w:eastAsia="华文中宋"/>
          <w:b/>
          <w:bCs/>
          <w:kern w:val="0"/>
          <w:sz w:val="36"/>
          <w:szCs w:val="36"/>
          <w:lang w:val="zh-CN"/>
        </w:rPr>
      </w:pPr>
      <w:r>
        <w:pict>
          <v:line id="直线 5" o:spid="_x0000_s2078" o:spt="20" style="position:absolute;left:0pt;margin-left:103pt;margin-top:19.4pt;height:21.4pt;width:0.05pt;z-index:251755520;mso-width-relative:page;mso-height-relative:page;" coordsize="21600,21600" o:gfxdata="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ZLjsdgAAAAJAQAADwAAAAAAAAAB&#10;ACAAAAAiAAAAZHJzL2Rvd25yZXYueG1sUEsBAhQAFAAAAAgAh07iQBFHeLfXAQAAlAMAAA4AAAAA&#10;AAAAAQAgAAAAJwEAAGRycy9lMm9Eb2MueG1sUEsFBgAAAAAGAAYAWQEAAHAFAAAAAA==&#10;">
            <v:path arrowok="t"/>
            <v:fill focussize="0,0"/>
            <v:stroke endarrow="block"/>
            <v:imagedata o:title=""/>
            <o:lock v:ext="edit"/>
          </v:line>
        </w:pict>
      </w:r>
      <w:r>
        <w:rPr>
          <w:rFonts w:ascii="华文中宋" w:hAnsi="华文中宋" w:eastAsia="华文中宋" w:cs="华文中宋"/>
          <w:b/>
          <w:bCs/>
          <w:kern w:val="0"/>
        </w:rPr>
        <w:t xml:space="preserve">                     1</w:t>
      </w:r>
      <w:r>
        <w:rPr>
          <w:rFonts w:hint="eastAsia" w:ascii="华文中宋" w:hAnsi="华文中宋" w:eastAsia="华文中宋" w:cs="华文中宋"/>
          <w:b/>
          <w:bCs/>
          <w:kern w:val="0"/>
        </w:rPr>
        <w:t>小时内上报</w:t>
      </w:r>
    </w:p>
    <w:p w14:paraId="060D6E57">
      <w:pPr>
        <w:autoSpaceDE w:val="0"/>
        <w:autoSpaceDN w:val="0"/>
        <w:adjustRightInd w:val="0"/>
        <w:spacing w:line="560" w:lineRule="exact"/>
        <w:ind w:firstLine="824" w:firstLineChars="400"/>
        <w:jc w:val="left"/>
        <w:rPr>
          <w:rFonts w:ascii="华文中宋" w:hAnsi="华文中宋" w:eastAsia="华文中宋"/>
          <w:b/>
          <w:bCs/>
          <w:kern w:val="0"/>
          <w:sz w:val="36"/>
          <w:szCs w:val="36"/>
          <w:lang w:val="zh-CN"/>
        </w:rPr>
      </w:pPr>
      <w:r>
        <w:pict>
          <v:rect id="矩形 6" o:spid="_x0000_s2077" o:spt="1" style="position:absolute;left:0pt;margin-left:288.4pt;margin-top:20.6pt;height:43.8pt;width:108.15pt;z-index:251743232;mso-width-relative:page;mso-height-relative:page;" coordsize="21600,21600" o:gfxdata="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DN/ENkAAAAKAQAADwAAAAAAAAABACAAAAAiAAAAZHJzL2Rvd25yZXYueG1sUEsBAhQAFAAAAAgA&#10;h07iQHbq4k3rAQAA3QMAAA4AAAAAAAAAAQAgAAAAKAEAAGRycy9lMm9Eb2MueG1sUEsFBgAAAAAG&#10;AAYAWQEAAIUFAAAAAA==&#10;">
            <v:path/>
            <v:fill focussize="0,0"/>
            <v:stroke/>
            <v:imagedata o:title=""/>
            <o:lock v:ext="edit"/>
            <v:textbox>
              <w:txbxContent>
                <w:p w14:paraId="101ACE2E">
                  <w:pPr>
                    <w:spacing w:line="240" w:lineRule="exact"/>
                    <w:jc w:val="center"/>
                    <w:rPr>
                      <w:sz w:val="24"/>
                    </w:rPr>
                  </w:pPr>
                  <w:r>
                    <w:rPr>
                      <w:rFonts w:hint="eastAsia" w:cs="宋体"/>
                      <w:sz w:val="24"/>
                    </w:rPr>
                    <w:t>区应急管理分局</w:t>
                  </w:r>
                </w:p>
                <w:p w14:paraId="39B55AB6">
                  <w:pPr>
                    <w:spacing w:line="240" w:lineRule="exact"/>
                    <w:jc w:val="center"/>
                    <w:rPr>
                      <w:sz w:val="24"/>
                    </w:rPr>
                  </w:pPr>
                </w:p>
                <w:p w14:paraId="04E22165">
                  <w:pPr>
                    <w:spacing w:line="240" w:lineRule="exact"/>
                    <w:jc w:val="center"/>
                    <w:rPr>
                      <w:sz w:val="24"/>
                    </w:rPr>
                  </w:pPr>
                  <w:r>
                    <w:rPr>
                      <w:rFonts w:hint="eastAsia" w:cs="宋体"/>
                      <w:sz w:val="24"/>
                    </w:rPr>
                    <w:t>区综合管理部</w:t>
                  </w:r>
                </w:p>
              </w:txbxContent>
            </v:textbox>
          </v:rect>
        </w:pict>
      </w:r>
      <w:r>
        <w:pict>
          <v:rect id="矩形 7" o:spid="_x0000_s2076" o:spt="1" style="position:absolute;left:0pt;margin-left:-10.3pt;margin-top:20.6pt;height:47.15pt;width:224.9pt;z-index:251742208;mso-width-relative:page;mso-height-relative:page;" coordsize="21600,21600" o:gfxdata="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Jnf/&#10;2AAAAAoBAAAPAAAAAAAAAAEAIAAAACIAAABkcnMvZG93bnJldi54bWxQSwECFAAUAAAACACHTuJA&#10;giNET+gBAADdAwAADgAAAAAAAAABACAAAAAnAQAAZHJzL2Uyb0RvYy54bWxQSwUGAAAAAAYABgBZ&#10;AQAAgQUAAAAA&#10;">
            <v:path/>
            <v:fill focussize="0,0"/>
            <v:stroke/>
            <v:imagedata o:title=""/>
            <o:lock v:ext="edit"/>
            <v:textbox>
              <w:txbxContent>
                <w:p w14:paraId="2B00EBBD">
                  <w:pPr>
                    <w:spacing w:line="240" w:lineRule="exact"/>
                    <w:jc w:val="center"/>
                    <w:rPr>
                      <w:sz w:val="24"/>
                    </w:rPr>
                  </w:pPr>
                  <w:r>
                    <w:rPr>
                      <w:rFonts w:hint="eastAsia" w:cs="宋体"/>
                      <w:sz w:val="24"/>
                    </w:rPr>
                    <w:t>区市场监管分局</w:t>
                  </w:r>
                </w:p>
                <w:p w14:paraId="346CFF70">
                  <w:pPr>
                    <w:jc w:val="center"/>
                    <w:rPr>
                      <w:sz w:val="24"/>
                    </w:rPr>
                  </w:pPr>
                  <w:r>
                    <w:rPr>
                      <w:rFonts w:hint="eastAsia" w:cs="宋体"/>
                      <w:sz w:val="24"/>
                    </w:rPr>
                    <w:t>（特种设备安全事故应急办公室）</w:t>
                  </w:r>
                </w:p>
              </w:txbxContent>
            </v:textbox>
          </v:rect>
        </w:pict>
      </w:r>
    </w:p>
    <w:p w14:paraId="374C962B">
      <w:pPr>
        <w:autoSpaceDE w:val="0"/>
        <w:autoSpaceDN w:val="0"/>
        <w:adjustRightInd w:val="0"/>
        <w:spacing w:line="560" w:lineRule="exact"/>
        <w:ind w:firstLine="824" w:firstLineChars="400"/>
        <w:jc w:val="left"/>
        <w:rPr>
          <w:rFonts w:ascii="华文中宋" w:hAnsi="华文中宋" w:eastAsia="华文中宋"/>
          <w:b/>
          <w:bCs/>
          <w:kern w:val="0"/>
          <w:sz w:val="36"/>
          <w:szCs w:val="36"/>
          <w:lang w:val="zh-CN"/>
        </w:rPr>
      </w:pPr>
      <w:r>
        <w:pict>
          <v:line id="直线 8" o:spid="_x0000_s2075" o:spt="20" style="position:absolute;left:0pt;margin-left:216.3pt;margin-top:7.2pt;height:0.05pt;width:56.25pt;z-index:251756544;mso-width-relative:page;mso-height-relative:page;" coordsize="21600,21600" o:gfxdata="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HG5mrZAAAACQEAAA8AAAAAAAAA&#10;AQAgAAAAIgAAAGRycy9kb3ducmV2LnhtbFBLAQIUABQAAAAIAIdO4kA15dO81wEAAJQDAAAOAAAA&#10;AAAAAAEAIAAAACgBAABkcnMvZTJvRG9jLnhtbFBLBQYAAAAABgAGAFkBAABxBQAAAAA=&#10;">
            <v:path arrowok="t"/>
            <v:fill focussize="0,0"/>
            <v:stroke endarrow="block"/>
            <v:imagedata o:title=""/>
            <o:lock v:ext="edit"/>
          </v:line>
        </w:pict>
      </w:r>
      <w:r>
        <w:rPr>
          <w:rFonts w:ascii="华文中宋" w:hAnsi="华文中宋" w:eastAsia="华文中宋" w:cs="华文中宋"/>
          <w:b/>
          <w:bCs/>
          <w:kern w:val="0"/>
        </w:rPr>
        <w:t xml:space="preserve">                                   </w:t>
      </w:r>
      <w:r>
        <w:rPr>
          <w:rFonts w:hint="eastAsia" w:ascii="华文中宋" w:hAnsi="华文中宋" w:eastAsia="华文中宋" w:cs="华文中宋"/>
          <w:b/>
          <w:bCs/>
          <w:kern w:val="0"/>
        </w:rPr>
        <w:t>立即上报</w:t>
      </w:r>
    </w:p>
    <w:p w14:paraId="6D34540D">
      <w:pPr>
        <w:autoSpaceDE w:val="0"/>
        <w:autoSpaceDN w:val="0"/>
        <w:adjustRightInd w:val="0"/>
        <w:spacing w:line="560" w:lineRule="exact"/>
        <w:ind w:firstLine="824" w:firstLineChars="400"/>
        <w:jc w:val="left"/>
        <w:rPr>
          <w:rFonts w:ascii="华文中宋" w:hAnsi="华文中宋" w:eastAsia="华文中宋"/>
          <w:b/>
          <w:bCs/>
          <w:kern w:val="0"/>
          <w:sz w:val="36"/>
          <w:szCs w:val="36"/>
        </w:rPr>
      </w:pPr>
      <w:r>
        <w:pict>
          <v:line id="直线 9" o:spid="_x0000_s2074" o:spt="20" style="position:absolute;left:0pt;margin-left:339.9pt;margin-top:8.4pt;height:33pt;width:0.05pt;z-index:251771904;mso-width-relative:page;mso-height-relative:page;" coordsize="21600,21600" o:gfxdata="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8BvHrZAAAACQEAAA8AAAAAAAAA&#10;AQAgAAAAIgAAAGRycy9kb3ducmV2LnhtbFBLAQIUABQAAAAIAIdO4kAysf/F1wEAAJQDAAAOAAAA&#10;AAAAAAEAIAAAACgBAABkcnMvZTJvRG9jLnhtbFBLBQYAAAAABgAGAFkBAABxBQAAAAA=&#10;">
            <v:path arrowok="t"/>
            <v:fill focussize="0,0"/>
            <v:stroke endarrow="block"/>
            <v:imagedata o:title=""/>
            <o:lock v:ext="edit"/>
          </v:line>
        </w:pict>
      </w:r>
      <w:r>
        <w:pict>
          <v:line id="直线 10" o:spid="_x0000_s2073" o:spt="20" style="position:absolute;left:0pt;margin-left:103pt;margin-top:8.4pt;height:36pt;width:0.05pt;z-index:251757568;mso-width-relative:page;mso-height-relative:page;" coordsize="21600,21600" o:gfxdata="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RyZ11wAAAAkBAAAPAAAAAAAAAAEAIAAA&#10;ACIAAABkcnMvZG93bnJldi54bWxQSwECFAAUAAAACACHTuJAVRGpXdQBAACVAwAADgAAAAAAAAAB&#10;ACAAAAAmAQAAZHJzL2Uyb0RvYy54bWxQSwUGAAAAAAYABgBZAQAAbAUAAAAA&#10;">
            <v:path arrowok="t"/>
            <v:fill focussize="0,0"/>
            <v:stroke endarrow="block"/>
            <v:imagedata o:title=""/>
            <o:lock v:ext="edit"/>
          </v:line>
        </w:pict>
      </w:r>
      <w:r>
        <w:rPr>
          <w:rFonts w:ascii="华文中宋" w:hAnsi="华文中宋" w:eastAsia="华文中宋" w:cs="华文中宋"/>
          <w:b/>
          <w:bCs/>
          <w:kern w:val="0"/>
        </w:rPr>
        <w:t xml:space="preserve">              </w:t>
      </w:r>
      <w:r>
        <w:rPr>
          <w:rFonts w:hint="eastAsia" w:ascii="华文中宋" w:hAnsi="华文中宋" w:eastAsia="华文中宋" w:cs="华文中宋"/>
          <w:b/>
          <w:bCs/>
          <w:kern w:val="0"/>
        </w:rPr>
        <w:t>立即上报</w:t>
      </w:r>
      <w:r>
        <w:rPr>
          <w:rFonts w:ascii="华文中宋" w:hAnsi="华文中宋" w:eastAsia="华文中宋" w:cs="华文中宋"/>
          <w:b/>
          <w:bCs/>
          <w:kern w:val="0"/>
        </w:rPr>
        <w:t xml:space="preserve">                                    1</w:t>
      </w:r>
      <w:r>
        <w:rPr>
          <w:rFonts w:hint="eastAsia" w:ascii="华文中宋" w:hAnsi="华文中宋" w:eastAsia="华文中宋" w:cs="华文中宋"/>
          <w:b/>
          <w:bCs/>
          <w:kern w:val="0"/>
        </w:rPr>
        <w:t>小时内上报</w:t>
      </w:r>
    </w:p>
    <w:p w14:paraId="55B109C5">
      <w:pPr>
        <w:autoSpaceDE w:val="0"/>
        <w:autoSpaceDN w:val="0"/>
        <w:adjustRightInd w:val="0"/>
        <w:spacing w:line="560" w:lineRule="exact"/>
        <w:ind w:firstLine="824" w:firstLineChars="400"/>
        <w:jc w:val="left"/>
        <w:rPr>
          <w:rFonts w:ascii="华文中宋" w:hAnsi="华文中宋" w:eastAsia="华文中宋"/>
          <w:b/>
          <w:bCs/>
          <w:kern w:val="0"/>
          <w:sz w:val="36"/>
          <w:szCs w:val="36"/>
          <w:lang w:val="zh-CN"/>
        </w:rPr>
      </w:pPr>
      <w:r>
        <w:pict>
          <v:rect id="矩形 11" o:spid="_x0000_s2072" o:spt="1" style="position:absolute;left:0pt;margin-left:288.4pt;margin-top:24.2pt;height:43.8pt;width:110.1pt;z-index:251770880;mso-width-relative:page;mso-height-relative:page;" coordsize="21600,21600" o:gfxdata="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QADEfZAAAACgEAAA8AAAAAAAAAAQAgAAAAIgAAAGRycy9kb3ducmV2LnhtbFBLAQIUABQAAAAI&#10;AIdO4kCkI/my7AEAAN4DAAAOAAAAAAAAAAEAIAAAACgBAABkcnMvZTJvRG9jLnhtbFBLBQYAAAAA&#10;BgAGAFkBAACGBQAAAAA=&#10;">
            <v:path/>
            <v:fill focussize="0,0"/>
            <v:stroke/>
            <v:imagedata o:title=""/>
            <o:lock v:ext="edit"/>
            <v:textbox>
              <w:txbxContent>
                <w:p w14:paraId="196BB0A3">
                  <w:pPr>
                    <w:spacing w:line="240" w:lineRule="exact"/>
                    <w:jc w:val="center"/>
                    <w:rPr>
                      <w:sz w:val="24"/>
                    </w:rPr>
                  </w:pPr>
                  <w:r>
                    <w:rPr>
                      <w:rFonts w:hint="eastAsia" w:cs="宋体"/>
                      <w:sz w:val="24"/>
                    </w:rPr>
                    <w:t>市应急管理局</w:t>
                  </w:r>
                </w:p>
                <w:p w14:paraId="71CA5D13">
                  <w:pPr>
                    <w:jc w:val="center"/>
                    <w:rPr>
                      <w:sz w:val="24"/>
                    </w:rPr>
                  </w:pPr>
                  <w:r>
                    <w:rPr>
                      <w:rFonts w:hint="eastAsia" w:cs="宋体"/>
                      <w:sz w:val="24"/>
                    </w:rPr>
                    <w:t>市政府办公室</w:t>
                  </w:r>
                </w:p>
              </w:txbxContent>
            </v:textbox>
          </v:rect>
        </w:pict>
      </w:r>
      <w:r>
        <w:pict>
          <v:rect id="矩形 12" o:spid="_x0000_s2071" o:spt="1" style="position:absolute;left:0pt;margin-left:-5.15pt;margin-top:10.8pt;height:43pt;width:225pt;z-index:251744256;mso-width-relative:page;mso-height-relative:page;" coordsize="21600,21600" o:gfxdata="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BSTE/&#10;2AAAAAoBAAAPAAAAAAAAAAEAIAAAACIAAABkcnMvZG93bnJldi54bWxQSwECFAAUAAAACACHTuJA&#10;gX66cOgBAADeAwAADgAAAAAAAAABACAAAAAnAQAAZHJzL2Uyb0RvYy54bWxQSwUGAAAAAAYABgBZ&#10;AQAAgQUAAAAA&#10;">
            <v:path/>
            <v:fill focussize="0,0"/>
            <v:stroke/>
            <v:imagedata o:title=""/>
            <o:lock v:ext="edit"/>
            <v:textbox>
              <w:txbxContent>
                <w:p w14:paraId="2BE73673">
                  <w:pPr>
                    <w:spacing w:line="240" w:lineRule="exact"/>
                    <w:jc w:val="center"/>
                    <w:rPr>
                      <w:sz w:val="24"/>
                    </w:rPr>
                  </w:pPr>
                  <w:r>
                    <w:rPr>
                      <w:rFonts w:hint="eastAsia" w:cs="宋体"/>
                      <w:sz w:val="24"/>
                    </w:rPr>
                    <w:t>区特种设备安全事故应急领导小组</w:t>
                  </w:r>
                </w:p>
                <w:p w14:paraId="19ED7B03">
                  <w:pPr>
                    <w:jc w:val="center"/>
                    <w:rPr>
                      <w:sz w:val="24"/>
                    </w:rPr>
                  </w:pPr>
                  <w:r>
                    <w:rPr>
                      <w:rFonts w:hint="eastAsia" w:cs="宋体"/>
                      <w:sz w:val="24"/>
                    </w:rPr>
                    <w:t>由领导小组确定是否启动预案</w:t>
                  </w:r>
                </w:p>
                <w:p w14:paraId="3EB183FB"/>
              </w:txbxContent>
            </v:textbox>
          </v:rect>
        </w:pict>
      </w:r>
    </w:p>
    <w:p w14:paraId="6F5FEF78">
      <w:pPr>
        <w:autoSpaceDE w:val="0"/>
        <w:autoSpaceDN w:val="0"/>
        <w:adjustRightInd w:val="0"/>
        <w:spacing w:line="560" w:lineRule="exact"/>
        <w:jc w:val="left"/>
        <w:rPr>
          <w:rFonts w:ascii="华文中宋" w:hAnsi="华文中宋" w:eastAsia="华文中宋"/>
          <w:b/>
          <w:bCs/>
          <w:kern w:val="0"/>
          <w:sz w:val="36"/>
          <w:szCs w:val="36"/>
          <w:lang w:val="zh-CN"/>
        </w:rPr>
      </w:pPr>
      <w:r>
        <w:pict>
          <v:line id="直线 13" o:spid="_x0000_s2070" o:spt="20" style="position:absolute;left:0pt;margin-left:103pt;margin-top:25.4pt;height:30pt;width:0.05pt;z-index:251758592;mso-width-relative:page;mso-height-relative:page;" coordsize="21600,21600" o:gfxdata="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Y6TstgAAAAKAQAADwAAAAAA&#10;AAABACAAAAAiAAAAZHJzL2Rvd25yZXYueG1sUEsBAhQAFAAAAAgAh07iQPze0vLaAQAAlQMAAA4A&#10;AAAAAAAAAQAgAAAAJwEAAGRycy9lMm9Eb2MueG1sUEsFBgAAAAAGAAYAWQEAAHMFAAAAAA==&#10;">
            <v:path arrowok="t"/>
            <v:fill focussize="0,0"/>
            <v:stroke endarrow="block"/>
            <v:imagedata o:title=""/>
            <o:lock v:ext="edit"/>
          </v:line>
        </w:pict>
      </w:r>
    </w:p>
    <w:p w14:paraId="3B3761E8">
      <w:pPr>
        <w:autoSpaceDE w:val="0"/>
        <w:autoSpaceDN w:val="0"/>
        <w:adjustRightInd w:val="0"/>
        <w:spacing w:line="560" w:lineRule="exact"/>
        <w:ind w:firstLine="824" w:firstLineChars="400"/>
        <w:jc w:val="left"/>
        <w:rPr>
          <w:rFonts w:ascii="华文中宋" w:hAnsi="华文中宋" w:eastAsia="华文中宋"/>
          <w:b/>
          <w:bCs/>
          <w:kern w:val="0"/>
          <w:sz w:val="36"/>
          <w:szCs w:val="36"/>
          <w:lang w:val="zh-CN"/>
        </w:rPr>
      </w:pPr>
      <w:r>
        <w:pict>
          <v:rect id="矩形 14" o:spid="_x0000_s2069" o:spt="1" style="position:absolute;left:0pt;margin-left:-5.15pt;margin-top:26.6pt;height:45.15pt;width:219.75pt;z-index:251745280;mso-width-relative:page;mso-height-relative:page;" coordsize="21600,21600" o:gfxdata="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PVYxn&#10;2AAAAAoBAAAPAAAAAAAAAAEAIAAAACIAAABkcnMvZG93bnJldi54bWxQSwECFAAUAAAACACHTuJA&#10;4/KueugBAADeAwAADgAAAAAAAAABACAAAAAnAQAAZHJzL2Uyb0RvYy54bWxQSwUGAAAAAAYABgBZ&#10;AQAAgQUAAAAA&#10;">
            <v:path/>
            <v:fill focussize="0,0"/>
            <v:stroke/>
            <v:imagedata o:title=""/>
            <o:lock v:ext="edit"/>
            <v:textbox>
              <w:txbxContent>
                <w:p w14:paraId="557FFDDC">
                  <w:pPr>
                    <w:spacing w:line="240" w:lineRule="exact"/>
                    <w:jc w:val="center"/>
                    <w:rPr>
                      <w:sz w:val="24"/>
                    </w:rPr>
                  </w:pPr>
                  <w:r>
                    <w:rPr>
                      <w:rFonts w:hint="eastAsia" w:cs="宋体"/>
                      <w:sz w:val="24"/>
                    </w:rPr>
                    <w:t>区市场监管分局</w:t>
                  </w:r>
                </w:p>
                <w:p w14:paraId="7B35DE5A">
                  <w:pPr>
                    <w:jc w:val="center"/>
                    <w:rPr>
                      <w:sz w:val="24"/>
                    </w:rPr>
                  </w:pPr>
                  <w:r>
                    <w:rPr>
                      <w:rFonts w:hint="eastAsia" w:cs="宋体"/>
                      <w:sz w:val="24"/>
                    </w:rPr>
                    <w:t>（特种设备安全事故应急办公室）</w:t>
                  </w:r>
                </w:p>
                <w:p w14:paraId="61D01EA6"/>
              </w:txbxContent>
            </v:textbox>
          </v:rect>
        </w:pict>
      </w:r>
    </w:p>
    <w:p w14:paraId="46371CA3">
      <w:pPr>
        <w:autoSpaceDE w:val="0"/>
        <w:autoSpaceDN w:val="0"/>
        <w:adjustRightInd w:val="0"/>
        <w:spacing w:line="560" w:lineRule="exact"/>
        <w:ind w:firstLine="824" w:firstLineChars="400"/>
        <w:jc w:val="left"/>
        <w:rPr>
          <w:rFonts w:ascii="华文中宋" w:hAnsi="华文中宋" w:eastAsia="华文中宋"/>
          <w:b/>
          <w:bCs/>
          <w:kern w:val="0"/>
          <w:sz w:val="36"/>
          <w:szCs w:val="36"/>
          <w:lang w:val="zh-CN"/>
        </w:rPr>
      </w:pPr>
      <w:r>
        <w:pict>
          <v:rect id="矩形 15" o:spid="_x0000_s2068" o:spt="1" style="position:absolute;left:0pt;margin-left:288.4pt;margin-top:13.2pt;height:40.75pt;width:113.3pt;z-index:251753472;mso-width-relative:page;mso-height-relative:page;" coordsize="21600,21600" o:gfxdata="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g&#10;Vufd2AAAAAoBAAAPAAAAAAAAAAEAIAAAACIAAABkcnMvZG93bnJldi54bWxQSwECFAAUAAAACACH&#10;TuJAQvfZ6OsBAADeAwAADgAAAAAAAAABACAAAAAnAQAAZHJzL2Uyb0RvYy54bWxQSwUGAAAAAAYA&#10;BgBZAQAAhAUAAAAA&#10;">
            <v:path/>
            <v:fill focussize="0,0"/>
            <v:stroke/>
            <v:imagedata o:title=""/>
            <o:lock v:ext="edit"/>
            <v:textbox>
              <w:txbxContent>
                <w:p w14:paraId="71D17D06">
                  <w:pPr>
                    <w:spacing w:line="240" w:lineRule="exact"/>
                    <w:jc w:val="center"/>
                    <w:rPr>
                      <w:sz w:val="24"/>
                    </w:rPr>
                  </w:pPr>
                </w:p>
                <w:p w14:paraId="0502D2A3">
                  <w:pPr>
                    <w:spacing w:line="240" w:lineRule="exact"/>
                    <w:jc w:val="center"/>
                    <w:rPr>
                      <w:sz w:val="24"/>
                    </w:rPr>
                  </w:pPr>
                  <w:r>
                    <w:rPr>
                      <w:rFonts w:hint="eastAsia" w:cs="宋体"/>
                      <w:sz w:val="24"/>
                    </w:rPr>
                    <w:t>市市场监督管理局</w:t>
                  </w:r>
                </w:p>
                <w:p w14:paraId="2A8D5DD0">
                  <w:pPr>
                    <w:spacing w:line="240" w:lineRule="exact"/>
                    <w:jc w:val="center"/>
                    <w:rPr>
                      <w:sz w:val="24"/>
                    </w:rPr>
                  </w:pPr>
                </w:p>
              </w:txbxContent>
            </v:textbox>
          </v:rect>
        </w:pict>
      </w:r>
      <w:r>
        <w:pict>
          <v:line id="直线 16" o:spid="_x0000_s2067" o:spt="20" style="position:absolute;left:0pt;margin-left:216.3pt;margin-top:27.8pt;height:0.05pt;width:69pt;z-index:251769856;mso-width-relative:page;mso-height-relative:page;" coordsize="21600,21600" o:gfxdata="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GeozPZAAAACQEAAA8AAAAAAAAA&#10;AQAgAAAAIgAAAGRycy9kb3ducmV2LnhtbFBLAQIUABQAAAAIAIdO4kCG3ohb1wEAAJUDAAAOAAAA&#10;AAAAAAEAIAAAACgBAABkcnMvZTJvRG9jLnhtbFBLBQYAAAAABgAGAFkBAABxBQAAAAA=&#10;">
            <v:path arrowok="t"/>
            <v:fill focussize="0,0"/>
            <v:stroke endarrow="block"/>
            <v:imagedata o:title=""/>
            <o:lock v:ext="edit"/>
          </v:line>
        </w:pict>
      </w:r>
      <w:r>
        <w:rPr>
          <w:rFonts w:ascii="华文中宋" w:hAnsi="华文中宋" w:eastAsia="华文中宋" w:cs="华文中宋"/>
          <w:b/>
          <w:bCs/>
          <w:kern w:val="0"/>
        </w:rPr>
        <w:t xml:space="preserve">                                  1</w:t>
      </w:r>
      <w:r>
        <w:rPr>
          <w:rFonts w:hint="eastAsia" w:ascii="华文中宋" w:hAnsi="华文中宋" w:eastAsia="华文中宋" w:cs="华文中宋"/>
          <w:b/>
          <w:bCs/>
          <w:kern w:val="0"/>
        </w:rPr>
        <w:t>小时内上报</w:t>
      </w:r>
    </w:p>
    <w:p w14:paraId="229BEF8F">
      <w:pPr>
        <w:autoSpaceDE w:val="0"/>
        <w:autoSpaceDN w:val="0"/>
        <w:adjustRightInd w:val="0"/>
        <w:spacing w:line="560" w:lineRule="exact"/>
        <w:ind w:firstLine="824" w:firstLineChars="400"/>
        <w:jc w:val="left"/>
        <w:rPr>
          <w:rFonts w:ascii="华文中宋" w:hAnsi="华文中宋" w:eastAsia="华文中宋"/>
          <w:b/>
          <w:bCs/>
          <w:kern w:val="0"/>
          <w:sz w:val="36"/>
          <w:szCs w:val="36"/>
          <w:lang w:val="zh-CN"/>
        </w:rPr>
      </w:pPr>
      <w:r>
        <w:pict>
          <v:line id="直线 17" o:spid="_x0000_s2066" o:spt="20" style="position:absolute;left:0pt;margin-left:103pt;margin-top:14.4pt;height:27.75pt;width:0.05pt;z-index:251759616;mso-width-relative:page;mso-height-relative:page;" coordsize="21600,21600" o:gfxdata="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jJrKdkAAAAJAQAADwAAAAAAAAAB&#10;ACAAAAAiAAAAZHJzL2Rvd25yZXYueG1sUEsBAhQAFAAAAAgAh07iQIZdMDXWAQAAlQMAAA4AAAAA&#10;AAAAAQAgAAAAKAEAAGRycy9lMm9Eb2MueG1sUEsFBgAAAAAGAAYAWQEAAHAFAAAAAA==&#10;">
            <v:path arrowok="t"/>
            <v:fill focussize="0,0"/>
            <v:stroke endarrow="block"/>
            <v:imagedata o:title=""/>
            <o:lock v:ext="edit"/>
          </v:line>
        </w:pict>
      </w:r>
    </w:p>
    <w:p w14:paraId="38466585">
      <w:pPr>
        <w:autoSpaceDE w:val="0"/>
        <w:autoSpaceDN w:val="0"/>
        <w:adjustRightInd w:val="0"/>
        <w:spacing w:line="560" w:lineRule="exact"/>
        <w:jc w:val="left"/>
        <w:rPr>
          <w:rFonts w:ascii="华文中宋" w:hAnsi="华文中宋" w:eastAsia="华文中宋"/>
          <w:b/>
          <w:bCs/>
          <w:kern w:val="0"/>
          <w:sz w:val="36"/>
          <w:szCs w:val="36"/>
          <w:lang w:val="zh-CN"/>
        </w:rPr>
      </w:pPr>
      <w:r>
        <w:pict>
          <v:rect id="矩形 18" o:spid="_x0000_s2065" o:spt="1" style="position:absolute;left:0pt;margin-left:0pt;margin-top:15.6pt;height:26.7pt;width:216.7pt;z-index:251746304;mso-width-relative:page;mso-height-relative:page;" coordsize="21600,21600" o:gfxdata="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cAEU1QAA&#10;AAYBAAAPAAAAAAAAAAEAIAAAACIAAABkcnMvZG93bnJldi54bWxQSwECFAAUAAAACACHTuJArAPA&#10;PugBAADeAwAADgAAAAAAAAABACAAAAAkAQAAZHJzL2Uyb0RvYy54bWxQSwUGAAAAAAYABgBZAQAA&#10;fgUAAAAA&#10;">
            <v:path/>
            <v:fill focussize="0,0"/>
            <v:stroke/>
            <v:imagedata o:title=""/>
            <o:lock v:ext="edit"/>
            <v:textbox>
              <w:txbxContent>
                <w:p w14:paraId="11DE720C">
                  <w:pPr>
                    <w:spacing w:line="360" w:lineRule="exact"/>
                    <w:jc w:val="center"/>
                    <w:rPr>
                      <w:sz w:val="24"/>
                    </w:rPr>
                  </w:pPr>
                  <w:r>
                    <w:rPr>
                      <w:rFonts w:hint="eastAsia" w:cs="宋体"/>
                      <w:sz w:val="24"/>
                    </w:rPr>
                    <w:t>通知区应急领导小组各成员单位</w:t>
                  </w:r>
                </w:p>
              </w:txbxContent>
            </v:textbox>
          </v:rect>
        </w:pict>
      </w:r>
    </w:p>
    <w:p w14:paraId="7240D91B">
      <w:pPr>
        <w:autoSpaceDE w:val="0"/>
        <w:autoSpaceDN w:val="0"/>
        <w:adjustRightInd w:val="0"/>
        <w:spacing w:line="560" w:lineRule="exact"/>
        <w:jc w:val="center"/>
        <w:rPr>
          <w:rFonts w:ascii="华文中宋" w:hAnsi="华文中宋" w:eastAsia="华文中宋"/>
          <w:b/>
          <w:bCs/>
          <w:kern w:val="0"/>
          <w:sz w:val="36"/>
          <w:szCs w:val="36"/>
          <w:lang w:val="zh-CN"/>
        </w:rPr>
      </w:pPr>
      <w:r>
        <w:pict>
          <v:line id="直线 19" o:spid="_x0000_s2064" o:spt="20" style="position:absolute;left:0pt;margin-left:103pt;margin-top:16.8pt;height:29.2pt;width:0pt;z-index:251760640;mso-width-relative:page;mso-height-relative:page;" coordsize="21600,21600" o:gfxdata="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5hnTdgAAAAJAQAADwAAAAAAAAAB&#10;ACAAAAAiAAAAZHJzL2Rvd25yZXYueG1sUEsBAhQAFAAAAAgAh07iQNorvJbXAQAAkwMAAA4AAAAA&#10;AAAAAQAgAAAAJwEAAGRycy9lMm9Eb2MueG1sUEsFBgAAAAAGAAYAWQEAAHAFAAAAAA==&#10;">
            <v:path arrowok="t"/>
            <v:fill focussize="0,0"/>
            <v:stroke endarrow="block"/>
            <v:imagedata o:title=""/>
            <o:lock v:ext="edit"/>
          </v:line>
        </w:pict>
      </w:r>
    </w:p>
    <w:p w14:paraId="50A2C94C">
      <w:pPr>
        <w:autoSpaceDE w:val="0"/>
        <w:autoSpaceDN w:val="0"/>
        <w:adjustRightInd w:val="0"/>
        <w:spacing w:line="560" w:lineRule="exact"/>
        <w:ind w:firstLine="824" w:firstLineChars="400"/>
        <w:jc w:val="left"/>
        <w:rPr>
          <w:rFonts w:ascii="华文中宋" w:hAnsi="华文中宋" w:eastAsia="华文中宋"/>
          <w:b/>
          <w:bCs/>
          <w:kern w:val="0"/>
          <w:sz w:val="36"/>
          <w:szCs w:val="36"/>
          <w:lang w:val="zh-CN"/>
        </w:rPr>
      </w:pPr>
      <w:r>
        <w:pict>
          <v:rect id="矩形 20" o:spid="_x0000_s2063" o:spt="1" style="position:absolute;left:0pt;margin-left:303.85pt;margin-top:18pt;height:96.7pt;width:86.25pt;z-index:251748352;mso-width-relative:page;mso-height-relative:page;" coordsize="21600,21600" o:gfxdata="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x/v12QAAAAoBAAAPAAAAAAAAAAEAIAAAACIAAABkcnMvZG93bnJldi54bWxQSwECFAAUAAAACACH&#10;TuJAQmImMuoBAADfAwAADgAAAAAAAAABACAAAAAoAQAAZHJzL2Uyb0RvYy54bWxQSwUGAAAAAAYA&#10;BgBZAQAAhAUAAAAA&#10;">
            <v:path/>
            <v:fill focussize="0,0"/>
            <v:stroke/>
            <v:imagedata o:title=""/>
            <o:lock v:ext="edit"/>
            <v:textbox>
              <w:txbxContent>
                <w:p w14:paraId="4A905E33">
                  <w:pPr>
                    <w:spacing w:line="240" w:lineRule="exact"/>
                    <w:jc w:val="center"/>
                    <w:rPr>
                      <w:sz w:val="24"/>
                    </w:rPr>
                  </w:pPr>
                </w:p>
                <w:p w14:paraId="4D42D0F5">
                  <w:pPr>
                    <w:spacing w:line="360" w:lineRule="exact"/>
                    <w:jc w:val="center"/>
                    <w:rPr>
                      <w:sz w:val="24"/>
                    </w:rPr>
                  </w:pPr>
                  <w:r>
                    <w:rPr>
                      <w:rFonts w:hint="eastAsia" w:cs="宋体"/>
                      <w:sz w:val="24"/>
                    </w:rPr>
                    <w:t>警戒保卫组</w:t>
                  </w:r>
                </w:p>
                <w:p w14:paraId="1CF6CE80">
                  <w:pPr>
                    <w:spacing w:line="360" w:lineRule="exact"/>
                    <w:jc w:val="center"/>
                    <w:rPr>
                      <w:sz w:val="24"/>
                    </w:rPr>
                  </w:pPr>
                  <w:r>
                    <w:rPr>
                      <w:rFonts w:hint="eastAsia" w:cs="宋体"/>
                      <w:sz w:val="24"/>
                    </w:rPr>
                    <w:t>抢险救灾组</w:t>
                  </w:r>
                </w:p>
                <w:p w14:paraId="3A237DB0">
                  <w:pPr>
                    <w:spacing w:line="360" w:lineRule="exact"/>
                    <w:jc w:val="center"/>
                    <w:rPr>
                      <w:sz w:val="24"/>
                    </w:rPr>
                  </w:pPr>
                  <w:r>
                    <w:rPr>
                      <w:rFonts w:hint="eastAsia" w:cs="宋体"/>
                      <w:sz w:val="24"/>
                    </w:rPr>
                    <w:t>技术保障组</w:t>
                  </w:r>
                </w:p>
                <w:p w14:paraId="032B5CE7">
                  <w:pPr>
                    <w:spacing w:line="360" w:lineRule="exact"/>
                    <w:jc w:val="center"/>
                    <w:rPr>
                      <w:sz w:val="24"/>
                    </w:rPr>
                  </w:pPr>
                  <w:r>
                    <w:rPr>
                      <w:rFonts w:hint="eastAsia" w:cs="宋体"/>
                      <w:sz w:val="24"/>
                    </w:rPr>
                    <w:t>后勤保障组</w:t>
                  </w:r>
                </w:p>
                <w:p w14:paraId="58869A7C">
                  <w:pPr>
                    <w:spacing w:line="360" w:lineRule="exact"/>
                    <w:jc w:val="center"/>
                    <w:rPr>
                      <w:sz w:val="24"/>
                    </w:rPr>
                  </w:pPr>
                  <w:r>
                    <w:rPr>
                      <w:rFonts w:hint="eastAsia" w:cs="宋体"/>
                      <w:sz w:val="24"/>
                    </w:rPr>
                    <w:t>善后工作组</w:t>
                  </w:r>
                </w:p>
              </w:txbxContent>
            </v:textbox>
          </v:rect>
        </w:pict>
      </w:r>
      <w:r>
        <w:pict>
          <v:rect id="矩形 21" o:spid="_x0000_s2062" o:spt="1" style="position:absolute;left:0pt;margin-left:-5.15pt;margin-top:18pt;height:28.15pt;width:224.1pt;z-index:251747328;mso-width-relative:page;mso-height-relative:page;" coordsize="21600,21600" o:gfxdata="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apYGLY&#10;AAAACQEAAA8AAAAAAAAAAQAgAAAAIgAAAGRycy9kb3ducmV2LnhtbFBLAQIUABQAAAAIAIdO4kDv&#10;oELZ5wEAAN4DAAAOAAAAAAAAAAEAIAAAACcBAABkcnMvZTJvRG9jLnhtbFBLBQYAAAAABgAGAFkB&#10;AACABQAAAAA=&#10;">
            <v:path/>
            <v:fill focussize="0,0"/>
            <v:stroke/>
            <v:imagedata o:title=""/>
            <o:lock v:ext="edit"/>
            <v:textbox>
              <w:txbxContent>
                <w:p w14:paraId="79A1D674">
                  <w:pPr>
                    <w:spacing w:line="360" w:lineRule="exact"/>
                    <w:rPr>
                      <w:sz w:val="24"/>
                    </w:rPr>
                  </w:pPr>
                  <w:r>
                    <w:rPr>
                      <w:rFonts w:hint="eastAsia" w:cs="宋体"/>
                      <w:sz w:val="24"/>
                    </w:rPr>
                    <w:t>成立特种设备安全事故应急救援指挥部</w:t>
                  </w:r>
                </w:p>
              </w:txbxContent>
            </v:textbox>
          </v:rect>
        </w:pict>
      </w:r>
    </w:p>
    <w:p w14:paraId="01577192">
      <w:pPr>
        <w:autoSpaceDE w:val="0"/>
        <w:autoSpaceDN w:val="0"/>
        <w:adjustRightInd w:val="0"/>
        <w:spacing w:line="560" w:lineRule="exact"/>
        <w:ind w:firstLine="824" w:firstLineChars="400"/>
        <w:jc w:val="left"/>
        <w:rPr>
          <w:rFonts w:ascii="华文中宋" w:hAnsi="华文中宋" w:eastAsia="华文中宋"/>
          <w:b/>
          <w:bCs/>
          <w:kern w:val="0"/>
          <w:sz w:val="36"/>
          <w:szCs w:val="36"/>
          <w:lang w:val="zh-CN"/>
        </w:rPr>
      </w:pPr>
      <w:r>
        <w:pict>
          <v:line id="直线 22" o:spid="_x0000_s2061" o:spt="20" style="position:absolute;left:0pt;margin-left:103pt;margin-top:19.2pt;height:29.2pt;width:0pt;z-index:251761664;mso-width-relative:page;mso-height-relative:page;" coordsize="21600,21600" o:gfxdata="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TfH3ZAAAACQEAAA8AAAAAAAAA&#10;AQAgAAAAIgAAAGRycy9kb3ducmV2LnhtbFBLAQIUABQAAAAIAIdO4kAYxXCm1wEAAJMDAAAOAAAA&#10;AAAAAAEAIAAAACgBAABkcnMvZTJvRG9jLnhtbFBLBQYAAAAABgAGAFkBAABxBQAAAAA=&#10;">
            <v:path arrowok="t"/>
            <v:fill focussize="0,0"/>
            <v:stroke endarrow="block"/>
            <v:imagedata o:title=""/>
            <o:lock v:ext="edit"/>
          </v:line>
        </w:pict>
      </w:r>
      <w:r>
        <w:pict>
          <v:line id="直线 23" o:spid="_x0000_s2060" o:spt="20" style="position:absolute;left:0pt;margin-left:221.45pt;margin-top:4.6pt;height:0.05pt;width:79.5pt;z-index:251763712;mso-width-relative:page;mso-height-relative:page;" coordsize="21600,21600" o:gfxdata="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U1ft31gAAAAcBAAAPAAAAAAAAAAEA&#10;IAAAACIAAABkcnMvZG93bnJldi54bWxQSwECFAAUAAAACACHTuJAMY6DLdgBAACWAwAADgAAAAAA&#10;AAABACAAAAAlAQAAZHJzL2Uyb0RvYy54bWxQSwUGAAAAAAYABgBZAQAAbwUAAAAA&#10;">
            <v:path arrowok="t"/>
            <v:fill focussize="0,0"/>
            <v:stroke endarrow="block"/>
            <v:imagedata o:title=""/>
            <o:lock v:ext="edit"/>
          </v:line>
        </w:pict>
      </w:r>
    </w:p>
    <w:p w14:paraId="7EA0F76A">
      <w:pPr>
        <w:autoSpaceDE w:val="0"/>
        <w:autoSpaceDN w:val="0"/>
        <w:adjustRightInd w:val="0"/>
        <w:spacing w:line="560" w:lineRule="exact"/>
        <w:ind w:firstLine="824" w:firstLineChars="400"/>
        <w:jc w:val="left"/>
        <w:rPr>
          <w:rFonts w:ascii="华文中宋" w:hAnsi="华文中宋" w:eastAsia="华文中宋"/>
          <w:b/>
          <w:bCs/>
          <w:kern w:val="0"/>
          <w:sz w:val="36"/>
          <w:szCs w:val="36"/>
          <w:lang w:val="zh-CN"/>
        </w:rPr>
      </w:pPr>
      <w:r>
        <w:pict>
          <v:rect id="矩形 24" o:spid="_x0000_s2059" o:spt="1" style="position:absolute;left:0pt;margin-left:25.75pt;margin-top:20.4pt;height:25.2pt;width:166.5pt;z-index:251749376;mso-width-relative:page;mso-height-relative:page;" coordsize="21600,21600" o:gfxdata="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ZFA&#10;MNcAAAAIAQAADwAAAAAAAAABACAAAAAiAAAAZHJzL2Rvd25yZXYueG1sUEsBAhQAFAAAAAgAh07i&#10;QCbg0b3qAQAA3gMAAA4AAAAAAAAAAQAgAAAAJgEAAGRycy9lMm9Eb2MueG1sUEsFBgAAAAAGAAYA&#10;WQEAAIIFAAAAAA==&#10;">
            <v:path/>
            <v:fill focussize="0,0"/>
            <v:stroke/>
            <v:imagedata o:title=""/>
            <o:lock v:ext="edit"/>
            <v:textbox>
              <w:txbxContent>
                <w:p w14:paraId="21ED2636">
                  <w:pPr>
                    <w:spacing w:line="360" w:lineRule="exact"/>
                    <w:jc w:val="center"/>
                    <w:rPr>
                      <w:sz w:val="24"/>
                    </w:rPr>
                  </w:pPr>
                  <w:r>
                    <w:rPr>
                      <w:rFonts w:hint="eastAsia" w:cs="宋体"/>
                      <w:sz w:val="24"/>
                    </w:rPr>
                    <w:t>应急处置各项工作</w:t>
                  </w:r>
                </w:p>
              </w:txbxContent>
            </v:textbox>
          </v:rect>
        </w:pict>
      </w:r>
    </w:p>
    <w:p w14:paraId="33EB294B">
      <w:pPr>
        <w:autoSpaceDE w:val="0"/>
        <w:autoSpaceDN w:val="0"/>
        <w:adjustRightInd w:val="0"/>
        <w:spacing w:line="560" w:lineRule="exact"/>
        <w:ind w:firstLine="824" w:firstLineChars="400"/>
        <w:jc w:val="left"/>
        <w:rPr>
          <w:rFonts w:ascii="华文中宋" w:hAnsi="华文中宋" w:eastAsia="华文中宋"/>
          <w:b/>
          <w:bCs/>
          <w:kern w:val="0"/>
          <w:sz w:val="36"/>
          <w:szCs w:val="36"/>
          <w:lang w:val="zh-CN"/>
        </w:rPr>
      </w:pPr>
      <w:r>
        <w:pict>
          <v:line id="直线 25" o:spid="_x0000_s2058" o:spt="20" style="position:absolute;left:0pt;margin-left:103pt;margin-top:21.6pt;height:27.75pt;width:0.05pt;z-index:251762688;mso-width-relative:page;mso-height-relative:page;" coordsize="21600,21600" o:gfxdata="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A3IENoAAAAJAQAADwAAAAAA&#10;AAABACAAAAAiAAAAZHJzL2Rvd25yZXYueG1sUEsBAhQAFAAAAAgAh07iQGW/0wHYAQAAlQMAAA4A&#10;AAAAAAAAAQAgAAAAKQEAAGRycy9lMm9Eb2MueG1sUEsFBgAAAAAGAAYAWQEAAHMFAAAAAA==&#10;">
            <v:path arrowok="t"/>
            <v:fill focussize="0,0"/>
            <v:stroke endarrow="block"/>
            <v:imagedata o:title=""/>
            <o:lock v:ext="edit"/>
          </v:line>
        </w:pict>
      </w:r>
      <w:r>
        <w:pict>
          <v:line id="直线 26" o:spid="_x0000_s2057" o:spt="20" style="position:absolute;left:0pt;flip:x;margin-left:195.7pt;margin-top:7pt;height:0.05pt;width:104.25pt;z-index:251764736;mso-width-relative:page;mso-height-relative:page;" coordsize="21600,21600" o:gfxdata="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tpA+tgAAAAJAQAA&#10;DwAAAAAAAAABACAAAAAiAAAAZHJzL2Rvd25yZXYueG1sUEsBAhQAFAAAAAgAh07iQLaRdFTgAQAA&#10;oAMAAA4AAAAAAAAAAQAgAAAAJwEAAGRycy9lMm9Eb2MueG1sUEsFBgAAAAAGAAYAWQEAAHkFAAAA&#10;AA==&#10;">
            <v:path arrowok="t"/>
            <v:fill focussize="0,0"/>
            <v:stroke endarrow="block"/>
            <v:imagedata o:title=""/>
            <o:lock v:ext="edit"/>
          </v:line>
        </w:pict>
      </w:r>
    </w:p>
    <w:p w14:paraId="58668CD8">
      <w:pPr>
        <w:autoSpaceDE w:val="0"/>
        <w:autoSpaceDN w:val="0"/>
        <w:adjustRightInd w:val="0"/>
        <w:spacing w:line="560" w:lineRule="exact"/>
        <w:ind w:firstLine="824" w:firstLineChars="400"/>
        <w:jc w:val="left"/>
        <w:rPr>
          <w:rFonts w:ascii="华文中宋" w:hAnsi="华文中宋" w:eastAsia="华文中宋"/>
          <w:b/>
          <w:bCs/>
          <w:kern w:val="0"/>
          <w:sz w:val="36"/>
          <w:szCs w:val="36"/>
          <w:lang w:val="zh-CN"/>
        </w:rPr>
      </w:pPr>
      <w:r>
        <w:pict>
          <v:rect id="矩形 27" o:spid="_x0000_s2056" o:spt="1" style="position:absolute;left:0pt;margin-left:20.6pt;margin-top:22.8pt;height:23.85pt;width:167.25pt;z-index:251750400;mso-width-relative:page;mso-height-relative:page;" coordsize="21600,21600" o:gfxdata="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ZVqVPY&#10;AAAACAEAAA8AAAAAAAAAAQAgAAAAIgAAAGRycy9kb3ducmV2LnhtbFBLAQIUABQAAAAIAIdO4kAs&#10;Jo/45wEAAN4DAAAOAAAAAAAAAAEAIAAAACcBAABkcnMvZTJvRG9jLnhtbFBLBQYAAAAABgAGAFkB&#10;AACABQAAAAA=&#10;">
            <v:path/>
            <v:fill focussize="0,0"/>
            <v:stroke/>
            <v:imagedata o:title=""/>
            <o:lock v:ext="edit"/>
            <v:textbox>
              <w:txbxContent>
                <w:p w14:paraId="472DD767">
                  <w:pPr>
                    <w:spacing w:line="240" w:lineRule="exact"/>
                    <w:jc w:val="center"/>
                    <w:rPr>
                      <w:sz w:val="24"/>
                    </w:rPr>
                  </w:pPr>
                  <w:r>
                    <w:rPr>
                      <w:rFonts w:hint="eastAsia" w:cs="宋体"/>
                      <w:sz w:val="24"/>
                    </w:rPr>
                    <w:t>应急救援结束</w:t>
                  </w:r>
                </w:p>
              </w:txbxContent>
            </v:textbox>
          </v:rect>
        </w:pict>
      </w:r>
    </w:p>
    <w:p w14:paraId="7DCDB4A9">
      <w:pPr>
        <w:autoSpaceDE w:val="0"/>
        <w:autoSpaceDN w:val="0"/>
        <w:adjustRightInd w:val="0"/>
        <w:spacing w:line="560" w:lineRule="exact"/>
        <w:ind w:firstLine="824" w:firstLineChars="400"/>
        <w:jc w:val="left"/>
        <w:rPr>
          <w:rFonts w:ascii="华文中宋" w:hAnsi="华文中宋" w:eastAsia="华文中宋"/>
          <w:b/>
          <w:bCs/>
          <w:kern w:val="0"/>
          <w:sz w:val="36"/>
          <w:szCs w:val="36"/>
          <w:lang w:val="zh-CN"/>
        </w:rPr>
      </w:pPr>
      <w:r>
        <w:pict>
          <v:line id="直线 28" o:spid="_x0000_s2055" o:spt="20" style="position:absolute;left:0pt;margin-left:103pt;margin-top:24pt;height:14.6pt;width:0pt;z-index:251766784;mso-width-relative:page;mso-height-relative:page;" coordsize="21600,21600" o:gfxdata="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Cwzfh1wAAAAkBAAAPAAAAAAAAAAEAIAAAACIA&#10;AABkcnMvZG93bnJldi54bWxQSwECFAAUAAAACACHTuJAkSSSINEBAACPAwAADgAAAAAAAAABACAA&#10;AAAmAQAAZHJzL2Uyb0RvYy54bWxQSwUGAAAAAAYABgBZAQAAaQUAAAAA&#10;">
            <v:path arrowok="t"/>
            <v:fill focussize="0,0"/>
            <v:stroke/>
            <v:imagedata o:title=""/>
            <o:lock v:ext="edit"/>
          </v:line>
        </w:pict>
      </w:r>
    </w:p>
    <w:p w14:paraId="6EA6BF3B">
      <w:pPr>
        <w:autoSpaceDE w:val="0"/>
        <w:autoSpaceDN w:val="0"/>
        <w:adjustRightInd w:val="0"/>
        <w:spacing w:line="560" w:lineRule="exact"/>
        <w:ind w:firstLine="824" w:firstLineChars="400"/>
        <w:jc w:val="left"/>
        <w:rPr>
          <w:rFonts w:ascii="华文中宋" w:hAnsi="华文中宋" w:eastAsia="华文中宋"/>
          <w:b/>
          <w:bCs/>
          <w:kern w:val="0"/>
          <w:sz w:val="36"/>
          <w:szCs w:val="36"/>
          <w:lang w:val="zh-CN"/>
        </w:rPr>
      </w:pPr>
      <w:r>
        <w:pict>
          <v:line id="直线 29" o:spid="_x0000_s2054" o:spt="20" style="position:absolute;left:0pt;margin-left:242.05pt;margin-top:10.6pt;height:27pt;width:0.05pt;z-index:251768832;mso-width-relative:page;mso-height-relative:page;" coordsize="21600,21600" o:gfxdata="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veUDP2QAAAAkBAAAPAAAAAAAA&#10;AAEAIAAAACIAAABkcnMvZG93bnJldi54bWxQSwECFAAUAAAACACHTuJA2Chv8NgBAACVAwAADgAA&#10;AAAAAAABACAAAAAoAQAAZHJzL2Uyb0RvYy54bWxQSwUGAAAAAAYABgBZAQAAcgUAAAAA&#10;">
            <v:path arrowok="t"/>
            <v:fill focussize="0,0"/>
            <v:stroke endarrow="block"/>
            <v:imagedata o:title=""/>
            <o:lock v:ext="edit"/>
          </v:line>
        </w:pict>
      </w:r>
      <w:r>
        <w:pict>
          <v:line id="直线 30" o:spid="_x0000_s2053" o:spt="20" style="position:absolute;left:0pt;margin-left:36.05pt;margin-top:10.6pt;height:0.05pt;width:204.75pt;z-index:251765760;mso-width-relative:page;mso-height-relative:page;" coordsize="21600,21600" o:gfxdata="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&#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R7RC/WAAAACAEAAA8AAAAAAAAAAQAgAAAAIgAAAGRy&#10;cy9kb3ducmV2LnhtbFBLAQIUABQAAAAIAIdO4kAsNeeMzgEAAJIDAAAOAAAAAAAAAAEAIAAAACUB&#10;AABkcnMvZTJvRG9jLnhtbFBLBQYAAAAABgAGAFkBAABlBQAAAAA=&#10;">
            <v:path arrowok="t"/>
            <v:fill focussize="0,0"/>
            <v:stroke/>
            <v:imagedata o:title=""/>
            <o:lock v:ext="edit"/>
          </v:line>
        </w:pict>
      </w:r>
      <w:r>
        <w:pict>
          <v:line id="直线 31" o:spid="_x0000_s2052" o:spt="20" style="position:absolute;left:0pt;margin-left:36.05pt;margin-top:10.6pt;height:28.5pt;width:0.05pt;z-index:251767808;mso-width-relative:page;mso-height-relative:page;" coordsize="21600,21600" o:gfxdata="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o13lI1gAAAAcBAAAPAAAAAAAAAAEA&#10;IAAAACIAAABkcnMvZG93bnJldi54bWxQSwECFAAUAAAACACHTuJAnkkNdNgBAACVAwAADgAAAAAA&#10;AAABACAAAAAlAQAAZHJzL2Uyb0RvYy54bWxQSwUGAAAAAAYABgBZAQAAbwUAAAAA&#10;">
            <v:path arrowok="t"/>
            <v:fill focussize="0,0"/>
            <v:stroke endarrow="block"/>
            <v:imagedata o:title=""/>
            <o:lock v:ext="edit"/>
          </v:line>
        </w:pict>
      </w:r>
    </w:p>
    <w:p w14:paraId="6438E063">
      <w:pPr>
        <w:autoSpaceDE w:val="0"/>
        <w:autoSpaceDN w:val="0"/>
        <w:adjustRightInd w:val="0"/>
        <w:spacing w:line="560" w:lineRule="exact"/>
        <w:jc w:val="left"/>
        <w:rPr>
          <w:rFonts w:ascii="华文中宋" w:hAnsi="华文中宋" w:eastAsia="华文中宋"/>
          <w:b/>
          <w:bCs/>
          <w:kern w:val="0"/>
          <w:sz w:val="36"/>
          <w:szCs w:val="36"/>
          <w:lang w:val="zh-CN"/>
        </w:rPr>
      </w:pPr>
      <w:r>
        <w:pict>
          <v:rect id="矩形 32" o:spid="_x0000_s2051" o:spt="1" style="position:absolute;left:0pt;margin-left:211.15pt;margin-top:11.8pt;height:29.2pt;width:72pt;z-index:251752448;mso-width-relative:page;mso-height-relative:page;" coordsize="21600,21600" o:gfxdata="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Gt&#10;UEvXAAAACQEAAA8AAAAAAAAAAQAgAAAAIgAAAGRycy9kb3ducmV2LnhtbFBLAQIUABQAAAAIAIdO&#10;4kBAKcSQ6wEAAN0DAAAOAAAAAAAAAAEAIAAAACYBAABkcnMvZTJvRG9jLnhtbFBLBQYAAAAABgAG&#10;AFkBAACDBQAAAAA=&#10;">
            <v:path/>
            <v:fill focussize="0,0"/>
            <v:stroke/>
            <v:imagedata o:title=""/>
            <o:lock v:ext="edit"/>
            <v:textbox>
              <w:txbxContent>
                <w:p w14:paraId="312E0ACF">
                  <w:pPr>
                    <w:spacing w:line="400" w:lineRule="exact"/>
                    <w:jc w:val="center"/>
                    <w:rPr>
                      <w:sz w:val="24"/>
                    </w:rPr>
                  </w:pPr>
                  <w:r>
                    <w:rPr>
                      <w:rFonts w:hint="eastAsia" w:cs="宋体"/>
                      <w:sz w:val="24"/>
                    </w:rPr>
                    <w:t>事故调查</w:t>
                  </w:r>
                </w:p>
              </w:txbxContent>
            </v:textbox>
          </v:rect>
        </w:pict>
      </w:r>
      <w:r>
        <w:pict>
          <v:rect id="_x0000_s2050" o:spid="_x0000_s2050" o:spt="1" style="position:absolute;left:0pt;margin-left:5.1pt;margin-top:15.2pt;height:28pt;width:77.3pt;z-index:251751424;mso-width-relative:page;mso-height-relative:page;" coordsize="21600,21600" o:gfxdata="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w3gFbV&#10;AAAACAEAAA8AAAAAAAAAAQAgAAAAIgAAAGRycy9kb3ducmV2LnhtbFBLAQIUABQAAAAIAIdO4kAn&#10;xuLh6gEAAN0DAAAOAAAAAAAAAAEAIAAAACQBAABkcnMvZTJvRG9jLnhtbFBLBQYAAAAABgAGAFkB&#10;AACABQAAAAA=&#10;">
            <v:path/>
            <v:fill focussize="0,0"/>
            <v:stroke/>
            <v:imagedata o:title=""/>
            <o:lock v:ext="edit"/>
            <v:textbox>
              <w:txbxContent>
                <w:p w14:paraId="2F9E837D">
                  <w:pPr>
                    <w:spacing w:line="360" w:lineRule="exact"/>
                    <w:jc w:val="center"/>
                    <w:rPr>
                      <w:sz w:val="24"/>
                    </w:rPr>
                  </w:pPr>
                  <w:r>
                    <w:rPr>
                      <w:rFonts w:hint="eastAsia" w:cs="宋体"/>
                      <w:sz w:val="24"/>
                    </w:rPr>
                    <w:t>善后处理</w:t>
                  </w:r>
                </w:p>
              </w:txbxContent>
            </v:textbox>
          </v:rect>
        </w:pict>
      </w:r>
    </w:p>
    <w:p w14:paraId="63A3E815"/>
    <w:p w14:paraId="0E4426E3">
      <w:pPr>
        <w:spacing w:beforeLines="100" w:line="560" w:lineRule="exact"/>
        <w:jc w:val="center"/>
        <w:rPr>
          <w:rFonts w:eastAsia="方正小标宋简体"/>
          <w:kern w:val="0"/>
          <w:sz w:val="44"/>
          <w:szCs w:val="44"/>
        </w:rPr>
      </w:pPr>
      <w:r>
        <w:rPr>
          <w:rFonts w:eastAsia="方正小标宋简体"/>
          <w:kern w:val="0"/>
          <w:sz w:val="44"/>
          <w:szCs w:val="44"/>
        </w:rPr>
        <w:t>烟台高新区</w:t>
      </w:r>
      <w:r>
        <w:rPr>
          <w:rFonts w:eastAsia="方正小标宋简体"/>
          <w:sz w:val="44"/>
          <w:szCs w:val="44"/>
        </w:rPr>
        <w:t>突发环境事件</w:t>
      </w:r>
      <w:r>
        <w:rPr>
          <w:rFonts w:hint="eastAsia" w:eastAsia="方正小标宋简体"/>
          <w:sz w:val="44"/>
          <w:szCs w:val="44"/>
        </w:rPr>
        <w:t>专项</w:t>
      </w:r>
      <w:r>
        <w:rPr>
          <w:rFonts w:eastAsia="方正小标宋简体"/>
          <w:kern w:val="0"/>
          <w:sz w:val="44"/>
          <w:szCs w:val="44"/>
        </w:rPr>
        <w:t>应急预案</w:t>
      </w:r>
    </w:p>
    <w:p w14:paraId="5E94FADD">
      <w:pPr>
        <w:jc w:val="left"/>
        <w:rPr>
          <w:rFonts w:ascii="黑体" w:hAnsi="黑体" w:eastAsia="黑体" w:cs="黑体"/>
          <w:kern w:val="0"/>
          <w:sz w:val="32"/>
          <w:szCs w:val="32"/>
        </w:rPr>
      </w:pPr>
    </w:p>
    <w:p w14:paraId="58A3E752">
      <w:pPr>
        <w:jc w:val="left"/>
        <w:rPr>
          <w:rFonts w:ascii="黑体" w:hAnsi="黑体" w:eastAsia="黑体" w:cs="黑体"/>
          <w:kern w:val="0"/>
          <w:sz w:val="32"/>
          <w:szCs w:val="32"/>
        </w:rPr>
      </w:pPr>
      <w:r>
        <w:rPr>
          <w:rFonts w:hint="eastAsia" w:ascii="黑体" w:hAnsi="黑体" w:eastAsia="黑体" w:cs="黑体"/>
          <w:kern w:val="0"/>
          <w:sz w:val="32"/>
          <w:szCs w:val="32"/>
        </w:rPr>
        <w:t xml:space="preserve">1 总 则 </w:t>
      </w:r>
    </w:p>
    <w:p w14:paraId="53044C6D">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1.1 编制目的 </w:t>
      </w:r>
    </w:p>
    <w:p w14:paraId="79188781">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1.2 编制依据 </w:t>
      </w:r>
    </w:p>
    <w:p w14:paraId="52314F81">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1.3 适用范围 </w:t>
      </w:r>
    </w:p>
    <w:p w14:paraId="0BA648D1">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1.4 工作原则 </w:t>
      </w:r>
    </w:p>
    <w:p w14:paraId="43BEB8E5">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1.5 事件分级 </w:t>
      </w:r>
    </w:p>
    <w:p w14:paraId="6803E025">
      <w:pPr>
        <w:jc w:val="left"/>
        <w:rPr>
          <w:rFonts w:ascii="黑体" w:hAnsi="黑体" w:eastAsia="黑体" w:cs="黑体"/>
          <w:kern w:val="0"/>
          <w:sz w:val="32"/>
          <w:szCs w:val="32"/>
        </w:rPr>
      </w:pPr>
      <w:r>
        <w:rPr>
          <w:rFonts w:hint="eastAsia" w:ascii="黑体" w:hAnsi="黑体" w:eastAsia="黑体" w:cs="黑体"/>
          <w:kern w:val="0"/>
          <w:sz w:val="32"/>
          <w:szCs w:val="32"/>
        </w:rPr>
        <w:t xml:space="preserve">2 组织指挥体系 </w:t>
      </w:r>
    </w:p>
    <w:p w14:paraId="259871C3">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2.1 组织指挥机构 </w:t>
      </w:r>
    </w:p>
    <w:p w14:paraId="3A2FF8D9">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2.2 现场指挥机构 </w:t>
      </w:r>
    </w:p>
    <w:p w14:paraId="7111737A">
      <w:pPr>
        <w:jc w:val="left"/>
        <w:rPr>
          <w:rFonts w:ascii="黑体" w:hAnsi="黑体" w:eastAsia="黑体" w:cs="黑体"/>
          <w:kern w:val="0"/>
          <w:sz w:val="32"/>
          <w:szCs w:val="32"/>
        </w:rPr>
      </w:pPr>
      <w:r>
        <w:rPr>
          <w:rFonts w:hint="eastAsia" w:ascii="黑体" w:hAnsi="黑体" w:eastAsia="黑体" w:cs="黑体"/>
          <w:kern w:val="0"/>
          <w:sz w:val="32"/>
          <w:szCs w:val="32"/>
        </w:rPr>
        <w:t xml:space="preserve">3 预防、预警和信息报告 </w:t>
      </w:r>
    </w:p>
    <w:p w14:paraId="774D18CD">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3.1 预防 </w:t>
      </w:r>
    </w:p>
    <w:p w14:paraId="7A4DA4C0">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3.2 预警 </w:t>
      </w:r>
    </w:p>
    <w:p w14:paraId="0C74DE6D">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3.3 信息报告与通报 </w:t>
      </w:r>
    </w:p>
    <w:p w14:paraId="0FE5ABD4">
      <w:pPr>
        <w:jc w:val="left"/>
        <w:rPr>
          <w:rFonts w:ascii="黑体" w:hAnsi="黑体" w:eastAsia="黑体" w:cs="黑体"/>
          <w:kern w:val="0"/>
          <w:sz w:val="32"/>
          <w:szCs w:val="32"/>
        </w:rPr>
      </w:pPr>
      <w:r>
        <w:rPr>
          <w:rFonts w:hint="eastAsia" w:ascii="黑体" w:hAnsi="黑体" w:eastAsia="黑体" w:cs="黑体"/>
          <w:kern w:val="0"/>
          <w:sz w:val="32"/>
          <w:szCs w:val="32"/>
        </w:rPr>
        <w:t xml:space="preserve">4 应急响应 </w:t>
      </w:r>
    </w:p>
    <w:p w14:paraId="50907407">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4.1 分级响应 </w:t>
      </w:r>
    </w:p>
    <w:p w14:paraId="0D6CA7F1">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4.2 响应措施 </w:t>
      </w:r>
    </w:p>
    <w:p w14:paraId="7AE134BD">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4.3 响应终止 </w:t>
      </w:r>
    </w:p>
    <w:p w14:paraId="6015898C">
      <w:pPr>
        <w:jc w:val="left"/>
        <w:rPr>
          <w:rFonts w:ascii="黑体" w:hAnsi="黑体" w:eastAsia="黑体" w:cs="黑体"/>
          <w:kern w:val="0"/>
          <w:sz w:val="32"/>
          <w:szCs w:val="32"/>
        </w:rPr>
      </w:pPr>
      <w:r>
        <w:rPr>
          <w:rFonts w:hint="eastAsia" w:ascii="黑体" w:hAnsi="黑体" w:eastAsia="黑体" w:cs="黑体"/>
          <w:kern w:val="0"/>
          <w:sz w:val="32"/>
          <w:szCs w:val="32"/>
        </w:rPr>
        <w:t xml:space="preserve">5 后期处置 </w:t>
      </w:r>
    </w:p>
    <w:p w14:paraId="633E0339">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5.1 损害评估 </w:t>
      </w:r>
    </w:p>
    <w:p w14:paraId="7D1F0AD6">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5.2 调查处理 </w:t>
      </w:r>
    </w:p>
    <w:p w14:paraId="371B56FD">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5.3 善后处置 </w:t>
      </w:r>
    </w:p>
    <w:p w14:paraId="297D486C">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5.4 保险 </w:t>
      </w:r>
    </w:p>
    <w:p w14:paraId="43B0D947">
      <w:pPr>
        <w:jc w:val="left"/>
        <w:rPr>
          <w:rFonts w:ascii="黑体" w:hAnsi="黑体" w:eastAsia="黑体" w:cs="黑体"/>
          <w:kern w:val="0"/>
          <w:sz w:val="32"/>
          <w:szCs w:val="32"/>
        </w:rPr>
      </w:pPr>
      <w:r>
        <w:rPr>
          <w:rFonts w:hint="eastAsia" w:ascii="黑体" w:hAnsi="黑体" w:eastAsia="黑体" w:cs="黑体"/>
          <w:kern w:val="0"/>
          <w:sz w:val="32"/>
          <w:szCs w:val="32"/>
        </w:rPr>
        <w:t xml:space="preserve">6 应急保障 </w:t>
      </w:r>
    </w:p>
    <w:p w14:paraId="123EAC60">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6.1 队伍保障 </w:t>
      </w:r>
    </w:p>
    <w:p w14:paraId="3B595742">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6.2 资金保障 </w:t>
      </w:r>
    </w:p>
    <w:p w14:paraId="73684CB8">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6.3 防护装备、物资保障 </w:t>
      </w:r>
    </w:p>
    <w:p w14:paraId="72CD1CAE">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6.4 应急车辆保障 </w:t>
      </w:r>
    </w:p>
    <w:p w14:paraId="04383D46">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6.5 通信保障 </w:t>
      </w:r>
    </w:p>
    <w:p w14:paraId="09190FA0">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6.6 宣传、培训与演练 </w:t>
      </w:r>
    </w:p>
    <w:p w14:paraId="0B5F4576">
      <w:pPr>
        <w:jc w:val="left"/>
        <w:rPr>
          <w:rFonts w:ascii="黑体" w:hAnsi="黑体" w:eastAsia="黑体" w:cs="黑体"/>
          <w:kern w:val="0"/>
          <w:sz w:val="32"/>
          <w:szCs w:val="32"/>
        </w:rPr>
      </w:pPr>
      <w:r>
        <w:rPr>
          <w:rFonts w:hint="eastAsia" w:ascii="黑体" w:hAnsi="黑体" w:eastAsia="黑体" w:cs="黑体"/>
          <w:kern w:val="0"/>
          <w:sz w:val="32"/>
          <w:szCs w:val="32"/>
        </w:rPr>
        <w:t xml:space="preserve">7 附 则 </w:t>
      </w:r>
    </w:p>
    <w:p w14:paraId="26D682A2">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7.1 预案管理与修订 </w:t>
      </w:r>
    </w:p>
    <w:p w14:paraId="40F275F6">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7.2 预案解释 </w:t>
      </w:r>
    </w:p>
    <w:p w14:paraId="3BD822E3">
      <w:pPr>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7.3 预案实施时间</w:t>
      </w:r>
    </w:p>
    <w:p w14:paraId="2128FAC4">
      <w:pPr>
        <w:widowControl/>
        <w:ind w:firstLine="632" w:firstLineChars="200"/>
        <w:jc w:val="left"/>
        <w:rPr>
          <w:rFonts w:eastAsia="黑体"/>
          <w:kern w:val="0"/>
          <w:sz w:val="32"/>
          <w:szCs w:val="32"/>
        </w:rPr>
      </w:pPr>
    </w:p>
    <w:p w14:paraId="0E7AA439">
      <w:pPr>
        <w:widowControl/>
        <w:ind w:firstLine="632" w:firstLineChars="200"/>
        <w:jc w:val="left"/>
        <w:rPr>
          <w:rFonts w:eastAsia="黑体"/>
          <w:kern w:val="0"/>
          <w:sz w:val="32"/>
          <w:szCs w:val="32"/>
        </w:rPr>
      </w:pPr>
    </w:p>
    <w:p w14:paraId="3E2E0169">
      <w:pPr>
        <w:widowControl/>
        <w:jc w:val="left"/>
        <w:rPr>
          <w:rFonts w:ascii="黑体" w:hAnsi="黑体" w:eastAsia="黑体" w:cs="黑体"/>
          <w:kern w:val="0"/>
          <w:sz w:val="32"/>
          <w:szCs w:val="32"/>
        </w:rPr>
      </w:pPr>
    </w:p>
    <w:p w14:paraId="0D018403">
      <w:pPr>
        <w:widowControl/>
        <w:jc w:val="left"/>
        <w:rPr>
          <w:rFonts w:ascii="黑体" w:hAnsi="黑体" w:eastAsia="黑体" w:cs="黑体"/>
          <w:kern w:val="0"/>
          <w:sz w:val="32"/>
          <w:szCs w:val="32"/>
        </w:rPr>
      </w:pPr>
    </w:p>
    <w:p w14:paraId="2680B72C">
      <w:pPr>
        <w:widowControl/>
        <w:jc w:val="left"/>
        <w:rPr>
          <w:rFonts w:ascii="黑体" w:hAnsi="黑体" w:eastAsia="黑体" w:cs="黑体"/>
          <w:kern w:val="0"/>
          <w:sz w:val="32"/>
          <w:szCs w:val="32"/>
        </w:rPr>
      </w:pPr>
    </w:p>
    <w:p w14:paraId="543FED9B">
      <w:pPr>
        <w:spacing w:line="560" w:lineRule="exact"/>
        <w:ind w:firstLine="632" w:firstLineChars="200"/>
        <w:rPr>
          <w:rFonts w:ascii="黑体" w:hAnsi="黑体" w:eastAsia="黑体" w:cs="黑体"/>
          <w:sz w:val="32"/>
          <w:szCs w:val="32"/>
        </w:rPr>
      </w:pPr>
      <w:r>
        <w:rPr>
          <w:rFonts w:hint="eastAsia" w:ascii="黑体" w:hAnsi="黑体" w:eastAsia="黑体" w:cs="黑体"/>
          <w:kern w:val="0"/>
          <w:sz w:val="32"/>
          <w:szCs w:val="32"/>
        </w:rPr>
        <w:t xml:space="preserve">1 总 则 </w:t>
      </w:r>
    </w:p>
    <w:p w14:paraId="6204F411">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 xml:space="preserve">1.1 编制目的 </w:t>
      </w:r>
    </w:p>
    <w:p w14:paraId="5B5AC746">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健全突发环境事件应急机制，提高应对突发环境事件的预防、预警和应急处置能力，控制、减轻和消除突发环境事件的风险以及危害，维护社会稳定，保障群众健康和生命财产安全，维护环境安全，促进全区经济社会全面、协调、可持续发展。 </w:t>
      </w:r>
    </w:p>
    <w:p w14:paraId="7DAB6468">
      <w:pPr>
        <w:spacing w:line="560" w:lineRule="exact"/>
        <w:ind w:firstLine="63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1.2 编制依据 </w:t>
      </w:r>
    </w:p>
    <w:p w14:paraId="3E8B6CC3">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中华人民共和国环境保护法》《中华人民共和国海洋环境保护法》《中华人民共和国突发事件应对法》《突发事件应急预案管理办法》《国家突发公共事件总体应急预案》《国家突发环境事件应急预案》《突发环境事件应急管理办法》《突发环境事件信息报告办法》《突发环境事件调查处理办法》《山东省环境保护条例》《山东省海洋环境保护条例》《山东省突发事件应对条例》《山东省突发事件应急预案管理办法》《山东省突发事件总体应急预案》《烟台市突发事件总体应急预案》《烟台市突发环境事件应急预案》及相关法律法规。 </w:t>
      </w:r>
    </w:p>
    <w:p w14:paraId="0FB954A0">
      <w:pPr>
        <w:spacing w:line="560" w:lineRule="exact"/>
        <w:ind w:firstLine="63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1.3 适用范围 </w:t>
      </w:r>
    </w:p>
    <w:p w14:paraId="27A68927">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本预案适用于发生在高新区行政区域内的突发环境事件，或发生在行政区域外但有可能对我区造成影响的突发环境事件。 </w:t>
      </w:r>
    </w:p>
    <w:p w14:paraId="02074DCB">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突发环境事件指的是由于污染物排放或自然灾害、生产安全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 </w:t>
      </w:r>
    </w:p>
    <w:p w14:paraId="074B3A4D">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核设施及有关核活动发生的核事故所造成的辐射污染事件、赤潮及浒苔突发事件、地质环境突发事件、海上溢油事件、重污染天气等事件及集中式饮用水水源地（含农村饮用水水源地）突发环境事件应对工作，按照有关专项应急预案开展；其他突发事件次（衍）生的突发环境事件可参照本预案处置。 </w:t>
      </w:r>
    </w:p>
    <w:p w14:paraId="3F86868C">
      <w:pPr>
        <w:spacing w:line="560" w:lineRule="exact"/>
        <w:ind w:firstLine="63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1.4 工作原则 </w:t>
      </w:r>
    </w:p>
    <w:p w14:paraId="7E165EB3">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1.4.1</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kern w:val="0"/>
          <w:sz w:val="32"/>
          <w:szCs w:val="32"/>
        </w:rPr>
        <w:t xml:space="preserve">以人为本，积极预防。坚持把人民群众生命健康放在首位，最大程度保护人民群众生命财产安全；强化预防、预警工作，扎实做好环境隐患排查，加强环境应急能力建设，完善应急救援保障体系。 </w:t>
      </w:r>
    </w:p>
    <w:p w14:paraId="689E79DE">
      <w:pPr>
        <w:spacing w:line="560" w:lineRule="exact"/>
        <w:ind w:firstLine="632" w:firstLineChars="200"/>
        <w:rPr>
          <w:sz w:val="32"/>
          <w:szCs w:val="32"/>
        </w:rPr>
      </w:pPr>
      <w:r>
        <w:rPr>
          <w:rFonts w:hint="eastAsia" w:ascii="仿宋_GB2312" w:hAnsi="仿宋_GB2312" w:eastAsia="仿宋_GB2312" w:cs="仿宋_GB2312"/>
          <w:kern w:val="0"/>
          <w:sz w:val="32"/>
          <w:szCs w:val="32"/>
        </w:rPr>
        <w:t>1.4.2</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kern w:val="0"/>
          <w:sz w:val="32"/>
          <w:szCs w:val="32"/>
        </w:rPr>
        <w:t>属地为主，先期处置。高新区管委负责本辖区突发环境事件的应对处置工作。严格落实企事业单位环境安全主体责任，企事业单位发生突发环境事件时，应进行先期处置，控制事态、减轻后果，并报告生态环境分局。</w:t>
      </w:r>
      <w:r>
        <w:rPr>
          <w:rFonts w:eastAsia="CIDFont"/>
          <w:kern w:val="0"/>
          <w:sz w:val="32"/>
          <w:szCs w:val="32"/>
        </w:rPr>
        <w:t xml:space="preserve"> </w:t>
      </w:r>
    </w:p>
    <w:p w14:paraId="1389C242">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1.4.3</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kern w:val="0"/>
          <w:sz w:val="32"/>
          <w:szCs w:val="32"/>
        </w:rPr>
        <w:t xml:space="preserve">部门联动，社会动员。建立完善部门联动机制，有关部门在接到突发事件报告后，如果判断可能引发突发环境事件，要及时通报生态环境部门；实行信息共享，充分发挥部门专业优势，共同应对突发环境事件；建立健全社会应急动员机制，充实救援队伍，提高公众自救、互救能力。  </w:t>
      </w:r>
    </w:p>
    <w:p w14:paraId="1B4C1957">
      <w:pPr>
        <w:spacing w:line="560" w:lineRule="exact"/>
        <w:ind w:firstLine="63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1.5 事件分级 </w:t>
      </w:r>
    </w:p>
    <w:p w14:paraId="7C11EE3F">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按照事件严重程度，突发环境事件分为特别重大、重大、较大和一般四级（详见附件 1）。</w:t>
      </w:r>
    </w:p>
    <w:p w14:paraId="092E7928">
      <w:pPr>
        <w:spacing w:line="560" w:lineRule="exact"/>
        <w:ind w:firstLine="632" w:firstLineChars="200"/>
        <w:rPr>
          <w:rFonts w:ascii="黑体" w:hAnsi="黑体" w:eastAsia="黑体" w:cs="黑体"/>
          <w:sz w:val="32"/>
          <w:szCs w:val="32"/>
        </w:rPr>
      </w:pPr>
      <w:r>
        <w:rPr>
          <w:rFonts w:hint="eastAsia" w:ascii="黑体" w:hAnsi="黑体" w:eastAsia="黑体" w:cs="黑体"/>
          <w:kern w:val="0"/>
          <w:sz w:val="32"/>
          <w:szCs w:val="32"/>
        </w:rPr>
        <w:t xml:space="preserve">2 组织指挥体系 </w:t>
      </w:r>
    </w:p>
    <w:p w14:paraId="250D20F9">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 xml:space="preserve">2.1 组织指挥机构 </w:t>
      </w:r>
    </w:p>
    <w:p w14:paraId="622A0C60">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高新区管委是高新区行政区域突发环境事件应急管理工作的行政领导机构，负责本行政区域突发环境事件的预防、预警、应急处置与救援、事后恢复与重建等应对工作。 </w:t>
      </w:r>
    </w:p>
    <w:p w14:paraId="5DA3AB43">
      <w:pPr>
        <w:spacing w:line="560" w:lineRule="exact"/>
        <w:ind w:firstLine="63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2.2 现场指挥机构</w:t>
      </w:r>
    </w:p>
    <w:p w14:paraId="666A79A4">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区管委负责成立现场应急指挥机构，负责现场的应急处置工作；必要时，由区管委成立现场指挥部，并根据需要设立相应工作组。</w:t>
      </w:r>
    </w:p>
    <w:p w14:paraId="0C4C4E5F">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各工作组组成及职责分工如下：</w:t>
      </w:r>
    </w:p>
    <w:p w14:paraId="2A545C67">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污染处置组：由生态环境分局牵头，公安分局、规划国土建设部、综合行政执法局、马山街道办事处、经济发展部、应急分局等部门参加。主要负责收集汇总相关数据，组织进行技术研判，开展事态分析；迅速组织切断污染源，分析污染途径，明确防止污染物扩散的程序；组织采取有效措施，消除或减轻已经造成的污染；明确不同情况下的现场处置人员须采取的个人防护措施；组织建立现场警戒区和交通管制区域，确定重点防护区域，确定受威胁人员疏散的方式和途径，疏散转移受威胁人员至安全紧急避险场所等。 </w:t>
      </w:r>
    </w:p>
    <w:p w14:paraId="7197FC4D">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急监测组：我区没有实验室场所，不具备环境监测能力，通过委托烟台市清洁能源检测中心有限公司承担我区环境监测业务。主要负责根据突发环境事件的污染物种类、性质以及当地气象、自然、社会环境状况等，明确相应的应急监测方案及监测方法；确定污染物扩散范围，明确监测的布点和频次，做好大气、水体、土壤等应急监测，为突发环境事件应急决策提供依据。</w:t>
      </w:r>
    </w:p>
    <w:p w14:paraId="21ACABC6">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应急救援组：突发环境事件应急救援队伍主要包括国家综合性消防救援队伍、专业应急救援队伍、企业应急救援队伍、社会力量。 </w:t>
      </w:r>
    </w:p>
    <w:p w14:paraId="44DE7146">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医学救援组：由卫生健康委员会高新区管理办公室牵头，生态环境分局、区市场监管分局等部门参加。主要负责组织开展伤员紧急医学救援；指导和协助开展受污染人员的去污洗消工作；提出保护公众健康的措施建议；禁止或限制受污染食品和饮用水的生产、加工、流通和使用，防范因突发环境事件造成集体中毒等。 </w:t>
      </w:r>
    </w:p>
    <w:p w14:paraId="5B8BCCC6">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应急保障组：由区应急分局、经济发展部牵头，公安分局、财政金融部、生态环境分局、规划国土建设部、综合行政执法局、招商部等部门参加。主要负责指导做好事件影响区域有关人员的紧急转移和临时安置工作；组织做好应急救援物资及临时安置重要物资的紧急生产、储备调拨和紧急配送工作；及时组织调运重要生活必需品，保障群众基本生活和市场供应，保障突发环境事件应急工作经费。 </w:t>
      </w:r>
    </w:p>
    <w:p w14:paraId="20F07DC5">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新闻发布组：由生态环境分局、综合管理部牵头，经济发展部等部门参加。主要负责组织指导开展事件进展、应急处置工作情况等权威信息发布，加强新闻宣传报道；采取多种方式，通俗、权威、全面地做好相关知识的广泛普及；坚持事件处置和舆情处置同步安排、同步实施、同步落实，及时澄清不实信息，回应社会关切，正确引导舆论。 </w:t>
      </w:r>
    </w:p>
    <w:p w14:paraId="174D847A">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社会稳定组：由公安分局牵头，生态环境分局、招商部、区市场监管分局等部门参加。主要负责加强受影响地区社会治安管理，严厉打击借机传播谣言制造社会恐慌、哄抢物资等违法犯罪行为；加强转移人员安置点、救灾物资存放点等重点地区治安管控；做好受影响人员与涉事单位、事发地政府及有关部门矛盾纠纷化解和法律服务工作，防止出现群体性事件，维护社会稳定；加强对重要生活必需品等商品的市场监管和调控，打击囤积居奇行为。 </w:t>
      </w:r>
    </w:p>
    <w:p w14:paraId="0EA3D2F9">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工作组设置、组成和职责可根据工作需要作适当调整。 </w:t>
      </w:r>
    </w:p>
    <w:p w14:paraId="79F05906">
      <w:pPr>
        <w:spacing w:line="560" w:lineRule="exact"/>
        <w:ind w:firstLine="632" w:firstLineChars="200"/>
        <w:rPr>
          <w:rFonts w:ascii="黑体" w:hAnsi="黑体" w:eastAsia="黑体" w:cs="黑体"/>
          <w:kern w:val="0"/>
          <w:sz w:val="32"/>
          <w:szCs w:val="32"/>
        </w:rPr>
      </w:pPr>
      <w:r>
        <w:rPr>
          <w:rFonts w:hint="eastAsia" w:ascii="黑体" w:hAnsi="黑体" w:eastAsia="黑体" w:cs="黑体"/>
          <w:kern w:val="0"/>
          <w:sz w:val="32"/>
          <w:szCs w:val="32"/>
        </w:rPr>
        <w:t xml:space="preserve">3 预防、预警和信息报告 </w:t>
      </w:r>
    </w:p>
    <w:p w14:paraId="77221982">
      <w:pPr>
        <w:spacing w:line="560" w:lineRule="exact"/>
        <w:ind w:firstLine="63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3.1 预防 </w:t>
      </w:r>
    </w:p>
    <w:p w14:paraId="201845E3">
      <w:pPr>
        <w:spacing w:line="560" w:lineRule="exact"/>
        <w:ind w:firstLine="63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3.1.1 监测和风险分析 </w:t>
      </w:r>
    </w:p>
    <w:p w14:paraId="0E750FC6">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突发环境事件应急指挥机构组成部门按照早发现、早报告、早处置的原则，开展对环境信息、自然灾害预警信息、例行环境监测数据、辐射环境监测数据的综合分析、风险评估工作。</w:t>
      </w:r>
    </w:p>
    <w:p w14:paraId="17031464">
      <w:pPr>
        <w:spacing w:line="560" w:lineRule="exact"/>
        <w:ind w:firstLine="63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3.1.2 风险预防 </w:t>
      </w:r>
    </w:p>
    <w:p w14:paraId="7B3F18FE">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可能发生突发环境事件的企事业单位应当开展环境风险隐患排查和治理，健全风险防控措施，消除环境风险隐患。有关部门应当加强环境风险隐患排查的监督管理，做好突发环境事件预防工作。 </w:t>
      </w:r>
    </w:p>
    <w:p w14:paraId="655D7F0C">
      <w:pPr>
        <w:spacing w:line="560" w:lineRule="exact"/>
        <w:ind w:firstLine="63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3.1.4 预防职责 </w:t>
      </w:r>
    </w:p>
    <w:p w14:paraId="65C79100">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突发环境事件应急指挥机构组成部门按照各自职责开展突发环境事件的预防工作。 </w:t>
      </w:r>
    </w:p>
    <w:p w14:paraId="50B34122">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（1）依法组织对容易引发突发环境事件的企事业单位及其周边环境保护目标进行调查、登记、风险评估，定期检查、监控，并责令有关单位落实各项防范措施； </w:t>
      </w:r>
    </w:p>
    <w:p w14:paraId="39B7F6D7">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（2）开展突发环境事件的预测、分析和风险评估工作，完 </w:t>
      </w:r>
    </w:p>
    <w:p w14:paraId="046A8EF3">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善各类突发环境事件应急预案； </w:t>
      </w:r>
    </w:p>
    <w:p w14:paraId="0B8B5669">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加强源头把关，在规划环境影响评价、建设项目环境影响评价、“三同时”和竣工环境保护验收过程中，重点加强对环境风险评价的审查，检查环评及批复要求的环境风险防范措施和设施落实情况，以及针对周边环境敏感目标变化的环境风险隐患防范措施补充完善情况。对已建成投入生产的建设项目，凡未按照相关规定进行环境风险评价或已做过评价现已不可行的，应开展环境影响后评价，并加强风险评价；加强对企业环境风险隐患排查治理情况的日常监管，督促各项整改措施落实到位； </w:t>
      </w:r>
    </w:p>
    <w:p w14:paraId="6590F3F5">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（4）统筹协调与突发环境事件有关的其他突发事件的预防 与应急措施，防止因其他突发事件次生或因处置不当而引发突发环境事件； </w:t>
      </w:r>
    </w:p>
    <w:p w14:paraId="2E06EB97">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（5）统筹安排应对突发环境事件所必需的设备和基础设施建设，合理确定应急避难场所； </w:t>
      </w:r>
    </w:p>
    <w:p w14:paraId="4A2B261C">
      <w:pPr>
        <w:spacing w:line="560" w:lineRule="exact"/>
        <w:ind w:firstLine="63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3.2 预警 </w:t>
      </w:r>
    </w:p>
    <w:p w14:paraId="0C94E0D8">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3.2.1 预警分级与预警发布 </w:t>
      </w:r>
    </w:p>
    <w:p w14:paraId="0B789D48">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按照突发环境事件发生的可能性大小、紧急程度和可能造成的危害程度，将预警分为四级，由高到低依次用红色、橙色、黄色、蓝色表示。 </w:t>
      </w:r>
    </w:p>
    <w:p w14:paraId="6292D7D2">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红色预警：情况危急，可能发生或引发特别重大突发环境事件的；或事件已经发生，可能进一步扩大影响范围，造成重大危害的。红色预警由省政府发布。具体由省生态环境部门按照有关规定和程序组织实施发布。 </w:t>
      </w:r>
    </w:p>
    <w:p w14:paraId="0095BDCD">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橙色预警：情况紧急，可能发生重大突发环境事件的；或事件已经发生，可能进一步扩大影响范围，造成更大危害的。橙色预警由省政府发布。具体由省生态环境部门按照有关规定和程序组织实施发布。 </w:t>
      </w:r>
    </w:p>
    <w:p w14:paraId="447FD096">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黄色预警：情况比较紧急，可能发生或引发较大突发环境事件的；或事件已经发生，可能进一步扩大影响范围，造成较大危害的。黄色预警由市政府发布。 </w:t>
      </w:r>
    </w:p>
    <w:p w14:paraId="5B4B79D6">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蓝色预警：存在重大环境安全隐患，可能发生或引发突发环境事件的；或事件已经发生，可能进一步扩大影响范围，造成公共危害的。蓝色预警由区管委发布。 </w:t>
      </w:r>
    </w:p>
    <w:p w14:paraId="38EE93A7">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当环境质量超过国家和地方标准，发生严重环境污染时，区管委应当组织有关部门密切监测污染状况，及时启动预警系统。</w:t>
      </w:r>
    </w:p>
    <w:p w14:paraId="01BFE0E7">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3.2.2 预警状态 </w:t>
      </w:r>
    </w:p>
    <w:p w14:paraId="722AA4A0">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发布预警进入预警状态后，区管委及有关部门应当采取以下措施：</w:t>
      </w:r>
    </w:p>
    <w:p w14:paraId="66F5E615">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（1）立即启动相关应急响应；</w:t>
      </w:r>
    </w:p>
    <w:p w14:paraId="753B5FBA">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（2）发布预警公告，宣布进入预警期，并将预警公告与信息报送到上一级政府；</w:t>
      </w:r>
    </w:p>
    <w:p w14:paraId="3FE9A08E">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（3）责令有关部门及时收集、报告相关信息，向社会公布反映突发环境事件信息的渠道，加强对突发环境事件发生、发展情况的监测、预报和预警工作；</w:t>
      </w:r>
    </w:p>
    <w:p w14:paraId="155D0A3D">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（4）组织有关部门和机构、专业技术人员及专家，随时对突发事件信息进行分析评估，预测发生突发环境事件可能性的大小、影响范围和强度以及可能发生的突发环境事件的级别；</w:t>
      </w:r>
    </w:p>
    <w:p w14:paraId="3CDF7880">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（5）向社会发布与公众有关的突发环境事件预测信息和分析评估结果； </w:t>
      </w:r>
    </w:p>
    <w:p w14:paraId="22B08284">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（6）及时按照有关规定向社会发布可能受到突发环境事件危害的警告，宣传避免和减轻危害的常识，公布咨询电话。</w:t>
      </w:r>
    </w:p>
    <w:p w14:paraId="21E079C1">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当省政府红色、橙色预警发布、市政府黄色预警发布时，还应该采取下列措施：</w:t>
      </w:r>
    </w:p>
    <w:p w14:paraId="0D35FE35">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（1）责令应急救援队伍、负有特定职责的人员进入待命状 态，并动员后备人员做好参加应急救援和处置工作的准备；</w:t>
      </w:r>
    </w:p>
    <w:p w14:paraId="674A4677">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（2）转移、撤离或疏散可能受到危害的人员，并进行妥善安置； </w:t>
      </w:r>
    </w:p>
    <w:p w14:paraId="2E46FDD3">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根据预警级别，针对突发环境事件可能造成的危害，负有监管责任的部门可以对排放污染物可能导致事件发生的有关企事业单位实行停运、限产、停产等相应措施，封闭、隔离或限制使用有关场所，中止或限制可能导致危害扩大的行为和活动； </w:t>
      </w:r>
    </w:p>
    <w:p w14:paraId="0CFF41EB">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（4）调集突发环境事件应急所需物资和设备，做好应急保障工作。 </w:t>
      </w:r>
    </w:p>
    <w:p w14:paraId="5954D80D">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依法采取的预警措施所涉及的企事业单位和个人，应当按照有关法律规定承担相应的突发环境事件应急义务。</w:t>
      </w:r>
    </w:p>
    <w:p w14:paraId="62D826D3">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3.2.3 预警解除 </w:t>
      </w:r>
    </w:p>
    <w:p w14:paraId="74694059">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有事实证明不可能发生突发环境事件或危险已经解除的，已发布预警的区管委应当立即宣布解除预警，终止预警期，并解除相关措施。 </w:t>
      </w:r>
    </w:p>
    <w:p w14:paraId="5365958A">
      <w:pPr>
        <w:spacing w:line="560" w:lineRule="exact"/>
        <w:ind w:firstLine="632"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 xml:space="preserve">3.3 信息报告与通报 </w:t>
      </w:r>
    </w:p>
    <w:p w14:paraId="35EBBC8B">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3.3.1 突发环境事件报告时限和程序 </w:t>
      </w:r>
    </w:p>
    <w:p w14:paraId="52369C0E">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企事业单位发生突发环境事件或判断可能引发突发环境事件时，应立即向生态环境分局和有关部门报告相关信息。生态环境分局在发现或得知突发环境事件信息后，应当立即进行核实，对突发环境事件的性质和类别作出初步认定。 </w:t>
      </w:r>
    </w:p>
    <w:p w14:paraId="5B99EC45">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对初步认定为特别重大或重大突发环境事件的，生态环境分局应当在1小时内向区管委和省、市生态环境部门报告，同时上报生态环境部。 </w:t>
      </w:r>
    </w:p>
    <w:p w14:paraId="7D42E6A0">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对初步认定为较大突发环境事件的，生态环境分局应当在2小时内向区管委和市生态环境局报告。 </w:t>
      </w:r>
    </w:p>
    <w:p w14:paraId="42EFAD7D">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对初步认定为一般突发环境事件的，生态环境分局应当在4小时内向区管委和市生态环境部门报告。 </w:t>
      </w:r>
    </w:p>
    <w:p w14:paraId="212A7757">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突发环境事件处置过程中事件级别发生变化的，应当按照变化后的级别报告信息。 </w:t>
      </w:r>
    </w:p>
    <w:p w14:paraId="08CD63C0">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发生下列一时无法判明等级的突发环境事件，区管委、生态环境分局应当按照重大或特别重大突发环境事件的报告程序上报： </w:t>
      </w:r>
    </w:p>
    <w:p w14:paraId="5FEC1406">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（1）对饮用水水源保护区造成或可能造成影响的； </w:t>
      </w:r>
    </w:p>
    <w:p w14:paraId="2AE8DF56">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（2）涉及居民聚居区、学校、医院等敏感区域和敏感人群的； </w:t>
      </w:r>
    </w:p>
    <w:p w14:paraId="666E66D2">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（3）涉及重金属或类金属污染的； </w:t>
      </w:r>
    </w:p>
    <w:p w14:paraId="5FDCDE15">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（4）有可能产生跨省影响的； </w:t>
      </w:r>
    </w:p>
    <w:p w14:paraId="297E7562">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（5）因环境污染引发群体性事件，或社会影响较大的； </w:t>
      </w:r>
    </w:p>
    <w:p w14:paraId="7B226D6D">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（6）事发地生态环境部门认为有必要报告的其他突发环境事件。 </w:t>
      </w:r>
    </w:p>
    <w:p w14:paraId="4A7BBE12">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3.3.2 突发环境事件报告方式与内容 </w:t>
      </w:r>
    </w:p>
    <w:p w14:paraId="6231A28E">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突发环境事件的报告分为初报、续报和处理结果报告。 </w:t>
      </w:r>
    </w:p>
    <w:p w14:paraId="12E8244A">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初报在发现或得知突发环境事件后首次上报；续报在查清有关基本情况、事件发展情况后随时上报；处理结果报告在突发环境事件处理完毕后上报。 </w:t>
      </w:r>
    </w:p>
    <w:p w14:paraId="3CF0A886">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 </w:t>
      </w:r>
    </w:p>
    <w:p w14:paraId="780F67F6">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续报应当在初报的基础上，报告有关处置进展情况。 </w:t>
      </w:r>
    </w:p>
    <w:p w14:paraId="4A0627C2">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处理结果报告应当在初报和续报的基础上，报告处理突发环境事件的措施、过程和结果，突发环境事件潜在或间接危害以及损失、社会影响、处理后的遗留问题、责任追究等详细情况。 </w:t>
      </w:r>
    </w:p>
    <w:p w14:paraId="768D4A58">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突发环境事件信息应当采用传真、网络、邮寄和面呈等方式书面报告；情况紧急时，初报可通过电话报告，但应当及时补充书面报告。 </w:t>
      </w:r>
    </w:p>
    <w:p w14:paraId="788E0529">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书面报告中应当写明突发环境事件报告单位、报告签发人、联系人及联系方式等内容，并尽可能提供地图、图片以及相关的多媒体资料。 </w:t>
      </w:r>
    </w:p>
    <w:p w14:paraId="505E863B">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3.3.3 信息通报 </w:t>
      </w:r>
    </w:p>
    <w:p w14:paraId="2D4EFA3B">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突发环境事件已经或可能涉及相邻行政区域的，区管委及生态环境分局应当及时通报相邻区域同级政府及事发地生态环境分局。接到通报的政府及生事发地生态环境分局应当及时调查了解情况，并按照相关规定报告突发环境事件信息。 </w:t>
      </w:r>
    </w:p>
    <w:p w14:paraId="5B202506">
      <w:pPr>
        <w:spacing w:line="560" w:lineRule="exact"/>
        <w:ind w:firstLine="632" w:firstLineChars="200"/>
        <w:rPr>
          <w:rFonts w:ascii="黑体" w:hAnsi="黑体" w:eastAsia="黑体" w:cs="黑体"/>
          <w:sz w:val="32"/>
          <w:szCs w:val="32"/>
        </w:rPr>
      </w:pPr>
      <w:r>
        <w:rPr>
          <w:rFonts w:hint="eastAsia" w:ascii="黑体" w:hAnsi="黑体" w:eastAsia="黑体" w:cs="黑体"/>
          <w:kern w:val="0"/>
          <w:sz w:val="32"/>
          <w:szCs w:val="32"/>
        </w:rPr>
        <w:t xml:space="preserve">4 应急响应 </w:t>
      </w:r>
    </w:p>
    <w:p w14:paraId="5A70C1EB">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应急处置的原则为“先控制，后处理”。优先控制污染源，尽快阻止污染物继续排放外泄；尽可能控制已排出污染物的扩散、蔓延范围；争取彻底消除污染危害，避免遗留后患。 </w:t>
      </w:r>
    </w:p>
    <w:p w14:paraId="5F3CD2FC">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（一）先期处置。</w:t>
      </w:r>
    </w:p>
    <w:p w14:paraId="7E278009">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发生突发环境事件的企事业单位，应当立即启动突发环境事件应急响应，采取有效措施，防止污染扩散，通报可能受到污染危害的单位和居民，按规定向当地生态环境部门和有关部门报告。 </w:t>
      </w:r>
    </w:p>
    <w:p w14:paraId="14EEC8CB">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突发环境事件应急处置相关部门、单位要及时主动提供应急救援有关的基础资料和必要的技术支持，负有监管责任的相关部门提供事件发生前的有关监管检查资料，供实施和调整应急救援和处置方案时参考。 </w:t>
      </w:r>
    </w:p>
    <w:p w14:paraId="3BFDC622">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（二）应急响应。对于前期处置未能有效控制事态或需要区管委协调处置的突发事件，生态环境分局须立即向区管委分管领导汇报，经分管领导批准后启动本预案。 </w:t>
      </w:r>
    </w:p>
    <w:p w14:paraId="74E0EF16">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区突发环境事件应急指挥机构相关成员单位及专家组有关人员集结到位；由区管委有关领导、区突发环境事件应急指挥机构相关成员单位组成现场指挥部，确定现场总指挥。 </w:t>
      </w:r>
    </w:p>
    <w:p w14:paraId="1FDA5642">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现场指挥机构负责组织协调突发环境事件的现场应急处置工作，根据应急需要及各成员单位职责设立应急监测、污染控制等若干工作组，各司其职，互相配合，协同做好应急处置工作。 </w:t>
      </w:r>
    </w:p>
    <w:p w14:paraId="1F91CDE1">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必要时协调部队、武警参与救援处置。 </w:t>
      </w:r>
    </w:p>
    <w:p w14:paraId="73D838AB">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 xml:space="preserve">4.1 分级响应 </w:t>
      </w:r>
    </w:p>
    <w:p w14:paraId="5C11ADD2">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4.1.1 分级响应机制 </w:t>
      </w:r>
    </w:p>
    <w:p w14:paraId="55072276">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按照突发环境事件的可控性、严重程度和影响范围，根据预警级别的划分，突发环境事件的应急响应分为Ⅰ级、Ⅱ级、Ⅲ级和Ⅳ级四级。初判发生特别重大、重大突发环境事件，分别启动Ⅰ级、Ⅱ级响应，由省政府组织实施；初判发生较大突发环境事件，启动Ⅲ级响应，由市政府组织实施；初判发生一般突发环境事件，启动Ⅳ级响应，由区管委组织实施。 </w:t>
      </w:r>
    </w:p>
    <w:p w14:paraId="0FB57243">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4.1.2 分级响应启动 </w:t>
      </w:r>
    </w:p>
    <w:p w14:paraId="07D80D7A">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4.1.2.1 Ⅰ级、Ⅱ级响应：初判发生重大及以上突发环境事件，由市政府负责启动先期响应，结合本地实际，调集相关应急力量，在省突发环境事件应急指挥机构的领导下，组织开展突发环境事件处置工作。 </w:t>
      </w:r>
    </w:p>
    <w:p w14:paraId="3B009594">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4.1.2.2 Ⅲ级响应。发生较大突发环境事件时，由市政府负责启动Ⅲ级响应。市政府成立突发环境事件应急指挥机构，负责启动突发环境事件的应急处置工作，并及时向省生态环境部门报告事件处理工作进展情况。</w:t>
      </w:r>
    </w:p>
    <w:p w14:paraId="1A7B2659">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4.1.2.3 Ⅳ级响应。发生一般突发环境事件时，由区管委负责启动Ⅳ级响应，区管委成立突发环境事件应急指挥机构，负责启动突发环境事件的应急处置工作，并及时向省、市生态环境部门报告事件处理工作进展情况。</w:t>
      </w:r>
    </w:p>
    <w:p w14:paraId="6F16ED84">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 xml:space="preserve">4.2 响应措施 </w:t>
      </w:r>
    </w:p>
    <w:p w14:paraId="1F70232A">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突发环境事件发生后，各有关部门和单位根据工作需要，组织采取以下措施。 </w:t>
      </w:r>
    </w:p>
    <w:p w14:paraId="48B18297">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4.2.1 先期处置 </w:t>
      </w:r>
    </w:p>
    <w:p w14:paraId="019ED4F4">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发生突发环境事件的企事业单位，应当立即启动突发环境事件应急响应，采取有效措施，防止污染扩散，通报可能受到污染危害的单位和居民，按规定向生态环境分局和有关部门报告。 </w:t>
      </w:r>
    </w:p>
    <w:p w14:paraId="44FDB14E">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突发环境事件应急处置相关部门、单位要及时主动提供应急救援有关的基础资料和必要的技术支持，负有监管责任的相关部门提供事件发生前的有关监管检查资料，供实施和调整应急救援和处置方案时参考。 </w:t>
      </w:r>
    </w:p>
    <w:p w14:paraId="1F2C7599">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4.2.2 现场应急处置 </w:t>
      </w:r>
    </w:p>
    <w:p w14:paraId="116A1DC8">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根据规定成立的环境应急现场指挥部，负责组织协调突发环境事件的现场应急处置工作。 </w:t>
      </w:r>
    </w:p>
    <w:p w14:paraId="2A0638AA">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（1）提出现场应急行动原则要求，依法及时公布应对突发环境事件的决定、命令； </w:t>
      </w:r>
    </w:p>
    <w:p w14:paraId="4668E198">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（2）派出有关专家和人员参与现场应急处置指挥工作； </w:t>
      </w:r>
    </w:p>
    <w:p w14:paraId="2C81F0CA">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（3）协调各级、各专业应急力量实施应急支援行动； </w:t>
      </w:r>
    </w:p>
    <w:p w14:paraId="3AD6BAE8">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（4）协调受威胁的周边地区危险源的监控工作； </w:t>
      </w:r>
    </w:p>
    <w:p w14:paraId="0FC5B4A8">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（5）协调建立现场警戒区和交通管制区域，确定重点防护区域； </w:t>
      </w:r>
    </w:p>
    <w:p w14:paraId="3294D0F7">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（6）根据突发环境事件的性质、特点，通过报纸、广播、电视、网络和通讯等方式告知单位和公民应采取的安全防护措施；</w:t>
      </w:r>
    </w:p>
    <w:p w14:paraId="1370E1F3">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（7）根据事发时当地的气象、地理环境、人员密集度等，确定受到威胁的人员的疏散和撤离的时间和方式； </w:t>
      </w:r>
    </w:p>
    <w:p w14:paraId="6E184AF8">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（8）按照本预案规定及时报告信息。 </w:t>
      </w:r>
    </w:p>
    <w:p w14:paraId="715D9CFE">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4.2.3 环境应急监测 </w:t>
      </w:r>
    </w:p>
    <w:p w14:paraId="26A4DC8D">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（1）根据突发环境事件污染物情况和事件发生地的气象、水文和地域特点，制定应急环境监测方案，确定污染物扩散的范围和浓度； </w:t>
      </w:r>
    </w:p>
    <w:p w14:paraId="7A4615EE">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2）根据监测结果，综合分析突发环境事件污染变化趋势，并通过专家咨询和讨论的方式，预测并报告突发环境事件的发展情况、污染物的变化情况以及对人群和生态系统的影响情况，作为突发环境事件应急决策的技术支撑。 </w:t>
      </w:r>
    </w:p>
    <w:p w14:paraId="3E2D3C74">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4.2.4 信息发布和舆论引导 </w:t>
      </w:r>
    </w:p>
    <w:p w14:paraId="12CEE9AD">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突发环境事件的信息发布应当遵循依法、及时、准确、客观、全面的原则。在突发环境事件发生的第一时间要向社会发布简要信息，随后适时发布初步核实情况、事态进展、管委应对措施和公众安全防范措施等，并根据事件处置情况做好后续发布工作。 </w:t>
      </w:r>
    </w:p>
    <w:p w14:paraId="6E689926">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各有关部门要加强对相关信息的核实、审查和管理，做好舆情分析和舆论引导工作。任何单位和个人不得编造、传播有关突发环境事件事态发展或应急处置工作的虚假信息。 </w:t>
      </w:r>
    </w:p>
    <w:p w14:paraId="0C093FC1">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4.2.5 安全防护 </w:t>
      </w:r>
    </w:p>
    <w:p w14:paraId="12F1708E">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4.2.5.1 环境应急人员的安全防护。根据突发环境事件的特点，采取安全防护措施，配备相应的专业防护装备，严格执行环境应急人员出入事发现场的程序。 </w:t>
      </w:r>
    </w:p>
    <w:p w14:paraId="0F8F93E4">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4.2.5.2 受威胁群众的安全防护。受威胁人员的安全防护由组织处置突发环境事件的政府统一规划，设立紧急避险场所。 </w:t>
      </w:r>
    </w:p>
    <w:p w14:paraId="2E07FFE2">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（1）根据事发时当地的气象、地理环境、人员密集度等，确定受威胁人员疏散的方式，组织群众安全疏散撤离和妥善安置； </w:t>
      </w:r>
    </w:p>
    <w:p w14:paraId="3D23377B">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（2）根据事发地的气象、地理条件等，疏散受威胁人员至安全的紧急避险场所。 </w:t>
      </w:r>
    </w:p>
    <w:p w14:paraId="211B1204">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 xml:space="preserve">4.3 响应终止 </w:t>
      </w:r>
    </w:p>
    <w:p w14:paraId="2E3E2990">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4.3.1 响应终止的条件 </w:t>
      </w:r>
    </w:p>
    <w:p w14:paraId="2F636A4D">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突发环境事件的现场应急处置工作在突发环境事件的威胁和危害得到控制或消除后，应当终止。 </w:t>
      </w:r>
    </w:p>
    <w:p w14:paraId="18732D29">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4.3.2 响应终止的程序 </w:t>
      </w:r>
    </w:p>
    <w:p w14:paraId="6852670D">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（1）环境应急现场指挥部上报突发环境事件应急指挥机构决定终止应急； </w:t>
      </w:r>
    </w:p>
    <w:p w14:paraId="526B0067">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（2）环境应急现场指挥部向组织处置突发环境事件的各专业应急救援队伍下达应急终止命令； </w:t>
      </w:r>
    </w:p>
    <w:p w14:paraId="49C97AE5">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（3）应急状态终止后，区突发环境事件应急指挥机构组成部门应当根据区管委有关指示和实际情况，决定是否继续进行环境监测和评价工作。 </w:t>
      </w:r>
    </w:p>
    <w:p w14:paraId="45C49647">
      <w:pPr>
        <w:spacing w:line="560" w:lineRule="exact"/>
        <w:ind w:firstLine="632" w:firstLineChars="200"/>
        <w:rPr>
          <w:rFonts w:ascii="黑体" w:hAnsi="黑体" w:eastAsia="黑体" w:cs="黑体"/>
          <w:sz w:val="32"/>
          <w:szCs w:val="32"/>
        </w:rPr>
      </w:pPr>
      <w:r>
        <w:rPr>
          <w:rFonts w:hint="eastAsia" w:ascii="黑体" w:hAnsi="黑体" w:eastAsia="黑体" w:cs="黑体"/>
          <w:kern w:val="0"/>
          <w:sz w:val="32"/>
          <w:szCs w:val="32"/>
        </w:rPr>
        <w:t xml:space="preserve">5 后期处置 </w:t>
      </w:r>
    </w:p>
    <w:p w14:paraId="71DBD331">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 xml:space="preserve">5.1 损害评估 </w:t>
      </w:r>
    </w:p>
    <w:p w14:paraId="670A3A54">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突发环境事件应急响应终止后，要及时组织开展污染损害评估，并将评估结果向社会公布。评估结论作为事件调查处理、损害赔偿、环境修复费和生态恢复重建的依据。 </w:t>
      </w:r>
    </w:p>
    <w:p w14:paraId="3F958B67">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 xml:space="preserve">5.2 调查处理 </w:t>
      </w:r>
    </w:p>
    <w:p w14:paraId="6186E2DD">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突发环境事件应急处置工作结束后，按照《突发环境事件调查处理办法》相关规定组成调查组，及时对特别重大、重大突发环境事件的起因、性质、影响、责任、经验教训和恢复重建等问题进行调查评估，并提出防范和改进措施。属于责任事件的，应当对负有责任的部门（单位）和个人提出处理意见。 </w:t>
      </w:r>
    </w:p>
    <w:p w14:paraId="1FEB3026">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 xml:space="preserve">5.3 善后处置 </w:t>
      </w:r>
    </w:p>
    <w:p w14:paraId="5B27BD11">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区管委组织有关专家对受影响区域的范围进行科学评估，制定补助、补偿、抚恤、安置和环境恢复等善后工作计划并组织实施，做好受害人员的安置等善后处置工作。 </w:t>
      </w:r>
    </w:p>
    <w:p w14:paraId="32E01F34">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 xml:space="preserve">5.4 保险 </w:t>
      </w:r>
    </w:p>
    <w:p w14:paraId="0B0AD31D">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适用《工伤保险条例》规定的单位，应按规定参加工伤保险。可能引起突发环境污染的企事业单位，要依法办理相关责任险或其他险种。各有关部门要为环境应急工作人员办理人身意外伤害保险。 </w:t>
      </w:r>
    </w:p>
    <w:p w14:paraId="38701B10">
      <w:pPr>
        <w:spacing w:line="560" w:lineRule="exact"/>
        <w:ind w:firstLine="632" w:firstLineChars="200"/>
        <w:rPr>
          <w:rFonts w:ascii="黑体" w:hAnsi="黑体" w:eastAsia="黑体" w:cs="黑体"/>
          <w:sz w:val="32"/>
          <w:szCs w:val="32"/>
        </w:rPr>
      </w:pPr>
      <w:r>
        <w:rPr>
          <w:rFonts w:hint="eastAsia" w:ascii="黑体" w:hAnsi="黑体" w:eastAsia="黑体" w:cs="黑体"/>
          <w:kern w:val="0"/>
          <w:sz w:val="32"/>
          <w:szCs w:val="32"/>
        </w:rPr>
        <w:t xml:space="preserve">6 应急保障 </w:t>
      </w:r>
    </w:p>
    <w:p w14:paraId="507865A4">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 xml:space="preserve">6.1 队伍保障 </w:t>
      </w:r>
    </w:p>
    <w:p w14:paraId="18B2581D">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加强环境应急队伍的建设，提高其应对突发环境事件的水平和能力；培训一支常备不懈、熟悉环境应急知识、充分掌握各类突发环境事件处置措施的常备应急力量；加强突发环境事件应急专家队伍建设，专家组参与突发环境事件应急工作，为突发环境事件应急指挥决策提供技术支持。 </w:t>
      </w:r>
    </w:p>
    <w:p w14:paraId="3B31763E">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 xml:space="preserve">6.2 资金保障 </w:t>
      </w:r>
    </w:p>
    <w:p w14:paraId="5BB7203F">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突发环境事件应急指挥机构组成部门根据本部门应对突发环境事件预防、预警、应急处置的需要，提出项目支出预算，编制相应的环境应急管理能力建设规划，涉及中央、省级投资安排的，报相关部门审批后执行。</w:t>
      </w:r>
    </w:p>
    <w:p w14:paraId="7813C70E">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 xml:space="preserve">6.3 防护装备、物资保障 </w:t>
      </w:r>
    </w:p>
    <w:p w14:paraId="7A8F084B">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突发环境事件应急指挥机构组成部门要充分发挥职能作用，装备应急指挥车辆、应急处置设备、快速机动设备、通信设备和自身防护装备，储备应急物资，不断提高应急监测、动态监控的能力，在发生突发环境事件时能有效控制和减少对环境的危害。 </w:t>
      </w:r>
    </w:p>
    <w:p w14:paraId="30FE22A9">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 xml:space="preserve">6.4 应急车辆保障 </w:t>
      </w:r>
    </w:p>
    <w:p w14:paraId="763D67B3">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做好应急车辆的保障工作，确保突发环境事件发生时，生态环境部门工作人员第一时间赶赴事件现场。 </w:t>
      </w:r>
    </w:p>
    <w:p w14:paraId="27C9555A">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 xml:space="preserve">6.5 通信保障 </w:t>
      </w:r>
    </w:p>
    <w:p w14:paraId="5EE07440">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充分发挥“12369”环境举报电话和环境应急指挥平台的作用，做好系统的运行维护，确保信息畅通；通信管理部门要及时组织有关基础电信运营企业，保障突发环境事件处置过程中的通信畅通，必要时在现场开通应急通讯设施。 </w:t>
      </w:r>
    </w:p>
    <w:p w14:paraId="73EF89A3">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 xml:space="preserve">6.6 宣传、培训与演练 </w:t>
      </w:r>
    </w:p>
    <w:p w14:paraId="13EAF845">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1）生态环境分局应加强环境保护科普、法制宣传教育工作，普及突发环境事件预防常识，编印、发放有毒有害物质污染公众防护“明白卡”，增强公众的防范意识和相关心理准备，提高公众的防范和自救能力。 </w:t>
      </w:r>
    </w:p>
    <w:p w14:paraId="5CEE6E3C">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2）突发环境事件应急指挥机构各组成部门应有计划地开展突发环境事件应急专业技术人员日常培训，加强重点单位、重点部位和重点基础设施等重要目标工作人员的培训和管理，培养一批训练有素的环境应急处置、检验、监测等专门人才。 </w:t>
      </w:r>
    </w:p>
    <w:p w14:paraId="520058EA">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3）突发环境事件应急指挥机构各组成部门，按照环境应急预案及相关专项预案参与由突发环境事件应急指挥机构或生态环境部门组织的不同类型的环境应急演练，提高防范和处置突发环境事件的技能，增强实战能力。 </w:t>
      </w:r>
    </w:p>
    <w:p w14:paraId="5C4334CD">
      <w:pPr>
        <w:spacing w:line="560" w:lineRule="exact"/>
        <w:ind w:firstLine="632" w:firstLineChars="200"/>
        <w:rPr>
          <w:rFonts w:ascii="黑体" w:hAnsi="黑体" w:eastAsia="黑体" w:cs="黑体"/>
          <w:sz w:val="32"/>
          <w:szCs w:val="32"/>
        </w:rPr>
      </w:pPr>
      <w:r>
        <w:rPr>
          <w:rFonts w:hint="eastAsia" w:ascii="黑体" w:hAnsi="黑体" w:eastAsia="黑体" w:cs="黑体"/>
          <w:kern w:val="0"/>
          <w:sz w:val="32"/>
          <w:szCs w:val="32"/>
        </w:rPr>
        <w:t xml:space="preserve">7 附 则 </w:t>
      </w:r>
    </w:p>
    <w:p w14:paraId="0C27A8EF">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 xml:space="preserve">7.1 预案管理与修订 </w:t>
      </w:r>
    </w:p>
    <w:p w14:paraId="3C17C68D">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本预案由生态环境分局组织修订，经高新区管委批准后实施。预案实施后，高新区管委按照预案管理相关法律法规规定及时修订完善本预案。 </w:t>
      </w:r>
    </w:p>
    <w:p w14:paraId="329C8A60">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 xml:space="preserve">7.2 预案解释 </w:t>
      </w:r>
    </w:p>
    <w:p w14:paraId="1232C1D9">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本预案由生态环境分局负责解释。 </w:t>
      </w:r>
    </w:p>
    <w:p w14:paraId="6F6CDCB8">
      <w:pPr>
        <w:spacing w:line="560" w:lineRule="exact"/>
        <w:ind w:firstLine="632" w:firstLineChars="200"/>
        <w:rPr>
          <w:rFonts w:ascii="楷体_GB2312" w:hAnsi="楷体_GB2312" w:eastAsia="楷体_GB2312" w:cs="楷体_GB2312"/>
          <w:sz w:val="32"/>
          <w:szCs w:val="32"/>
        </w:rPr>
      </w:pPr>
      <w:r>
        <w:rPr>
          <w:rFonts w:hint="eastAsia" w:ascii="楷体_GB2312" w:hAnsi="楷体_GB2312" w:eastAsia="楷体_GB2312" w:cs="楷体_GB2312"/>
          <w:kern w:val="0"/>
          <w:sz w:val="32"/>
          <w:szCs w:val="32"/>
        </w:rPr>
        <w:t xml:space="preserve">7.3 预案实施时间 </w:t>
      </w:r>
    </w:p>
    <w:p w14:paraId="796526A1">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本预案自印发之日起实施。</w:t>
      </w:r>
    </w:p>
    <w:p w14:paraId="1DE45763">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附件：1.突发环境事件分级标准 </w:t>
      </w:r>
    </w:p>
    <w:p w14:paraId="2DB59F55">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2.烟台高新区突发环境事件应急指挥机构组成及部门职责 </w:t>
      </w:r>
    </w:p>
    <w:p w14:paraId="61C87C3C">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3.应急指挥机构成员单位应急联系方式 </w:t>
      </w:r>
    </w:p>
    <w:p w14:paraId="1E6FD669">
      <w:pPr>
        <w:spacing w:line="560" w:lineRule="exact"/>
        <w:ind w:firstLine="612" w:firstLineChars="200"/>
        <w:rPr>
          <w:rFonts w:ascii="黑体" w:hAnsi="黑体" w:eastAsia="黑体" w:cs="黑体"/>
          <w:kern w:val="0"/>
          <w:sz w:val="31"/>
          <w:szCs w:val="31"/>
        </w:rPr>
      </w:pPr>
    </w:p>
    <w:p w14:paraId="21E841A1">
      <w:pPr>
        <w:spacing w:line="560" w:lineRule="exact"/>
        <w:ind w:firstLine="612" w:firstLineChars="200"/>
        <w:rPr>
          <w:rFonts w:ascii="黑体" w:hAnsi="黑体" w:eastAsia="黑体" w:cs="黑体"/>
          <w:kern w:val="0"/>
          <w:sz w:val="31"/>
          <w:szCs w:val="31"/>
        </w:rPr>
      </w:pPr>
    </w:p>
    <w:p w14:paraId="4F8766B7">
      <w:pPr>
        <w:spacing w:line="560" w:lineRule="exact"/>
        <w:ind w:firstLine="612" w:firstLineChars="200"/>
        <w:rPr>
          <w:rFonts w:ascii="黑体" w:hAnsi="黑体" w:eastAsia="黑体" w:cs="黑体"/>
          <w:kern w:val="0"/>
          <w:sz w:val="31"/>
          <w:szCs w:val="31"/>
        </w:rPr>
      </w:pPr>
      <w:r>
        <w:rPr>
          <w:rFonts w:hint="eastAsia" w:ascii="黑体" w:hAnsi="黑体" w:eastAsia="黑体" w:cs="黑体"/>
          <w:kern w:val="0"/>
          <w:sz w:val="31"/>
          <w:szCs w:val="31"/>
        </w:rPr>
        <w:t xml:space="preserve">附件 1 </w:t>
      </w:r>
    </w:p>
    <w:p w14:paraId="6CBDB233">
      <w:pPr>
        <w:spacing w:beforeLines="50" w:afterLines="50"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突发环境事件分级标准</w:t>
      </w:r>
    </w:p>
    <w:p w14:paraId="082B4B66">
      <w:pPr>
        <w:spacing w:line="560" w:lineRule="exact"/>
        <w:ind w:firstLine="632" w:firstLineChars="200"/>
        <w:rPr>
          <w:rFonts w:ascii="黑体" w:hAnsi="黑体" w:eastAsia="黑体" w:cs="黑体"/>
          <w:sz w:val="32"/>
          <w:szCs w:val="32"/>
        </w:rPr>
      </w:pPr>
      <w:r>
        <w:rPr>
          <w:rFonts w:hint="eastAsia" w:ascii="黑体" w:hAnsi="黑体" w:eastAsia="黑体" w:cs="黑体"/>
          <w:kern w:val="0"/>
          <w:sz w:val="32"/>
          <w:szCs w:val="32"/>
        </w:rPr>
        <w:t xml:space="preserve">一、特别重大突发环境事件 </w:t>
      </w:r>
    </w:p>
    <w:p w14:paraId="7C99E76C">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凡符合下列情形之一的，为特别重大突发环境事件</w:t>
      </w:r>
      <w:r>
        <w:rPr>
          <w:rFonts w:hint="eastAsia" w:ascii="仿宋_GB2312" w:hAnsi="仿宋_GB2312" w:eastAsia="仿宋_GB2312" w:cs="仿宋_GB2312"/>
          <w:b/>
          <w:bCs/>
          <w:kern w:val="0"/>
          <w:sz w:val="32"/>
          <w:szCs w:val="32"/>
        </w:rPr>
        <w:t xml:space="preserve">： </w:t>
      </w:r>
    </w:p>
    <w:p w14:paraId="12C3FA43">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1.因环境污染直接导致30人以上死亡或100人以上中毒或重伤的； </w:t>
      </w:r>
    </w:p>
    <w:p w14:paraId="09E24BEF">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2.因环境污染疏散、转移人员５万人以上的； </w:t>
      </w:r>
    </w:p>
    <w:p w14:paraId="091CC151">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3.因环境污染造成直接经济损失１亿元以上的； </w:t>
      </w:r>
    </w:p>
    <w:p w14:paraId="63DDFF06">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4.因环境污染造成区域生态功能丧失或该区域国家重点保护物种灭绝的；</w:t>
      </w:r>
    </w:p>
    <w:p w14:paraId="4CE1C9AE">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5.因环境污染造成设区的市级以上城市集中式饮用水水源 </w:t>
      </w:r>
    </w:p>
    <w:p w14:paraId="6DA783FE">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地取水中断的； </w:t>
      </w:r>
    </w:p>
    <w:p w14:paraId="4F125880">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6.Ⅰ、Ⅱ类放射源丢失、被盗、失控并造成大范围严重辐射污染后果的；放射性同位素和射线装置失控导致３人以上急性死亡的；放射性物质泄漏，造成大范围辐射污染后果的； </w:t>
      </w:r>
    </w:p>
    <w:p w14:paraId="13E67B91">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7.造成重大跨国境影响的境内突发环境事件。 </w:t>
      </w:r>
    </w:p>
    <w:p w14:paraId="31D567C6">
      <w:pPr>
        <w:spacing w:line="560" w:lineRule="exact"/>
        <w:ind w:firstLine="632" w:firstLineChars="200"/>
        <w:rPr>
          <w:rFonts w:ascii="黑体" w:hAnsi="黑体" w:eastAsia="黑体" w:cs="黑体"/>
          <w:sz w:val="32"/>
          <w:szCs w:val="32"/>
        </w:rPr>
      </w:pPr>
      <w:r>
        <w:rPr>
          <w:rFonts w:hint="eastAsia" w:ascii="黑体" w:hAnsi="黑体" w:eastAsia="黑体" w:cs="黑体"/>
          <w:kern w:val="0"/>
          <w:sz w:val="32"/>
          <w:szCs w:val="32"/>
        </w:rPr>
        <w:t xml:space="preserve">二、重大突发环境事件 </w:t>
      </w:r>
    </w:p>
    <w:p w14:paraId="4C917305">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凡符合下列情形之一的，为重大突发环境事件： </w:t>
      </w:r>
    </w:p>
    <w:p w14:paraId="28170EC2">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1.因环境污染直接导致10人以上30人以下死亡或50人以上100人以下中毒或重伤的； </w:t>
      </w:r>
    </w:p>
    <w:p w14:paraId="337ED98D">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2.因环境污染疏散、转移人员1万人以上5万人以下的；</w:t>
      </w:r>
    </w:p>
    <w:p w14:paraId="3F49B487">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3.因环境污染造成直接经济损失2000万元以上1亿元以下的； </w:t>
      </w:r>
    </w:p>
    <w:p w14:paraId="124B4385">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4.因环境污染造成区域生态功能部分丧失或该区域国家重 </w:t>
      </w:r>
    </w:p>
    <w:p w14:paraId="7CF20946">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点保护野生动植物种群大批死亡的； </w:t>
      </w:r>
    </w:p>
    <w:p w14:paraId="69E8A918">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5.因环境污染造成县级城市集中式饮用水水源地取水中断的； </w:t>
      </w:r>
    </w:p>
    <w:p w14:paraId="0E0B2ED1">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6.Ⅰ、Ⅱ类放射源丢失、被盗的；放射性同位素和射线装置失控导致3人以下急性死亡或10人以上急性重度放射病、局部器官残疾的；放射性物质泄漏，造成较大范围辐射污染后果的；</w:t>
      </w:r>
    </w:p>
    <w:p w14:paraId="0F7AD3E0">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7.造成跨省级行政区域影响的突发环境事件。 </w:t>
      </w:r>
    </w:p>
    <w:p w14:paraId="66B84C98">
      <w:pPr>
        <w:spacing w:line="560" w:lineRule="exact"/>
        <w:ind w:firstLine="632" w:firstLineChars="200"/>
        <w:rPr>
          <w:rFonts w:ascii="黑体" w:hAnsi="黑体" w:eastAsia="黑体" w:cs="黑体"/>
          <w:sz w:val="32"/>
          <w:szCs w:val="32"/>
        </w:rPr>
      </w:pPr>
      <w:r>
        <w:rPr>
          <w:rFonts w:hint="eastAsia" w:ascii="黑体" w:hAnsi="黑体" w:eastAsia="黑体" w:cs="黑体"/>
          <w:kern w:val="0"/>
          <w:sz w:val="32"/>
          <w:szCs w:val="32"/>
        </w:rPr>
        <w:t xml:space="preserve">三、较大突发环境事件 </w:t>
      </w:r>
    </w:p>
    <w:p w14:paraId="54EC89F5">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凡符合下列情形之一的，为较大突发环境事件： </w:t>
      </w:r>
    </w:p>
    <w:p w14:paraId="4FD72325">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1.因环境污染直接导致３人以上10人以下死亡或10人以上50人以下中毒或重伤的； </w:t>
      </w:r>
    </w:p>
    <w:p w14:paraId="5A021F4F">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2.因环境污染疏散、转移人员5000人以上１万人以下的； </w:t>
      </w:r>
    </w:p>
    <w:p w14:paraId="5E45CCE4">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3.因环境污染造成直接经济损失500万元以上2000万元以下的；</w:t>
      </w:r>
    </w:p>
    <w:p w14:paraId="4F743949">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4.因环境污染造成国家重点保护的动植物物种受到破坏的；</w:t>
      </w:r>
    </w:p>
    <w:p w14:paraId="4129CBD7">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5.因环境污染造成乡镇集中式饮用水水源地取水中断的；</w:t>
      </w:r>
    </w:p>
    <w:p w14:paraId="3F5E755F">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6.Ⅲ类放射源丢失、被盗的；放射性同位素和射线装置失控</w:t>
      </w:r>
    </w:p>
    <w:p w14:paraId="3B878AB6">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导致10人以下急性重度放射病、局部器官残疾的；放射性物质泄漏，造成小范围辐射污染后果的； </w:t>
      </w:r>
    </w:p>
    <w:p w14:paraId="659E2A6D">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7.造成跨设区的市级行政区域影响的突发环境事件。</w:t>
      </w:r>
    </w:p>
    <w:p w14:paraId="59EA1B83">
      <w:pPr>
        <w:spacing w:line="560" w:lineRule="exact"/>
        <w:ind w:firstLine="632" w:firstLineChars="200"/>
        <w:rPr>
          <w:rFonts w:ascii="黑体" w:hAnsi="黑体" w:eastAsia="黑体" w:cs="黑体"/>
          <w:sz w:val="32"/>
          <w:szCs w:val="32"/>
        </w:rPr>
      </w:pPr>
      <w:r>
        <w:rPr>
          <w:rFonts w:hint="eastAsia" w:ascii="黑体" w:hAnsi="黑体" w:eastAsia="黑体" w:cs="黑体"/>
          <w:kern w:val="0"/>
          <w:sz w:val="32"/>
          <w:szCs w:val="32"/>
        </w:rPr>
        <w:t xml:space="preserve">四、一般突发环境事件 </w:t>
      </w:r>
    </w:p>
    <w:p w14:paraId="2703D29D">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凡符合下列情形之一的，为一般突发环境事件： </w:t>
      </w:r>
    </w:p>
    <w:p w14:paraId="2C3AACC2">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1.因环境污染直接导致３人以下死亡或10人以下中毒或重伤的； </w:t>
      </w:r>
    </w:p>
    <w:p w14:paraId="40F12A7A">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2.因环境污染疏散、转移人员5000人以下的； </w:t>
      </w:r>
    </w:p>
    <w:p w14:paraId="2654A404">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3.因环境污染造成直接经济损失500万元以下的； </w:t>
      </w:r>
    </w:p>
    <w:p w14:paraId="23581316">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4.因环境污染造成跨县级行政区域纠纷，引起一般性群体影响的； </w:t>
      </w:r>
    </w:p>
    <w:p w14:paraId="1A668494">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5.Ⅳ、Ⅴ类放射源丢失、被盗的；放射性同位素和射线装置失控导致人员受到超过年剂量限值的照射的；放射性物质泄漏，造成厂区内或设施内局部辐射污染后果的；铀矿冶、伴生矿超标排放，造成环境辐射污染后果的； </w:t>
      </w:r>
    </w:p>
    <w:p w14:paraId="2C85DAAB">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6.对环境造成一定影响，尚未达到较大突发环境事件级别的。上述分级标准有关数量的表述中，“以上”含本数，“以下”不含本数。 </w:t>
      </w:r>
    </w:p>
    <w:p w14:paraId="5DBF1DAB">
      <w:pPr>
        <w:spacing w:line="560" w:lineRule="exact"/>
        <w:ind w:firstLine="612" w:firstLineChars="200"/>
        <w:rPr>
          <w:rFonts w:ascii="仿宋_GB2312" w:hAnsi="仿宋_GB2312" w:eastAsia="仿宋_GB2312" w:cs="仿宋_GB2312"/>
          <w:kern w:val="0"/>
          <w:sz w:val="31"/>
          <w:szCs w:val="31"/>
        </w:rPr>
      </w:pPr>
    </w:p>
    <w:p w14:paraId="7DD92911">
      <w:pPr>
        <w:spacing w:line="560" w:lineRule="exact"/>
        <w:ind w:firstLine="612" w:firstLineChars="200"/>
        <w:rPr>
          <w:rFonts w:ascii="仿宋_GB2312" w:hAnsi="仿宋_GB2312" w:eastAsia="仿宋_GB2312" w:cs="仿宋_GB2312"/>
          <w:kern w:val="0"/>
          <w:sz w:val="31"/>
          <w:szCs w:val="31"/>
        </w:rPr>
      </w:pPr>
    </w:p>
    <w:p w14:paraId="2A9DF1F5">
      <w:pPr>
        <w:spacing w:line="560" w:lineRule="exact"/>
        <w:ind w:firstLine="612" w:firstLineChars="200"/>
        <w:rPr>
          <w:rFonts w:ascii="仿宋_GB2312" w:hAnsi="仿宋_GB2312" w:eastAsia="仿宋_GB2312" w:cs="仿宋_GB2312"/>
          <w:kern w:val="0"/>
          <w:sz w:val="31"/>
          <w:szCs w:val="31"/>
        </w:rPr>
      </w:pPr>
    </w:p>
    <w:p w14:paraId="5EA7A056">
      <w:pPr>
        <w:spacing w:line="560" w:lineRule="exact"/>
        <w:ind w:firstLine="612" w:firstLineChars="200"/>
        <w:rPr>
          <w:rFonts w:ascii="仿宋_GB2312" w:hAnsi="仿宋_GB2312" w:eastAsia="仿宋_GB2312" w:cs="仿宋_GB2312"/>
          <w:kern w:val="0"/>
          <w:sz w:val="31"/>
          <w:szCs w:val="31"/>
        </w:rPr>
      </w:pPr>
    </w:p>
    <w:p w14:paraId="462E9DEB">
      <w:pPr>
        <w:spacing w:line="560" w:lineRule="exact"/>
        <w:ind w:firstLine="612" w:firstLineChars="200"/>
        <w:rPr>
          <w:rFonts w:ascii="仿宋_GB2312" w:hAnsi="仿宋_GB2312" w:eastAsia="仿宋_GB2312" w:cs="仿宋_GB2312"/>
          <w:kern w:val="0"/>
          <w:sz w:val="31"/>
          <w:szCs w:val="31"/>
        </w:rPr>
      </w:pPr>
    </w:p>
    <w:p w14:paraId="2D113968">
      <w:pPr>
        <w:spacing w:line="560" w:lineRule="exact"/>
        <w:ind w:firstLine="612" w:firstLineChars="200"/>
        <w:rPr>
          <w:rFonts w:ascii="仿宋_GB2312" w:hAnsi="仿宋_GB2312" w:eastAsia="仿宋_GB2312" w:cs="仿宋_GB2312"/>
          <w:kern w:val="0"/>
          <w:sz w:val="31"/>
          <w:szCs w:val="31"/>
        </w:rPr>
      </w:pPr>
    </w:p>
    <w:p w14:paraId="3E21F60D">
      <w:pPr>
        <w:spacing w:line="560" w:lineRule="exact"/>
        <w:ind w:firstLine="632" w:firstLineChars="200"/>
        <w:rPr>
          <w:rFonts w:ascii="黑体" w:hAnsi="黑体" w:eastAsia="黑体" w:cs="黑体"/>
          <w:kern w:val="0"/>
          <w:sz w:val="32"/>
          <w:szCs w:val="32"/>
        </w:rPr>
      </w:pPr>
      <w:r>
        <w:rPr>
          <w:rFonts w:hint="eastAsia" w:ascii="黑体" w:hAnsi="黑体" w:eastAsia="黑体" w:cs="黑体"/>
          <w:kern w:val="0"/>
          <w:sz w:val="32"/>
          <w:szCs w:val="32"/>
        </w:rPr>
        <w:t xml:space="preserve">附件 2 </w:t>
      </w:r>
    </w:p>
    <w:p w14:paraId="6A657B97">
      <w:pPr>
        <w:spacing w:beforeLines="100" w:afterLines="100" w:line="560" w:lineRule="exact"/>
        <w:ind w:firstLine="872" w:firstLineChars="200"/>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烟台高新区突发环境事件应急指挥机构组成及部门职责</w:t>
      </w:r>
    </w:p>
    <w:p w14:paraId="417A58FD">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指 挥 长：</w:t>
      </w:r>
      <w:r>
        <w:rPr>
          <w:rFonts w:hint="eastAsia" w:ascii="仿宋_GB2312" w:hAnsi="仿宋_GB2312" w:eastAsia="仿宋_GB2312" w:cs="仿宋_GB2312"/>
          <w:kern w:val="0"/>
          <w:sz w:val="32"/>
          <w:szCs w:val="32"/>
        </w:rPr>
        <w:t xml:space="preserve">分管生态环境保护工作的管委副主任 </w:t>
      </w:r>
    </w:p>
    <w:p w14:paraId="3EFBEB3B">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副指挥长：</w:t>
      </w:r>
      <w:r>
        <w:rPr>
          <w:rFonts w:hint="eastAsia" w:ascii="仿宋_GB2312" w:hAnsi="仿宋_GB2312" w:eastAsia="仿宋_GB2312" w:cs="仿宋_GB2312"/>
          <w:kern w:val="0"/>
          <w:sz w:val="32"/>
          <w:szCs w:val="32"/>
        </w:rPr>
        <w:t xml:space="preserve">生态环境分局局长 </w:t>
      </w:r>
    </w:p>
    <w:p w14:paraId="55FBB958">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综合管理部主任 </w:t>
      </w:r>
    </w:p>
    <w:p w14:paraId="23EBE0E0">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组成部门：</w:t>
      </w:r>
      <w:r>
        <w:rPr>
          <w:rFonts w:hint="eastAsia" w:ascii="仿宋_GB2312" w:hAnsi="仿宋_GB2312" w:eastAsia="仿宋_GB2312" w:cs="仿宋_GB2312"/>
          <w:kern w:val="0"/>
          <w:sz w:val="32"/>
          <w:szCs w:val="32"/>
        </w:rPr>
        <w:t>生态环境分局：负责组织突发环境事件的应急监测，确定危害范围和程度，会同有关部门负责突发环境事件的调查处理；负责生态环境保护工作的预报预警工作。</w:t>
      </w:r>
    </w:p>
    <w:p w14:paraId="39820910">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综合管理部：负责配合做好突发环境事件信息发布工作。</w:t>
      </w:r>
    </w:p>
    <w:p w14:paraId="6EA2D202">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经济发展部：负责救灾物资的储备和日常管理；负责组织协调救援装备、监测设备、防护和消杀用品、医药等生产供应工作；负责海洋观测预报、预警监测和防灾工作，开展风险评估和隐患排查治理。</w:t>
      </w:r>
    </w:p>
    <w:p w14:paraId="25C1EABE">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公安分局：负责丢失、被盗放射源的立案侦查和追缴；负责事发地周边安全警戒，维护突发环境事件现场治安秩序；协助组织群众从危险地区安全疏散、撤离；参与重大、特大环境事件的调查处理。 </w:t>
      </w:r>
    </w:p>
    <w:p w14:paraId="7F97EC14">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财政金融部：负责突发环境事件应急工作经费保障。 </w:t>
      </w:r>
    </w:p>
    <w:p w14:paraId="36C2B915">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党群工作部：负责为突发环境事件中遭受伤害的职工进行工伤认定和劳动能力鉴定，为已参加工伤保险的职工落实工伤保险待遇；负责对在突发环境事件中做出突出贡献工作人员按照有关规定进行表扬。 </w:t>
      </w:r>
    </w:p>
    <w:p w14:paraId="0C671580">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规划国土建设部：参与地质灾害、矿产资源开发导致的突发环境事件污染处置和调查，负责应急地理数据测绘和信息提供；负责指导临时避难所和指挥场所的建设。 </w:t>
      </w:r>
    </w:p>
    <w:p w14:paraId="437C3EED">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综合行政执法局：参与相关事件调查，负责协助突发环境事件违法行为的查处；协调城市供排水、燃气、集中供热等单位配合环境应急处置工作；负责配合相关部门做好突发水污染事件的应急处置工作；负责突发水环境事件后城市水源工程供水安全保障。</w:t>
      </w:r>
    </w:p>
    <w:p w14:paraId="13759728">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交警五大队：参与交通运输危化品突发环境事件现场安全警戒、处置、调查，负责调集、协调道路运输力量，为事故救援人员、物资运输提供保障。</w:t>
      </w:r>
    </w:p>
    <w:p w14:paraId="4977C973">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马山街道办事处：参与农业突发环境事件（属于工业污染、城市生活污染和其他公害造成农业环境污染的事件除外）应急处置，参与市场农产品等应急物资保障，指导农业生产恢复工作。</w:t>
      </w:r>
    </w:p>
    <w:p w14:paraId="1FD32D2B">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招商部：负责应急期间相关重要生活必需品供应。  </w:t>
      </w:r>
    </w:p>
    <w:p w14:paraId="02E8A8F5">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卫生健康委员会高新区管理办公室：负责卫生应急和紧急医学救援。对生活饮用水污染事件，开展职责范围内的卫生监测、健康宣教工作。在应急现场设置救护点、开展伤员洗消、现场急救、病员转运和院内救治等工作。 </w:t>
      </w:r>
    </w:p>
    <w:p w14:paraId="4B15CEB1">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急分局：参与因生产安全事故和自然灾害引发的突发环境事件的应急处置救援，事故调查处理工作；会同有关方面组织协调紧急转移安置受灾群众和受灾群众生活救助工作；统一协调指挥全区应急救援队伍，建立应急协调联动机制；推进指挥平台对接，衔接解放军和武警部队参与应急救援工作；指导社会力量参与应急救援。</w:t>
      </w:r>
    </w:p>
    <w:p w14:paraId="09D2EBD2">
      <w:pPr>
        <w:spacing w:line="560" w:lineRule="exact"/>
        <w:ind w:firstLine="632"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市场监管分局：负责提供特种设备技术资料支持，并组织专业技术人员现场指导；负责为应急救援提供相关企业基本情况资料；负责抢险救援过程中的食品和药品的安全监督和供应保障的协调。 </w:t>
      </w:r>
    </w:p>
    <w:p w14:paraId="60212129">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区消防救援大队：参与火灾、爆炸、危化品泄漏等次生突发环境事件各项应急处置工作。 </w:t>
      </w:r>
    </w:p>
    <w:p w14:paraId="00FDA2EA">
      <w:pPr>
        <w:spacing w:line="560" w:lineRule="exact"/>
        <w:ind w:firstLine="632"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区突发环境事件应急指挥机构下设办公室。办公室设在生态环境分局，作为全区突发环境事件应急管理的日常工作机构，负责围绕预防、预警、应急三大环节，建立完善风险评估、隐患排查、事故预警和应急处置工作机制，构建环境安全防控体系。修订烟台高新区突发环境事件专项应急预案,对公众进行环境应急宣传和教育，加强突发环境事件应急管理。</w:t>
      </w:r>
    </w:p>
    <w:p w14:paraId="12A05E6A">
      <w:pPr>
        <w:widowControl/>
        <w:jc w:val="left"/>
        <w:rPr>
          <w:rFonts w:ascii="仿宋_GB2312" w:hAnsi="仿宋_GB2312" w:eastAsia="仿宋_GB2312" w:cs="仿宋_GB2312"/>
          <w:kern w:val="0"/>
          <w:sz w:val="32"/>
          <w:szCs w:val="32"/>
        </w:rPr>
      </w:pPr>
    </w:p>
    <w:p w14:paraId="0522A788">
      <w:pPr>
        <w:widowControl/>
        <w:jc w:val="left"/>
        <w:rPr>
          <w:rFonts w:ascii="仿宋_GB2312" w:hAnsi="仿宋_GB2312" w:eastAsia="仿宋_GB2312" w:cs="仿宋_GB2312"/>
          <w:kern w:val="0"/>
          <w:sz w:val="32"/>
          <w:szCs w:val="32"/>
        </w:rPr>
      </w:pPr>
    </w:p>
    <w:p w14:paraId="4F2EFC9D">
      <w:pPr>
        <w:widowControl/>
        <w:jc w:val="left"/>
        <w:rPr>
          <w:rFonts w:ascii="黑体" w:hAnsi="黑体" w:eastAsia="黑体" w:cs="黑体"/>
          <w:kern w:val="0"/>
          <w:sz w:val="31"/>
          <w:szCs w:val="31"/>
        </w:rPr>
      </w:pPr>
    </w:p>
    <w:p w14:paraId="74849D44">
      <w:pPr>
        <w:widowControl/>
        <w:jc w:val="left"/>
        <w:rPr>
          <w:rFonts w:ascii="黑体" w:hAnsi="黑体" w:eastAsia="黑体" w:cs="黑体"/>
          <w:kern w:val="0"/>
          <w:sz w:val="31"/>
          <w:szCs w:val="31"/>
        </w:rPr>
      </w:pPr>
    </w:p>
    <w:p w14:paraId="30DC664B">
      <w:pPr>
        <w:widowControl/>
        <w:jc w:val="left"/>
        <w:rPr>
          <w:rFonts w:ascii="黑体" w:hAnsi="黑体" w:eastAsia="黑体" w:cs="黑体"/>
        </w:rPr>
      </w:pPr>
      <w:r>
        <w:rPr>
          <w:rFonts w:hint="eastAsia" w:ascii="黑体" w:hAnsi="黑体" w:eastAsia="黑体" w:cs="黑体"/>
          <w:kern w:val="0"/>
          <w:sz w:val="31"/>
          <w:szCs w:val="31"/>
        </w:rPr>
        <w:t>附件3</w:t>
      </w:r>
    </w:p>
    <w:p w14:paraId="229352C1">
      <w:pPr>
        <w:spacing w:beforeLines="100"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应急指挥机构成员单位应急联系方式</w:t>
      </w:r>
    </w:p>
    <w:p w14:paraId="174EAB61">
      <w:pPr>
        <w:spacing w:beforeLines="100"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（动态更新）</w:t>
      </w: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5085"/>
        <w:gridCol w:w="2962"/>
      </w:tblGrid>
      <w:tr w14:paraId="3574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34431F7A">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5085" w:type="dxa"/>
          </w:tcPr>
          <w:p w14:paraId="6889865F">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部门</w:t>
            </w:r>
          </w:p>
        </w:tc>
        <w:tc>
          <w:tcPr>
            <w:tcW w:w="2962" w:type="dxa"/>
          </w:tcPr>
          <w:p w14:paraId="1FCA6649">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w:t>
            </w:r>
          </w:p>
        </w:tc>
      </w:tr>
      <w:tr w14:paraId="08F4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2D8639B7">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5085" w:type="dxa"/>
          </w:tcPr>
          <w:p w14:paraId="5D408AFC">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生态环境分局</w:t>
            </w:r>
          </w:p>
        </w:tc>
        <w:tc>
          <w:tcPr>
            <w:tcW w:w="2962" w:type="dxa"/>
          </w:tcPr>
          <w:p w14:paraId="6EA51E30">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0535-6922365</w:t>
            </w:r>
          </w:p>
        </w:tc>
      </w:tr>
      <w:tr w14:paraId="5683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366CEB39">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5085" w:type="dxa"/>
          </w:tcPr>
          <w:p w14:paraId="70943A82">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综合管理部</w:t>
            </w:r>
          </w:p>
        </w:tc>
        <w:tc>
          <w:tcPr>
            <w:tcW w:w="2962" w:type="dxa"/>
          </w:tcPr>
          <w:p w14:paraId="73280002">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0535-6922597</w:t>
            </w:r>
          </w:p>
        </w:tc>
      </w:tr>
      <w:tr w14:paraId="7CEE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14DA4D00">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5085" w:type="dxa"/>
          </w:tcPr>
          <w:p w14:paraId="749264DB">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经济发展部</w:t>
            </w:r>
          </w:p>
        </w:tc>
        <w:tc>
          <w:tcPr>
            <w:tcW w:w="2962" w:type="dxa"/>
          </w:tcPr>
          <w:p w14:paraId="63EF0C57">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0535-6922153</w:t>
            </w:r>
          </w:p>
        </w:tc>
      </w:tr>
      <w:tr w14:paraId="2573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16DD1FA8">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5085" w:type="dxa"/>
          </w:tcPr>
          <w:p w14:paraId="04122F7A">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公安分局</w:t>
            </w:r>
          </w:p>
        </w:tc>
        <w:tc>
          <w:tcPr>
            <w:tcW w:w="2962" w:type="dxa"/>
          </w:tcPr>
          <w:p w14:paraId="4D2FABED">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0535-6922719</w:t>
            </w:r>
          </w:p>
        </w:tc>
      </w:tr>
      <w:tr w14:paraId="3BE3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0B51D80F">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c>
          <w:tcPr>
            <w:tcW w:w="5085" w:type="dxa"/>
          </w:tcPr>
          <w:p w14:paraId="16628A0B">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财政金融部</w:t>
            </w:r>
          </w:p>
        </w:tc>
        <w:tc>
          <w:tcPr>
            <w:tcW w:w="2962" w:type="dxa"/>
          </w:tcPr>
          <w:p w14:paraId="6C86CDB4">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0535-6922175</w:t>
            </w:r>
          </w:p>
        </w:tc>
      </w:tr>
      <w:tr w14:paraId="41B8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722F2A7E">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tc>
        <w:tc>
          <w:tcPr>
            <w:tcW w:w="5085" w:type="dxa"/>
          </w:tcPr>
          <w:p w14:paraId="0DF2C715">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党群工作部</w:t>
            </w:r>
          </w:p>
        </w:tc>
        <w:tc>
          <w:tcPr>
            <w:tcW w:w="2962" w:type="dxa"/>
          </w:tcPr>
          <w:p w14:paraId="4E89FD0F">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0535-6922030</w:t>
            </w:r>
          </w:p>
        </w:tc>
      </w:tr>
      <w:tr w14:paraId="05B9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72350E53">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p>
        </w:tc>
        <w:tc>
          <w:tcPr>
            <w:tcW w:w="5085" w:type="dxa"/>
          </w:tcPr>
          <w:p w14:paraId="0FC51B87">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规划国土建设部</w:t>
            </w:r>
          </w:p>
        </w:tc>
        <w:tc>
          <w:tcPr>
            <w:tcW w:w="2962" w:type="dxa"/>
          </w:tcPr>
          <w:p w14:paraId="0A785C0F">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0535-6922358</w:t>
            </w:r>
          </w:p>
        </w:tc>
      </w:tr>
      <w:tr w14:paraId="1FB0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13A73760">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p>
        </w:tc>
        <w:tc>
          <w:tcPr>
            <w:tcW w:w="5085" w:type="dxa"/>
          </w:tcPr>
          <w:p w14:paraId="2E52023D">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综合行政执法局</w:t>
            </w:r>
          </w:p>
        </w:tc>
        <w:tc>
          <w:tcPr>
            <w:tcW w:w="2962" w:type="dxa"/>
          </w:tcPr>
          <w:p w14:paraId="398CCF47">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0535-6922581</w:t>
            </w:r>
          </w:p>
        </w:tc>
      </w:tr>
      <w:tr w14:paraId="5DF2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0E37F05D">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p>
        </w:tc>
        <w:tc>
          <w:tcPr>
            <w:tcW w:w="5085" w:type="dxa"/>
          </w:tcPr>
          <w:p w14:paraId="670D89E6">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交警五大队</w:t>
            </w:r>
          </w:p>
        </w:tc>
        <w:tc>
          <w:tcPr>
            <w:tcW w:w="2962" w:type="dxa"/>
          </w:tcPr>
          <w:p w14:paraId="0D1D6B66">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0535-3246498</w:t>
            </w:r>
          </w:p>
        </w:tc>
      </w:tr>
      <w:tr w14:paraId="4967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563601BC">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w:t>
            </w:r>
          </w:p>
        </w:tc>
        <w:tc>
          <w:tcPr>
            <w:tcW w:w="5085" w:type="dxa"/>
          </w:tcPr>
          <w:p w14:paraId="4A47FE14">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马山街道办事处</w:t>
            </w:r>
          </w:p>
        </w:tc>
        <w:tc>
          <w:tcPr>
            <w:tcW w:w="2962" w:type="dxa"/>
          </w:tcPr>
          <w:p w14:paraId="00361A9A">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0535-6922971</w:t>
            </w:r>
          </w:p>
        </w:tc>
      </w:tr>
      <w:tr w14:paraId="0CD5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227EBD13">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w:t>
            </w:r>
          </w:p>
        </w:tc>
        <w:tc>
          <w:tcPr>
            <w:tcW w:w="5085" w:type="dxa"/>
          </w:tcPr>
          <w:p w14:paraId="42AF4667">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招商部</w:t>
            </w:r>
          </w:p>
        </w:tc>
        <w:tc>
          <w:tcPr>
            <w:tcW w:w="2962" w:type="dxa"/>
          </w:tcPr>
          <w:p w14:paraId="00006E09">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0535-6922249</w:t>
            </w:r>
          </w:p>
        </w:tc>
      </w:tr>
      <w:tr w14:paraId="755E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13" w:type="dxa"/>
          </w:tcPr>
          <w:p w14:paraId="1F7DBF68">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w:t>
            </w:r>
          </w:p>
        </w:tc>
        <w:tc>
          <w:tcPr>
            <w:tcW w:w="5085" w:type="dxa"/>
          </w:tcPr>
          <w:p w14:paraId="3579AEFA">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卫生健康委员会高新区管理办公室</w:t>
            </w:r>
          </w:p>
        </w:tc>
        <w:tc>
          <w:tcPr>
            <w:tcW w:w="2962" w:type="dxa"/>
          </w:tcPr>
          <w:p w14:paraId="7B91C543">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0535-6922205</w:t>
            </w:r>
          </w:p>
        </w:tc>
      </w:tr>
      <w:tr w14:paraId="5B8D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0990A2D4">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w:t>
            </w:r>
          </w:p>
        </w:tc>
        <w:tc>
          <w:tcPr>
            <w:tcW w:w="5085" w:type="dxa"/>
          </w:tcPr>
          <w:p w14:paraId="6BCCD56A">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应急分局</w:t>
            </w:r>
          </w:p>
        </w:tc>
        <w:tc>
          <w:tcPr>
            <w:tcW w:w="2962" w:type="dxa"/>
          </w:tcPr>
          <w:p w14:paraId="7D906EC7">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w:t>
            </w:r>
            <w:r>
              <w:rPr>
                <w:rFonts w:ascii="仿宋_GB2312" w:hAnsi="仿宋_GB2312" w:eastAsia="仿宋_GB2312" w:cs="仿宋_GB2312"/>
                <w:kern w:val="0"/>
                <w:sz w:val="32"/>
                <w:szCs w:val="32"/>
              </w:rPr>
              <w:t>535-6755119</w:t>
            </w:r>
          </w:p>
        </w:tc>
      </w:tr>
      <w:tr w14:paraId="7F3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54ED0FDD">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w:t>
            </w:r>
          </w:p>
        </w:tc>
        <w:tc>
          <w:tcPr>
            <w:tcW w:w="5085" w:type="dxa"/>
          </w:tcPr>
          <w:p w14:paraId="5F5A351F">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区消防救援大队</w:t>
            </w:r>
          </w:p>
        </w:tc>
        <w:tc>
          <w:tcPr>
            <w:tcW w:w="2962" w:type="dxa"/>
          </w:tcPr>
          <w:p w14:paraId="06A65BBE">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0535-6756589</w:t>
            </w:r>
          </w:p>
        </w:tc>
      </w:tr>
      <w:tr w14:paraId="4206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tcPr>
          <w:p w14:paraId="1328A4A2">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w:t>
            </w:r>
          </w:p>
        </w:tc>
        <w:tc>
          <w:tcPr>
            <w:tcW w:w="5085" w:type="dxa"/>
          </w:tcPr>
          <w:p w14:paraId="5A4F6DBE">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市场监管分局</w:t>
            </w:r>
          </w:p>
        </w:tc>
        <w:tc>
          <w:tcPr>
            <w:tcW w:w="2962" w:type="dxa"/>
          </w:tcPr>
          <w:p w14:paraId="526CA81D">
            <w:pPr>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0535-6925395</w:t>
            </w:r>
          </w:p>
        </w:tc>
      </w:tr>
    </w:tbl>
    <w:p w14:paraId="641D7717"/>
    <w:sectPr>
      <w:headerReference r:id="rId10" w:type="first"/>
      <w:footerReference r:id="rId12" w:type="first"/>
      <w:headerReference r:id="rId8" w:type="default"/>
      <w:headerReference r:id="rId9" w:type="even"/>
      <w:footerReference r:id="rId11" w:type="even"/>
      <w:pgSz w:w="11906" w:h="16838"/>
      <w:pgMar w:top="2098" w:right="1417" w:bottom="1984" w:left="1531" w:header="851" w:footer="1417" w:gutter="0"/>
      <w:cols w:space="425" w:num="1"/>
      <w:docGrid w:type="linesAndChars" w:linePitch="621"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imes New Roman'">
    <w:altName w:val="Times New Roman"/>
    <w:panose1 w:val="00000000000000000000"/>
    <w:charset w:val="00"/>
    <w:family w:val="roman"/>
    <w:pitch w:val="default"/>
    <w:sig w:usb0="00000000" w:usb1="00000000" w:usb2="00000000" w:usb3="00000000" w:csb0="00040001" w:csb1="00000000"/>
  </w:font>
  <w:font w:name="华文仿宋">
    <w:altName w:val="仿宋"/>
    <w:panose1 w:val="00000000000000000000"/>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script"/>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新宋体-18030">
    <w:altName w:val="宋体"/>
    <w:panose1 w:val="00000000000000000000"/>
    <w:charset w:val="86"/>
    <w:family w:val="modern"/>
    <w:pitch w:val="default"/>
    <w:sig w:usb0="00000000" w:usb1="00000000" w:usb2="000A005E"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203" w:usb1="288F0000" w:usb2="00000006" w:usb3="00000000" w:csb0="00040001" w:csb1="00000000"/>
  </w:font>
  <w:font w:name="方正大标宋简体">
    <w:altName w:val="微软雅黑"/>
    <w:panose1 w:val="00000000000000000000"/>
    <w:charset w:val="86"/>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CIDFont">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EFC6B">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A683A">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2D20E">
    <w:pPr>
      <w:pStyle w:val="7"/>
      <w:ind w:right="360"/>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NE/zFgIAABcEAAAOAAAAAAAA&#10;AAEAIAAAAB8BAABkcnMvZTJvRG9jLnhtbFBLBQYAAAAABgAGAFkBAACnBQAAAAA=&#10;">
          <v:path/>
          <v:fill on="f" focussize="0,0"/>
          <v:stroke on="f" weight="0.5pt" joinstyle="miter"/>
          <v:imagedata o:title=""/>
          <o:lock v:ext="edit"/>
          <v:textbox inset="0mm,0mm,0mm,0mm" style="mso-fit-shape-to-text:t;">
            <w:txbxContent>
              <w:p w14:paraId="2000F896">
                <w:pPr>
                  <w:pStyle w:val="7"/>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118</w:t>
                </w:r>
                <w:r>
                  <w:rPr>
                    <w:rFonts w:hint="eastAsia"/>
                    <w:sz w:val="28"/>
                    <w:szCs w:val="28"/>
                  </w:rPr>
                  <w:fldChar w:fldCharType="end"/>
                </w:r>
                <w:r>
                  <w:rPr>
                    <w:rFonts w:hint="eastAsia"/>
                    <w:sz w:val="28"/>
                    <w:szCs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ECA8D">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BBB4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BBE1B">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C8C1">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4EBA2">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185F">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487B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D59A4"/>
    <w:multiLevelType w:val="singleLevel"/>
    <w:tmpl w:val="A2BD59A4"/>
    <w:lvl w:ilvl="0" w:tentative="0">
      <w:start w:val="2"/>
      <w:numFmt w:val="chineseCounting"/>
      <w:suff w:val="nothing"/>
      <w:lvlText w:val="%1、"/>
      <w:lvlJc w:val="left"/>
      <w:rPr>
        <w:rFonts w:hint="eastAsia"/>
      </w:rPr>
    </w:lvl>
  </w:abstractNum>
  <w:abstractNum w:abstractNumId="1">
    <w:nsid w:val="A7FFD597"/>
    <w:multiLevelType w:val="singleLevel"/>
    <w:tmpl w:val="A7FFD597"/>
    <w:lvl w:ilvl="0" w:tentative="0">
      <w:start w:val="4"/>
      <w:numFmt w:val="decimal"/>
      <w:suff w:val="nothing"/>
      <w:lvlText w:val="（%1）"/>
      <w:lvlJc w:val="left"/>
    </w:lvl>
  </w:abstractNum>
  <w:abstractNum w:abstractNumId="2">
    <w:nsid w:val="BBCA17D9"/>
    <w:multiLevelType w:val="singleLevel"/>
    <w:tmpl w:val="BBCA17D9"/>
    <w:lvl w:ilvl="0" w:tentative="0">
      <w:start w:val="4"/>
      <w:numFmt w:val="decimal"/>
      <w:suff w:val="nothing"/>
      <w:lvlText w:val="%1、"/>
      <w:lvlJc w:val="left"/>
    </w:lvl>
  </w:abstractNum>
  <w:abstractNum w:abstractNumId="3">
    <w:nsid w:val="CF43D4DD"/>
    <w:multiLevelType w:val="singleLevel"/>
    <w:tmpl w:val="CF43D4DD"/>
    <w:lvl w:ilvl="0" w:tentative="0">
      <w:start w:val="1"/>
      <w:numFmt w:val="chineseCounting"/>
      <w:suff w:val="nothing"/>
      <w:lvlText w:val="%1、"/>
      <w:lvlJc w:val="left"/>
      <w:rPr>
        <w:rFonts w:hint="eastAsia"/>
      </w:rPr>
    </w:lvl>
  </w:abstractNum>
  <w:abstractNum w:abstractNumId="4">
    <w:nsid w:val="CFC00D53"/>
    <w:multiLevelType w:val="singleLevel"/>
    <w:tmpl w:val="CFC00D53"/>
    <w:lvl w:ilvl="0" w:tentative="0">
      <w:start w:val="3"/>
      <w:numFmt w:val="chineseCounting"/>
      <w:suff w:val="nothing"/>
      <w:lvlText w:val="（%1）"/>
      <w:lvlJc w:val="left"/>
      <w:rPr>
        <w:rFonts w:hint="eastAsia"/>
      </w:rPr>
    </w:lvl>
  </w:abstractNum>
  <w:abstractNum w:abstractNumId="5">
    <w:nsid w:val="0C817B23"/>
    <w:multiLevelType w:val="singleLevel"/>
    <w:tmpl w:val="0C817B23"/>
    <w:lvl w:ilvl="0" w:tentative="0">
      <w:start w:val="1"/>
      <w:numFmt w:val="decimal"/>
      <w:suff w:val="nothing"/>
      <w:lvlText w:val="（%1）"/>
      <w:lvlJc w:val="left"/>
    </w:lvl>
  </w:abstractNum>
  <w:abstractNum w:abstractNumId="6">
    <w:nsid w:val="12FA0736"/>
    <w:multiLevelType w:val="singleLevel"/>
    <w:tmpl w:val="12FA0736"/>
    <w:lvl w:ilvl="0" w:tentative="0">
      <w:start w:val="4"/>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3"/>
  <w:drawingGridVerticalSpacing w:val="62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EyYjQyNGUzM2Y2NTZjYjZjMDZjYzhmMGY2MGE4MzUifQ=="/>
  </w:docVars>
  <w:rsids>
    <w:rsidRoot w:val="00172A27"/>
    <w:rsid w:val="000000F8"/>
    <w:rsid w:val="000062B8"/>
    <w:rsid w:val="00006343"/>
    <w:rsid w:val="000111DE"/>
    <w:rsid w:val="00022AB2"/>
    <w:rsid w:val="00022EFB"/>
    <w:rsid w:val="00024250"/>
    <w:rsid w:val="00026A5F"/>
    <w:rsid w:val="00027AF9"/>
    <w:rsid w:val="00037F84"/>
    <w:rsid w:val="00044B6D"/>
    <w:rsid w:val="00047B3B"/>
    <w:rsid w:val="000522AF"/>
    <w:rsid w:val="0005453A"/>
    <w:rsid w:val="0005743B"/>
    <w:rsid w:val="0006031B"/>
    <w:rsid w:val="000631D9"/>
    <w:rsid w:val="00066277"/>
    <w:rsid w:val="000720B7"/>
    <w:rsid w:val="00073968"/>
    <w:rsid w:val="00073D8B"/>
    <w:rsid w:val="0007707C"/>
    <w:rsid w:val="000835C8"/>
    <w:rsid w:val="000837BC"/>
    <w:rsid w:val="0008688C"/>
    <w:rsid w:val="00095EB0"/>
    <w:rsid w:val="00096074"/>
    <w:rsid w:val="0009754C"/>
    <w:rsid w:val="000A4AF3"/>
    <w:rsid w:val="000B3C46"/>
    <w:rsid w:val="000B3DF5"/>
    <w:rsid w:val="000B634A"/>
    <w:rsid w:val="000C3CCD"/>
    <w:rsid w:val="000E499A"/>
    <w:rsid w:val="000E6EF7"/>
    <w:rsid w:val="000F0F99"/>
    <w:rsid w:val="000F5C99"/>
    <w:rsid w:val="00100CF4"/>
    <w:rsid w:val="00105099"/>
    <w:rsid w:val="001074F9"/>
    <w:rsid w:val="001147E7"/>
    <w:rsid w:val="00122AD0"/>
    <w:rsid w:val="001251C4"/>
    <w:rsid w:val="001324EE"/>
    <w:rsid w:val="00132852"/>
    <w:rsid w:val="00133913"/>
    <w:rsid w:val="001353AB"/>
    <w:rsid w:val="00145605"/>
    <w:rsid w:val="001467DF"/>
    <w:rsid w:val="00151A26"/>
    <w:rsid w:val="00163895"/>
    <w:rsid w:val="00166C98"/>
    <w:rsid w:val="00171620"/>
    <w:rsid w:val="00172A27"/>
    <w:rsid w:val="00173E84"/>
    <w:rsid w:val="00176CC3"/>
    <w:rsid w:val="001774EA"/>
    <w:rsid w:val="0018178B"/>
    <w:rsid w:val="0018665B"/>
    <w:rsid w:val="00192464"/>
    <w:rsid w:val="00195E12"/>
    <w:rsid w:val="001978E4"/>
    <w:rsid w:val="001A21AB"/>
    <w:rsid w:val="001A2C82"/>
    <w:rsid w:val="001B596A"/>
    <w:rsid w:val="001B6953"/>
    <w:rsid w:val="001C0A37"/>
    <w:rsid w:val="001D29B5"/>
    <w:rsid w:val="001D7219"/>
    <w:rsid w:val="001F1156"/>
    <w:rsid w:val="001F3604"/>
    <w:rsid w:val="002024EC"/>
    <w:rsid w:val="00204A87"/>
    <w:rsid w:val="0022150D"/>
    <w:rsid w:val="002279F6"/>
    <w:rsid w:val="00230F05"/>
    <w:rsid w:val="00232A14"/>
    <w:rsid w:val="00236158"/>
    <w:rsid w:val="0024023B"/>
    <w:rsid w:val="00250E15"/>
    <w:rsid w:val="00252F43"/>
    <w:rsid w:val="00254E64"/>
    <w:rsid w:val="00255312"/>
    <w:rsid w:val="00255B1F"/>
    <w:rsid w:val="00257AD3"/>
    <w:rsid w:val="002711B5"/>
    <w:rsid w:val="00284058"/>
    <w:rsid w:val="00286E74"/>
    <w:rsid w:val="00287A12"/>
    <w:rsid w:val="0029226A"/>
    <w:rsid w:val="00295D6D"/>
    <w:rsid w:val="002B210D"/>
    <w:rsid w:val="002C0390"/>
    <w:rsid w:val="002C2DF3"/>
    <w:rsid w:val="002C6E51"/>
    <w:rsid w:val="002D1838"/>
    <w:rsid w:val="002D2345"/>
    <w:rsid w:val="002D552F"/>
    <w:rsid w:val="002F0566"/>
    <w:rsid w:val="002F6D93"/>
    <w:rsid w:val="003049F5"/>
    <w:rsid w:val="0030520D"/>
    <w:rsid w:val="00306347"/>
    <w:rsid w:val="003101BE"/>
    <w:rsid w:val="0031044C"/>
    <w:rsid w:val="00315761"/>
    <w:rsid w:val="003163FF"/>
    <w:rsid w:val="00317AA3"/>
    <w:rsid w:val="00323F1F"/>
    <w:rsid w:val="003256FB"/>
    <w:rsid w:val="0032764A"/>
    <w:rsid w:val="00333585"/>
    <w:rsid w:val="00336549"/>
    <w:rsid w:val="00337981"/>
    <w:rsid w:val="00346D3E"/>
    <w:rsid w:val="003478E1"/>
    <w:rsid w:val="003524B1"/>
    <w:rsid w:val="003524BF"/>
    <w:rsid w:val="0035625B"/>
    <w:rsid w:val="00363A8A"/>
    <w:rsid w:val="00384B72"/>
    <w:rsid w:val="00387BD2"/>
    <w:rsid w:val="003918D7"/>
    <w:rsid w:val="00392616"/>
    <w:rsid w:val="00395CE0"/>
    <w:rsid w:val="003A0C2C"/>
    <w:rsid w:val="003A0DDD"/>
    <w:rsid w:val="003A3778"/>
    <w:rsid w:val="003A6622"/>
    <w:rsid w:val="003C00BD"/>
    <w:rsid w:val="003C011D"/>
    <w:rsid w:val="003C2A68"/>
    <w:rsid w:val="003D4FD6"/>
    <w:rsid w:val="003E1343"/>
    <w:rsid w:val="003E5B6F"/>
    <w:rsid w:val="003E5CD7"/>
    <w:rsid w:val="003E5E6D"/>
    <w:rsid w:val="003E64D9"/>
    <w:rsid w:val="003E6FBE"/>
    <w:rsid w:val="00403D8A"/>
    <w:rsid w:val="00404B5D"/>
    <w:rsid w:val="00410195"/>
    <w:rsid w:val="004121D3"/>
    <w:rsid w:val="00413589"/>
    <w:rsid w:val="0041653F"/>
    <w:rsid w:val="004167E3"/>
    <w:rsid w:val="00422480"/>
    <w:rsid w:val="0042467E"/>
    <w:rsid w:val="00430F5B"/>
    <w:rsid w:val="004367BE"/>
    <w:rsid w:val="004371D4"/>
    <w:rsid w:val="00441116"/>
    <w:rsid w:val="0044208F"/>
    <w:rsid w:val="00442228"/>
    <w:rsid w:val="0044257C"/>
    <w:rsid w:val="004462B1"/>
    <w:rsid w:val="00447FB5"/>
    <w:rsid w:val="004525C4"/>
    <w:rsid w:val="00453752"/>
    <w:rsid w:val="00453C68"/>
    <w:rsid w:val="00453F19"/>
    <w:rsid w:val="00467610"/>
    <w:rsid w:val="00473D7A"/>
    <w:rsid w:val="00475635"/>
    <w:rsid w:val="00481204"/>
    <w:rsid w:val="00481CF7"/>
    <w:rsid w:val="004861AC"/>
    <w:rsid w:val="00491C4D"/>
    <w:rsid w:val="004A0304"/>
    <w:rsid w:val="004A3B95"/>
    <w:rsid w:val="004A551E"/>
    <w:rsid w:val="004A73C1"/>
    <w:rsid w:val="004B110A"/>
    <w:rsid w:val="004B3271"/>
    <w:rsid w:val="004B3A1C"/>
    <w:rsid w:val="004B7BBB"/>
    <w:rsid w:val="004C16E3"/>
    <w:rsid w:val="004C4A91"/>
    <w:rsid w:val="004D6E36"/>
    <w:rsid w:val="004E0B59"/>
    <w:rsid w:val="004F1044"/>
    <w:rsid w:val="00526194"/>
    <w:rsid w:val="00530E7F"/>
    <w:rsid w:val="0054065A"/>
    <w:rsid w:val="00544EEB"/>
    <w:rsid w:val="00550AEA"/>
    <w:rsid w:val="00552603"/>
    <w:rsid w:val="00554935"/>
    <w:rsid w:val="00564D58"/>
    <w:rsid w:val="00571D46"/>
    <w:rsid w:val="00583CC2"/>
    <w:rsid w:val="005853C2"/>
    <w:rsid w:val="00593FE7"/>
    <w:rsid w:val="005B262C"/>
    <w:rsid w:val="005B3470"/>
    <w:rsid w:val="005B5E69"/>
    <w:rsid w:val="005C5A33"/>
    <w:rsid w:val="005C5FD4"/>
    <w:rsid w:val="005D0122"/>
    <w:rsid w:val="005D5B03"/>
    <w:rsid w:val="005E0C70"/>
    <w:rsid w:val="005E3450"/>
    <w:rsid w:val="005F1864"/>
    <w:rsid w:val="0060110A"/>
    <w:rsid w:val="00603977"/>
    <w:rsid w:val="00603C7C"/>
    <w:rsid w:val="00604250"/>
    <w:rsid w:val="006076A0"/>
    <w:rsid w:val="006113AD"/>
    <w:rsid w:val="00613707"/>
    <w:rsid w:val="0063025B"/>
    <w:rsid w:val="00637CB4"/>
    <w:rsid w:val="00641B6A"/>
    <w:rsid w:val="00645C2F"/>
    <w:rsid w:val="00655C3C"/>
    <w:rsid w:val="00656F49"/>
    <w:rsid w:val="00657372"/>
    <w:rsid w:val="00670AD7"/>
    <w:rsid w:val="00673BCE"/>
    <w:rsid w:val="006830FB"/>
    <w:rsid w:val="00691413"/>
    <w:rsid w:val="00695078"/>
    <w:rsid w:val="006A3505"/>
    <w:rsid w:val="006B096D"/>
    <w:rsid w:val="006B0E1B"/>
    <w:rsid w:val="006B1F6F"/>
    <w:rsid w:val="006C46DE"/>
    <w:rsid w:val="006D29C3"/>
    <w:rsid w:val="006D5ECB"/>
    <w:rsid w:val="006E10A7"/>
    <w:rsid w:val="006F1A47"/>
    <w:rsid w:val="00701F8B"/>
    <w:rsid w:val="00710791"/>
    <w:rsid w:val="00710A01"/>
    <w:rsid w:val="00715FD5"/>
    <w:rsid w:val="00717BC8"/>
    <w:rsid w:val="007204BD"/>
    <w:rsid w:val="00724ACA"/>
    <w:rsid w:val="0072672E"/>
    <w:rsid w:val="0073713D"/>
    <w:rsid w:val="00741B89"/>
    <w:rsid w:val="0074555D"/>
    <w:rsid w:val="00745BB7"/>
    <w:rsid w:val="00750A1D"/>
    <w:rsid w:val="00751C4F"/>
    <w:rsid w:val="00751E35"/>
    <w:rsid w:val="0075596E"/>
    <w:rsid w:val="00756224"/>
    <w:rsid w:val="007645FB"/>
    <w:rsid w:val="00764AB0"/>
    <w:rsid w:val="007676A7"/>
    <w:rsid w:val="007817AF"/>
    <w:rsid w:val="00786B0C"/>
    <w:rsid w:val="00786B87"/>
    <w:rsid w:val="00790EAF"/>
    <w:rsid w:val="007A11AC"/>
    <w:rsid w:val="007A13FE"/>
    <w:rsid w:val="007B15CC"/>
    <w:rsid w:val="007C13B6"/>
    <w:rsid w:val="007C344F"/>
    <w:rsid w:val="007C6886"/>
    <w:rsid w:val="007D3CF1"/>
    <w:rsid w:val="007D59CC"/>
    <w:rsid w:val="007D5EBF"/>
    <w:rsid w:val="007E7A6C"/>
    <w:rsid w:val="007F7B57"/>
    <w:rsid w:val="0080309A"/>
    <w:rsid w:val="00806F36"/>
    <w:rsid w:val="00810F76"/>
    <w:rsid w:val="008158D8"/>
    <w:rsid w:val="00825215"/>
    <w:rsid w:val="008261AB"/>
    <w:rsid w:val="008310B5"/>
    <w:rsid w:val="00833D51"/>
    <w:rsid w:val="00840B4D"/>
    <w:rsid w:val="00843C56"/>
    <w:rsid w:val="00851290"/>
    <w:rsid w:val="008559E0"/>
    <w:rsid w:val="00864D25"/>
    <w:rsid w:val="008724F9"/>
    <w:rsid w:val="00875009"/>
    <w:rsid w:val="008903A5"/>
    <w:rsid w:val="00895B7E"/>
    <w:rsid w:val="008A1569"/>
    <w:rsid w:val="008A2452"/>
    <w:rsid w:val="008A45CF"/>
    <w:rsid w:val="008B3B84"/>
    <w:rsid w:val="008C0D6C"/>
    <w:rsid w:val="008C2FBB"/>
    <w:rsid w:val="008C3B7D"/>
    <w:rsid w:val="008D20B0"/>
    <w:rsid w:val="008D2D7F"/>
    <w:rsid w:val="008D50B7"/>
    <w:rsid w:val="008D51C1"/>
    <w:rsid w:val="008D71B9"/>
    <w:rsid w:val="008E5688"/>
    <w:rsid w:val="008F7A02"/>
    <w:rsid w:val="00901EE3"/>
    <w:rsid w:val="00903301"/>
    <w:rsid w:val="009111A5"/>
    <w:rsid w:val="009160EB"/>
    <w:rsid w:val="00921B1A"/>
    <w:rsid w:val="009235F4"/>
    <w:rsid w:val="0092446A"/>
    <w:rsid w:val="009272EA"/>
    <w:rsid w:val="00941314"/>
    <w:rsid w:val="0095371E"/>
    <w:rsid w:val="00961093"/>
    <w:rsid w:val="00961274"/>
    <w:rsid w:val="00963170"/>
    <w:rsid w:val="00986F6C"/>
    <w:rsid w:val="009901B3"/>
    <w:rsid w:val="0099195D"/>
    <w:rsid w:val="0099606F"/>
    <w:rsid w:val="009A0736"/>
    <w:rsid w:val="009A344C"/>
    <w:rsid w:val="009B405F"/>
    <w:rsid w:val="009B5E31"/>
    <w:rsid w:val="009B6E21"/>
    <w:rsid w:val="009C126E"/>
    <w:rsid w:val="009E2CEB"/>
    <w:rsid w:val="009E54C1"/>
    <w:rsid w:val="009F57C8"/>
    <w:rsid w:val="009F620C"/>
    <w:rsid w:val="00A06002"/>
    <w:rsid w:val="00A0648D"/>
    <w:rsid w:val="00A06642"/>
    <w:rsid w:val="00A06E0E"/>
    <w:rsid w:val="00A07BB6"/>
    <w:rsid w:val="00A113D5"/>
    <w:rsid w:val="00A158F2"/>
    <w:rsid w:val="00A20BBD"/>
    <w:rsid w:val="00A21135"/>
    <w:rsid w:val="00A334F4"/>
    <w:rsid w:val="00A40CC9"/>
    <w:rsid w:val="00A42A43"/>
    <w:rsid w:val="00A54C46"/>
    <w:rsid w:val="00A626E3"/>
    <w:rsid w:val="00A6481A"/>
    <w:rsid w:val="00A6727C"/>
    <w:rsid w:val="00A72797"/>
    <w:rsid w:val="00A7579C"/>
    <w:rsid w:val="00A7599D"/>
    <w:rsid w:val="00A808F7"/>
    <w:rsid w:val="00A845C7"/>
    <w:rsid w:val="00A854DD"/>
    <w:rsid w:val="00A903AA"/>
    <w:rsid w:val="00A91AE3"/>
    <w:rsid w:val="00AA0B23"/>
    <w:rsid w:val="00AA68C4"/>
    <w:rsid w:val="00AA6FF7"/>
    <w:rsid w:val="00AB5477"/>
    <w:rsid w:val="00AB72FC"/>
    <w:rsid w:val="00AB7B20"/>
    <w:rsid w:val="00AC785B"/>
    <w:rsid w:val="00AD01CA"/>
    <w:rsid w:val="00AD42ED"/>
    <w:rsid w:val="00AD6B32"/>
    <w:rsid w:val="00AE0659"/>
    <w:rsid w:val="00AE3156"/>
    <w:rsid w:val="00AE4A37"/>
    <w:rsid w:val="00AE626C"/>
    <w:rsid w:val="00B02138"/>
    <w:rsid w:val="00B033C4"/>
    <w:rsid w:val="00B07E50"/>
    <w:rsid w:val="00B13ADF"/>
    <w:rsid w:val="00B15E3F"/>
    <w:rsid w:val="00B24FE9"/>
    <w:rsid w:val="00B34705"/>
    <w:rsid w:val="00B370E7"/>
    <w:rsid w:val="00B42A36"/>
    <w:rsid w:val="00B43A2D"/>
    <w:rsid w:val="00B44594"/>
    <w:rsid w:val="00B55BE7"/>
    <w:rsid w:val="00B57B73"/>
    <w:rsid w:val="00B72381"/>
    <w:rsid w:val="00B81BC2"/>
    <w:rsid w:val="00B869E0"/>
    <w:rsid w:val="00B92418"/>
    <w:rsid w:val="00B937BB"/>
    <w:rsid w:val="00B940C9"/>
    <w:rsid w:val="00BB6616"/>
    <w:rsid w:val="00BC07EA"/>
    <w:rsid w:val="00BC119E"/>
    <w:rsid w:val="00BC7484"/>
    <w:rsid w:val="00BD2A1A"/>
    <w:rsid w:val="00BE17FC"/>
    <w:rsid w:val="00BE1EF1"/>
    <w:rsid w:val="00BE5945"/>
    <w:rsid w:val="00BF0434"/>
    <w:rsid w:val="00C06206"/>
    <w:rsid w:val="00C1279A"/>
    <w:rsid w:val="00C20C58"/>
    <w:rsid w:val="00C21436"/>
    <w:rsid w:val="00C22F3B"/>
    <w:rsid w:val="00C27ED3"/>
    <w:rsid w:val="00C30220"/>
    <w:rsid w:val="00C3424B"/>
    <w:rsid w:val="00C54442"/>
    <w:rsid w:val="00C6037A"/>
    <w:rsid w:val="00C60D01"/>
    <w:rsid w:val="00C71286"/>
    <w:rsid w:val="00C73DA5"/>
    <w:rsid w:val="00C77E3B"/>
    <w:rsid w:val="00C8037C"/>
    <w:rsid w:val="00C90392"/>
    <w:rsid w:val="00C9059A"/>
    <w:rsid w:val="00C90713"/>
    <w:rsid w:val="00CA506A"/>
    <w:rsid w:val="00CA578C"/>
    <w:rsid w:val="00CA7DE6"/>
    <w:rsid w:val="00CB2FE3"/>
    <w:rsid w:val="00CB32AD"/>
    <w:rsid w:val="00CB5904"/>
    <w:rsid w:val="00CB6C33"/>
    <w:rsid w:val="00CB75E7"/>
    <w:rsid w:val="00CC090C"/>
    <w:rsid w:val="00CC4FFC"/>
    <w:rsid w:val="00CC6B95"/>
    <w:rsid w:val="00CC7087"/>
    <w:rsid w:val="00CD2AAF"/>
    <w:rsid w:val="00CD71BB"/>
    <w:rsid w:val="00CE4024"/>
    <w:rsid w:val="00CE615F"/>
    <w:rsid w:val="00CE6459"/>
    <w:rsid w:val="00CE753E"/>
    <w:rsid w:val="00D00A1E"/>
    <w:rsid w:val="00D03BE1"/>
    <w:rsid w:val="00D22AE0"/>
    <w:rsid w:val="00D2469D"/>
    <w:rsid w:val="00D262FA"/>
    <w:rsid w:val="00D34768"/>
    <w:rsid w:val="00D35528"/>
    <w:rsid w:val="00D45373"/>
    <w:rsid w:val="00D5125B"/>
    <w:rsid w:val="00D535F6"/>
    <w:rsid w:val="00D652E1"/>
    <w:rsid w:val="00D666F2"/>
    <w:rsid w:val="00D74DD7"/>
    <w:rsid w:val="00D7543F"/>
    <w:rsid w:val="00D76D29"/>
    <w:rsid w:val="00D771C0"/>
    <w:rsid w:val="00D81010"/>
    <w:rsid w:val="00D8316B"/>
    <w:rsid w:val="00D8751D"/>
    <w:rsid w:val="00DA0032"/>
    <w:rsid w:val="00DA1979"/>
    <w:rsid w:val="00DA4363"/>
    <w:rsid w:val="00DA4970"/>
    <w:rsid w:val="00DA5A46"/>
    <w:rsid w:val="00DB1207"/>
    <w:rsid w:val="00DB2FF3"/>
    <w:rsid w:val="00DB3485"/>
    <w:rsid w:val="00DB437F"/>
    <w:rsid w:val="00DB5854"/>
    <w:rsid w:val="00DC18EE"/>
    <w:rsid w:val="00DC24BF"/>
    <w:rsid w:val="00DE1CA1"/>
    <w:rsid w:val="00DE4C4D"/>
    <w:rsid w:val="00DE6D60"/>
    <w:rsid w:val="00DE73AC"/>
    <w:rsid w:val="00E1527E"/>
    <w:rsid w:val="00E170C2"/>
    <w:rsid w:val="00E21454"/>
    <w:rsid w:val="00E24685"/>
    <w:rsid w:val="00E26F32"/>
    <w:rsid w:val="00E272F8"/>
    <w:rsid w:val="00E27ECE"/>
    <w:rsid w:val="00E35964"/>
    <w:rsid w:val="00E375C4"/>
    <w:rsid w:val="00E400FC"/>
    <w:rsid w:val="00E520DB"/>
    <w:rsid w:val="00E63700"/>
    <w:rsid w:val="00E72C3F"/>
    <w:rsid w:val="00E7747E"/>
    <w:rsid w:val="00E90353"/>
    <w:rsid w:val="00E96C08"/>
    <w:rsid w:val="00EA1103"/>
    <w:rsid w:val="00EA4CAA"/>
    <w:rsid w:val="00EA5B8D"/>
    <w:rsid w:val="00EB0304"/>
    <w:rsid w:val="00EC1E84"/>
    <w:rsid w:val="00ED0CC2"/>
    <w:rsid w:val="00ED19CF"/>
    <w:rsid w:val="00ED4925"/>
    <w:rsid w:val="00EE7639"/>
    <w:rsid w:val="00EF32C5"/>
    <w:rsid w:val="00F02A2E"/>
    <w:rsid w:val="00F037AA"/>
    <w:rsid w:val="00F16D22"/>
    <w:rsid w:val="00F25EA9"/>
    <w:rsid w:val="00F32DBA"/>
    <w:rsid w:val="00F349DD"/>
    <w:rsid w:val="00F4105E"/>
    <w:rsid w:val="00F4209D"/>
    <w:rsid w:val="00F72B49"/>
    <w:rsid w:val="00F72FFA"/>
    <w:rsid w:val="00F737B6"/>
    <w:rsid w:val="00F7602D"/>
    <w:rsid w:val="00F828B6"/>
    <w:rsid w:val="00F8302E"/>
    <w:rsid w:val="00F84229"/>
    <w:rsid w:val="00F8750F"/>
    <w:rsid w:val="00F91ED1"/>
    <w:rsid w:val="00F944FE"/>
    <w:rsid w:val="00F94610"/>
    <w:rsid w:val="00F95DF8"/>
    <w:rsid w:val="00F96CF6"/>
    <w:rsid w:val="00FA39C6"/>
    <w:rsid w:val="00FB0390"/>
    <w:rsid w:val="00FC3DA0"/>
    <w:rsid w:val="00FE5287"/>
    <w:rsid w:val="00FE5FE2"/>
    <w:rsid w:val="00FF0109"/>
    <w:rsid w:val="00FF038C"/>
    <w:rsid w:val="017541BF"/>
    <w:rsid w:val="038F158E"/>
    <w:rsid w:val="03BA082A"/>
    <w:rsid w:val="04A308A2"/>
    <w:rsid w:val="06457C9E"/>
    <w:rsid w:val="074422C8"/>
    <w:rsid w:val="0777758A"/>
    <w:rsid w:val="094C009B"/>
    <w:rsid w:val="0DB46CCA"/>
    <w:rsid w:val="0DD72BE7"/>
    <w:rsid w:val="0DF92606"/>
    <w:rsid w:val="0F941A1B"/>
    <w:rsid w:val="10526AE3"/>
    <w:rsid w:val="11FE2182"/>
    <w:rsid w:val="12CA2FA8"/>
    <w:rsid w:val="13663FBC"/>
    <w:rsid w:val="152A6ABF"/>
    <w:rsid w:val="15602F56"/>
    <w:rsid w:val="15610498"/>
    <w:rsid w:val="17DE2A53"/>
    <w:rsid w:val="18AC4556"/>
    <w:rsid w:val="195F64F3"/>
    <w:rsid w:val="1D317850"/>
    <w:rsid w:val="1DAE0B95"/>
    <w:rsid w:val="1DD56F85"/>
    <w:rsid w:val="1DE84F46"/>
    <w:rsid w:val="1EB92952"/>
    <w:rsid w:val="1F140E23"/>
    <w:rsid w:val="20FC132F"/>
    <w:rsid w:val="212A56CA"/>
    <w:rsid w:val="2144419C"/>
    <w:rsid w:val="2204274E"/>
    <w:rsid w:val="227213A8"/>
    <w:rsid w:val="230150F9"/>
    <w:rsid w:val="23B073E9"/>
    <w:rsid w:val="23CE5CB8"/>
    <w:rsid w:val="24854C29"/>
    <w:rsid w:val="26500B06"/>
    <w:rsid w:val="26581D4E"/>
    <w:rsid w:val="292A61AF"/>
    <w:rsid w:val="29745FBB"/>
    <w:rsid w:val="29980D8D"/>
    <w:rsid w:val="2AF258AA"/>
    <w:rsid w:val="2B9E2938"/>
    <w:rsid w:val="2CB05B9F"/>
    <w:rsid w:val="30D23C9C"/>
    <w:rsid w:val="323A18C8"/>
    <w:rsid w:val="345A4455"/>
    <w:rsid w:val="34EC6713"/>
    <w:rsid w:val="359651BF"/>
    <w:rsid w:val="365E5281"/>
    <w:rsid w:val="383F0800"/>
    <w:rsid w:val="39F077B2"/>
    <w:rsid w:val="3A356F46"/>
    <w:rsid w:val="3ABB53CF"/>
    <w:rsid w:val="3B0A50AE"/>
    <w:rsid w:val="3B127452"/>
    <w:rsid w:val="3B14091B"/>
    <w:rsid w:val="3B4A08EF"/>
    <w:rsid w:val="3C0622DC"/>
    <w:rsid w:val="3E3E5188"/>
    <w:rsid w:val="3F715EA7"/>
    <w:rsid w:val="40E8518D"/>
    <w:rsid w:val="411D3B96"/>
    <w:rsid w:val="43034236"/>
    <w:rsid w:val="43FD5D3A"/>
    <w:rsid w:val="44B30036"/>
    <w:rsid w:val="4B1A2A8E"/>
    <w:rsid w:val="4B3C56AD"/>
    <w:rsid w:val="4C8319EC"/>
    <w:rsid w:val="4D65326E"/>
    <w:rsid w:val="4DF2152A"/>
    <w:rsid w:val="4EE725A0"/>
    <w:rsid w:val="50277156"/>
    <w:rsid w:val="508C3507"/>
    <w:rsid w:val="50E43750"/>
    <w:rsid w:val="50E66C76"/>
    <w:rsid w:val="51E84C3A"/>
    <w:rsid w:val="545B59BF"/>
    <w:rsid w:val="55982337"/>
    <w:rsid w:val="55D6346C"/>
    <w:rsid w:val="58133ABC"/>
    <w:rsid w:val="5ABE1BAA"/>
    <w:rsid w:val="5B0C210A"/>
    <w:rsid w:val="5BA6647B"/>
    <w:rsid w:val="5E85069A"/>
    <w:rsid w:val="61564AB0"/>
    <w:rsid w:val="619102EE"/>
    <w:rsid w:val="628C1165"/>
    <w:rsid w:val="62CE5677"/>
    <w:rsid w:val="632D0254"/>
    <w:rsid w:val="663E1004"/>
    <w:rsid w:val="67B7174E"/>
    <w:rsid w:val="67D817C4"/>
    <w:rsid w:val="681E7B79"/>
    <w:rsid w:val="6A096DE5"/>
    <w:rsid w:val="6A0C2EA8"/>
    <w:rsid w:val="6A2361EE"/>
    <w:rsid w:val="6D424C02"/>
    <w:rsid w:val="6D8D757B"/>
    <w:rsid w:val="6D8F67D9"/>
    <w:rsid w:val="6E3F71A2"/>
    <w:rsid w:val="6EA3625C"/>
    <w:rsid w:val="6FBA671D"/>
    <w:rsid w:val="700D7DAE"/>
    <w:rsid w:val="70233420"/>
    <w:rsid w:val="710B3E34"/>
    <w:rsid w:val="71DD7714"/>
    <w:rsid w:val="72A25E48"/>
    <w:rsid w:val="75BD3C12"/>
    <w:rsid w:val="776D5508"/>
    <w:rsid w:val="7824034D"/>
    <w:rsid w:val="7B04360B"/>
    <w:rsid w:val="7CC5035B"/>
    <w:rsid w:val="7D55272B"/>
    <w:rsid w:val="7E0606BD"/>
    <w:rsid w:val="7EEC646F"/>
    <w:rsid w:val="7F7B7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126"/>
        <o:r id="V:Rule2" type="connector" idref="#_x0000_s2127"/>
        <o:r id="V:Rule3" type="connector" idref="#_x0000_s2131"/>
        <o:r id="V:Rule4" type="connector" idref="#_x0000_s2133"/>
        <o:r id="V:Rule5" type="connector" idref="#_x0000_s2135"/>
        <o:r id="V:Rule6" type="connector" idref="#_x0000_s2136"/>
        <o:r id="V:Rule7" type="connector" idref="#_x0000_s2139"/>
        <o:r id="V:Rule8" type="connector" idref="#_x0000_s2140"/>
        <o:r id="V:Rule9" type="connector" idref="#_x0000_s2141"/>
        <o:r id="V:Rule10" type="connector" idref="#_x0000_s2144"/>
        <o:r id="V:Rule11" type="connector" idref="#_x0000_s2147"/>
        <o:r id="V:Rule12" type="connector" idref="#_x0000_s2148"/>
        <o:r id="V:Rule13" type="connector" idref="#_x0000_s2149"/>
        <o:r id="V:Rule14" type="connector" idref="#_x0000_s2152"/>
        <o:r id="V:Rule15" type="connector" idref="#_x0000_s21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paragraph" w:styleId="3">
    <w:name w:val="heading 4"/>
    <w:basedOn w:val="1"/>
    <w:next w:val="1"/>
    <w:unhideWhenUsed/>
    <w:qFormat/>
    <w:uiPriority w:val="9"/>
    <w:pPr>
      <w:keepNext/>
      <w:keepLines/>
      <w:spacing w:line="372" w:lineRule="auto"/>
      <w:outlineLvl w:val="3"/>
    </w:pPr>
    <w:rPr>
      <w:rFonts w:ascii="Arial" w:hAnsi="Arial" w:eastAsia="黑体"/>
      <w:b/>
      <w:sz w:val="2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28"/>
      <w:ind w:left="106"/>
      <w:jc w:val="left"/>
    </w:pPr>
    <w:rPr>
      <w:rFonts w:ascii="仿宋" w:hAnsi="仿宋" w:eastAsia="仿宋"/>
      <w:kern w:val="0"/>
      <w:sz w:val="32"/>
      <w:szCs w:val="32"/>
      <w:lang w:eastAsia="en-US"/>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Plain Text"/>
    <w:basedOn w:val="1"/>
    <w:qFormat/>
    <w:uiPriority w:val="0"/>
    <w:rPr>
      <w:rFonts w:ascii="宋体" w:hAnsi="Courier New" w:cs="Courier New"/>
      <w:szCs w:val="21"/>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rPr>
      <w:rFonts w:ascii="Calibri" w:hAnsi="Calibri"/>
      <w:szCs w:val="22"/>
    </w:rPr>
  </w:style>
  <w:style w:type="paragraph" w:styleId="10">
    <w:name w:val="Body Text Indent 3"/>
    <w:basedOn w:val="1"/>
    <w:qFormat/>
    <w:uiPriority w:val="0"/>
    <w:pPr>
      <w:ind w:firstLine="640" w:firstLineChars="200"/>
    </w:pPr>
    <w:rPr>
      <w:rFonts w:eastAsia="仿宋_GB2312"/>
      <w:sz w:val="32"/>
      <w:szCs w:val="32"/>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character" w:styleId="15">
    <w:name w:val="Hyperlink"/>
    <w:basedOn w:val="13"/>
    <w:qFormat/>
    <w:uiPriority w:val="99"/>
    <w:rPr>
      <w:color w:val="0000FF"/>
      <w:u w:val="single"/>
    </w:rPr>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paragraph" w:styleId="18">
    <w:name w:val="List Paragraph"/>
    <w:basedOn w:val="1"/>
    <w:qFormat/>
    <w:uiPriority w:val="1"/>
    <w:pPr>
      <w:spacing w:before="166"/>
      <w:ind w:left="106" w:firstLine="640"/>
    </w:pPr>
    <w:rPr>
      <w:rFonts w:ascii="宋体" w:hAnsi="宋体" w:cs="宋体"/>
      <w:lang w:val="zh-CN" w:bidi="zh-CN"/>
    </w:rPr>
  </w:style>
  <w:style w:type="paragraph" w:customStyle="1" w:styleId="1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CM3"/>
    <w:basedOn w:val="21"/>
    <w:next w:val="21"/>
    <w:qFormat/>
    <w:uiPriority w:val="0"/>
    <w:pPr>
      <w:spacing w:line="560" w:lineRule="atLeast"/>
    </w:pPr>
    <w:rPr>
      <w:color w:val="auto"/>
    </w:rPr>
  </w:style>
  <w:style w:type="paragraph" w:customStyle="1" w:styleId="21">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22">
    <w:name w:val="CM2"/>
    <w:basedOn w:val="21"/>
    <w:next w:val="21"/>
    <w:qFormat/>
    <w:uiPriority w:val="0"/>
    <w:pPr>
      <w:spacing w:line="560" w:lineRule="atLeast"/>
    </w:pPr>
    <w:rPr>
      <w:color w:val="auto"/>
    </w:rPr>
  </w:style>
  <w:style w:type="paragraph" w:customStyle="1" w:styleId="23">
    <w:name w:val="p18"/>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CM7"/>
    <w:basedOn w:val="21"/>
    <w:next w:val="21"/>
    <w:qFormat/>
    <w:uiPriority w:val="0"/>
    <w:pPr>
      <w:spacing w:line="560" w:lineRule="atLeast"/>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2192"/>
    <customShpInfo spid="_x0000_s2191"/>
    <customShpInfo spid="_x0000_s2190"/>
    <customShpInfo spid="_x0000_s2189"/>
    <customShpInfo spid="_x0000_s2188"/>
    <customShpInfo spid="_x0000_s2187"/>
    <customShpInfo spid="_x0000_s2186"/>
    <customShpInfo spid="_x0000_s2185"/>
    <customShpInfo spid="_x0000_s2184"/>
    <customShpInfo spid="_x0000_s2183"/>
    <customShpInfo spid="_x0000_s2182"/>
    <customShpInfo spid="_x0000_s2181"/>
    <customShpInfo spid="_x0000_s2180"/>
    <customShpInfo spid="_x0000_s2179"/>
    <customShpInfo spid="_x0000_s2178"/>
    <customShpInfo spid="_x0000_s2177"/>
    <customShpInfo spid="_x0000_s2176"/>
    <customShpInfo spid="_x0000_s2175"/>
    <customShpInfo spid="_x0000_s2174"/>
    <customShpInfo spid="_x0000_s2173"/>
    <customShpInfo spid="_x0000_s2172"/>
    <customShpInfo spid="_x0000_s2171"/>
    <customShpInfo spid="_x0000_s2170"/>
    <customShpInfo spid="_x0000_s2169"/>
    <customShpInfo spid="_x0000_s2168"/>
    <customShpInfo spid="_x0000_s2167"/>
    <customShpInfo spid="_x0000_s2166"/>
    <customShpInfo spid="_x0000_s2165"/>
    <customShpInfo spid="_x0000_s2164"/>
    <customShpInfo spid="_x0000_s2163"/>
    <customShpInfo spid="_x0000_s2162"/>
    <customShpInfo spid="_x0000_s2161"/>
    <customShpInfo spid="_x0000_s2160"/>
    <customShpInfo spid="_x0000_s2159"/>
    <customShpInfo spid="_x0000_s2158"/>
    <customShpInfo spid="_x0000_s2157"/>
    <customShpInfo spid="_x0000_s2156"/>
    <customShpInfo spid="_x0000_s2155"/>
    <customShpInfo spid="_x0000_s2154"/>
    <customShpInfo spid="_x0000_s2153"/>
    <customShpInfo spid="_x0000_s2152"/>
    <customShpInfo spid="_x0000_s2151"/>
    <customShpInfo spid="_x0000_s2150"/>
    <customShpInfo spid="_x0000_s2149"/>
    <customShpInfo spid="_x0000_s2148"/>
    <customShpInfo spid="_x0000_s2147"/>
    <customShpInfo spid="_x0000_s2146"/>
    <customShpInfo spid="_x0000_s2145"/>
    <customShpInfo spid="_x0000_s2144"/>
    <customShpInfo spid="_x0000_s2143"/>
    <customShpInfo spid="_x0000_s2142"/>
    <customShpInfo spid="_x0000_s2141"/>
    <customShpInfo spid="_x0000_s2140"/>
    <customShpInfo spid="_x0000_s2139"/>
    <customShpInfo spid="_x0000_s2138"/>
    <customShpInfo spid="_x0000_s2137"/>
    <customShpInfo spid="_x0000_s2136"/>
    <customShpInfo spid="_x0000_s2135"/>
    <customShpInfo spid="_x0000_s2134"/>
    <customShpInfo spid="_x0000_s2133"/>
    <customShpInfo spid="_x0000_s2132"/>
    <customShpInfo spid="_x0000_s2131"/>
    <customShpInfo spid="_x0000_s2130"/>
    <customShpInfo spid="_x0000_s2129"/>
    <customShpInfo spid="_x0000_s2128"/>
    <customShpInfo spid="_x0000_s2127"/>
    <customShpInfo spid="_x0000_s2126"/>
    <customShpInfo spid="_x0000_s2125"/>
    <customShpInfo spid="_x0000_s2124"/>
    <customShpInfo spid="_x0000_s2123"/>
    <customShpInfo spid="_x0000_s2122"/>
    <customShpInfo spid="_x0000_s2121"/>
    <customShpInfo spid="_x0000_s2120"/>
    <customShpInfo spid="_x0000_s2119"/>
    <customShpInfo spid="_x0000_s2118"/>
    <customShpInfo spid="_x0000_s2117"/>
    <customShpInfo spid="_x0000_s2116"/>
    <customShpInfo spid="_x0000_s2115"/>
    <customShpInfo spid="_x0000_s2114"/>
    <customShpInfo spid="_x0000_s2113"/>
    <customShpInfo spid="_x0000_s2112"/>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301</Pages>
  <Words>5239</Words>
  <Characters>5330</Characters>
  <Lines>978</Lines>
  <Paragraphs>275</Paragraphs>
  <TotalTime>30</TotalTime>
  <ScaleCrop>false</ScaleCrop>
  <LinksUpToDate>false</LinksUpToDate>
  <CharactersWithSpaces>5350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2019-08-06T01:10:00Z</dcterms:created>
  <dc:creator>2013.09.09</dc:creator>
  <cp:lastModifiedBy>sf</cp:lastModifiedBy>
  <cp:lastPrinted>2020-12-07T03:01:00Z</cp:lastPrinted>
  <dcterms:modified xsi:type="dcterms:W3CDTF">2024-11-11T08:01:35Z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76EE87CA7780404EAFA4069010148309_12</vt:lpwstr>
  </property>
</Properties>
</file>